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12.0 -->
  <w:body>
    <w:p w:rsidR="00132D73" w14:paraId="76639992" w14:textId="77777777">
      <w:pPr>
        <w:snapToGrid w:val="0"/>
        <w:jc w:val="center"/>
        <w:rPr>
          <w:rFonts w:ascii="宋体" w:hAnsi="宋体" w:cs="宋体" w:hint="eastAsia"/>
          <w:sz w:val="24"/>
          <w:lang w:eastAsia="zh-CN"/>
        </w:rPr>
      </w:pPr>
    </w:p>
    <w:p w:rsidR="00132D73" w14:paraId="6607635C" w14:textId="77777777">
      <w:pPr>
        <w:snapToGrid w:val="0"/>
        <w:jc w:val="center"/>
        <w:rPr>
          <w:rFonts w:ascii="宋体" w:hAnsi="宋体" w:cs="宋体" w:hint="eastAsia"/>
          <w:sz w:val="24"/>
          <w:lang w:eastAsia="zh-CN"/>
        </w:rPr>
      </w:pPr>
    </w:p>
    <w:p w:rsidR="00132D73" w14:paraId="447B9ADC" w14:textId="77777777">
      <w:pPr>
        <w:snapToGrid w:val="0"/>
        <w:jc w:val="center"/>
        <w:rPr>
          <w:rFonts w:ascii="宋体" w:hAnsi="宋体" w:cs="宋体" w:hint="eastAsia"/>
          <w:sz w:val="24"/>
          <w:lang w:eastAsia="zh-CN"/>
        </w:rPr>
      </w:pPr>
    </w:p>
    <w:p w:rsidR="00132D73" w14:paraId="54F0CCFA" w14:textId="77777777">
      <w:pPr>
        <w:snapToGrid w:val="0"/>
        <w:jc w:val="center"/>
        <w:rPr>
          <w:rFonts w:ascii="宋体" w:hAnsi="宋体" w:cs="宋体" w:hint="eastAsia"/>
          <w:sz w:val="24"/>
          <w:lang w:eastAsia="zh-CN"/>
        </w:rPr>
      </w:pPr>
    </w:p>
    <w:p w:rsidR="00132D73" w14:paraId="34F4719B" w14:textId="77777777">
      <w:pPr>
        <w:snapToGrid w:val="0"/>
        <w:jc w:val="center"/>
        <w:rPr>
          <w:rFonts w:ascii="宋体" w:hAnsi="宋体" w:cs="宋体" w:hint="eastAsia"/>
          <w:sz w:val="24"/>
          <w:lang w:eastAsia="zh-CN"/>
        </w:rPr>
      </w:pPr>
    </w:p>
    <w:p w:rsidR="00132D73" w14:paraId="20B71888" w14:textId="77777777">
      <w:pPr>
        <w:snapToGrid w:val="0"/>
        <w:jc w:val="center"/>
        <w:rPr>
          <w:rFonts w:ascii="宋体" w:hAnsi="宋体" w:cs="宋体" w:hint="eastAsia"/>
          <w:sz w:val="24"/>
          <w:lang w:eastAsia="zh-CN"/>
        </w:rPr>
      </w:pPr>
    </w:p>
    <w:p w:rsidR="00132D73" w14:paraId="2B34EF5A" w14:textId="77777777">
      <w:pPr>
        <w:snapToGrid w:val="0"/>
        <w:jc w:val="center"/>
        <w:rPr>
          <w:rFonts w:ascii="宋体" w:hAnsi="宋体" w:cs="宋体" w:hint="eastAsia"/>
          <w:sz w:val="24"/>
          <w:lang w:eastAsia="zh-CN"/>
        </w:rPr>
      </w:pPr>
    </w:p>
    <w:p w:rsidR="00132D73" w14:paraId="28CF1049" w14:textId="77777777">
      <w:pPr>
        <w:snapToGrid w:val="0"/>
        <w:jc w:val="center"/>
        <w:rPr>
          <w:rFonts w:ascii="宋体" w:hAnsi="宋体" w:cs="宋体" w:hint="eastAsia"/>
          <w:sz w:val="24"/>
          <w:lang w:eastAsia="zh-CN"/>
        </w:rPr>
      </w:pPr>
    </w:p>
    <w:p w:rsidR="00132D73" w14:paraId="2AB08A07" w14:textId="77777777">
      <w:pPr>
        <w:snapToGrid w:val="0"/>
        <w:jc w:val="center"/>
        <w:rPr>
          <w:rFonts w:ascii="宋体" w:hAnsi="宋体" w:cs="宋体" w:hint="eastAsia"/>
          <w:b/>
          <w:sz w:val="44"/>
          <w:lang w:eastAsia="zh-CN"/>
        </w:rPr>
      </w:pPr>
      <w:r>
        <w:rPr>
          <w:rFonts w:ascii="宋体" w:hAnsi="宋体" w:cs="宋体" w:hint="eastAsia"/>
          <w:b/>
          <w:sz w:val="44"/>
          <w:lang w:eastAsia="zh-CN"/>
        </w:rPr>
        <w:t>易方达中证红利增长交易型开放式指数证券投资基金</w:t>
      </w:r>
    </w:p>
    <w:p w:rsidR="00132D73" w14:paraId="51ABE949" w14:textId="3CA7B281">
      <w:pPr>
        <w:snapToGrid w:val="0"/>
        <w:jc w:val="center"/>
        <w:rPr>
          <w:rFonts w:ascii="宋体" w:hAnsi="宋体" w:cs="宋体" w:hint="eastAsia"/>
          <w:b/>
          <w:sz w:val="44"/>
          <w:lang w:eastAsia="zh-CN"/>
        </w:rPr>
      </w:pPr>
      <w:r>
        <w:rPr>
          <w:rFonts w:ascii="宋体" w:hAnsi="宋体" w:cs="宋体" w:hint="eastAsia"/>
          <w:b/>
          <w:sz w:val="44"/>
          <w:highlight w:val="white"/>
          <w:lang w:eastAsia="zh-CN"/>
        </w:rPr>
        <w:t>托管协议</w:t>
      </w:r>
    </w:p>
    <w:p w:rsidR="00132D73" w14:paraId="4B217EF1" w14:textId="77777777">
      <w:pPr>
        <w:snapToGrid w:val="0"/>
        <w:jc w:val="center"/>
        <w:rPr>
          <w:rFonts w:ascii="宋体" w:hAnsi="宋体" w:cs="宋体" w:hint="eastAsia"/>
          <w:sz w:val="24"/>
          <w:lang w:eastAsia="zh-CN"/>
        </w:rPr>
      </w:pPr>
    </w:p>
    <w:p w:rsidR="00132D73" w14:paraId="5F0FD331" w14:textId="77777777">
      <w:pPr>
        <w:snapToGrid w:val="0"/>
        <w:jc w:val="center"/>
        <w:rPr>
          <w:rFonts w:ascii="宋体" w:hAnsi="宋体" w:cs="宋体" w:hint="eastAsia"/>
          <w:sz w:val="24"/>
          <w:lang w:eastAsia="zh-CN"/>
        </w:rPr>
      </w:pPr>
    </w:p>
    <w:p w:rsidR="00132D73" w14:paraId="7D25F15D" w14:textId="77777777">
      <w:pPr>
        <w:snapToGrid w:val="0"/>
        <w:jc w:val="center"/>
        <w:rPr>
          <w:rFonts w:ascii="宋体" w:hAnsi="宋体" w:cs="宋体" w:hint="eastAsia"/>
          <w:sz w:val="24"/>
          <w:lang w:eastAsia="zh-CN"/>
        </w:rPr>
      </w:pPr>
    </w:p>
    <w:p w:rsidR="00132D73" w14:paraId="33A97293" w14:textId="77777777">
      <w:pPr>
        <w:snapToGrid w:val="0"/>
        <w:jc w:val="center"/>
        <w:rPr>
          <w:rFonts w:ascii="宋体" w:hAnsi="宋体" w:cs="宋体" w:hint="eastAsia"/>
          <w:sz w:val="24"/>
          <w:lang w:eastAsia="zh-CN"/>
        </w:rPr>
      </w:pPr>
    </w:p>
    <w:p w:rsidR="00132D73" w14:paraId="069D3990" w14:textId="77777777">
      <w:pPr>
        <w:snapToGrid w:val="0"/>
        <w:jc w:val="center"/>
        <w:rPr>
          <w:rFonts w:ascii="宋体" w:hAnsi="宋体" w:cs="宋体" w:hint="eastAsia"/>
          <w:sz w:val="24"/>
          <w:lang w:eastAsia="zh-CN"/>
        </w:rPr>
      </w:pPr>
    </w:p>
    <w:p w:rsidR="00132D73" w14:paraId="58B5F9B7" w14:textId="77777777">
      <w:pPr>
        <w:snapToGrid w:val="0"/>
        <w:jc w:val="center"/>
        <w:rPr>
          <w:rFonts w:ascii="宋体" w:hAnsi="宋体" w:cs="宋体" w:hint="eastAsia"/>
          <w:sz w:val="24"/>
          <w:lang w:eastAsia="zh-CN"/>
        </w:rPr>
      </w:pPr>
    </w:p>
    <w:p w:rsidR="00132D73" w14:paraId="5839C85B" w14:textId="77777777">
      <w:pPr>
        <w:snapToGrid w:val="0"/>
        <w:jc w:val="center"/>
        <w:rPr>
          <w:rFonts w:ascii="宋体" w:hAnsi="宋体" w:cs="宋体" w:hint="eastAsia"/>
          <w:sz w:val="24"/>
          <w:lang w:eastAsia="zh-CN"/>
        </w:rPr>
      </w:pPr>
    </w:p>
    <w:p w:rsidR="00132D73" w14:paraId="3BC833F5" w14:textId="77777777">
      <w:pPr>
        <w:snapToGrid w:val="0"/>
        <w:jc w:val="center"/>
        <w:rPr>
          <w:rFonts w:ascii="宋体" w:hAnsi="宋体" w:cs="宋体" w:hint="eastAsia"/>
          <w:sz w:val="24"/>
          <w:lang w:eastAsia="zh-CN"/>
        </w:rPr>
      </w:pPr>
    </w:p>
    <w:p w:rsidR="00132D73" w14:paraId="0A7E233C" w14:textId="77777777">
      <w:pPr>
        <w:snapToGrid w:val="0"/>
        <w:jc w:val="center"/>
        <w:rPr>
          <w:rFonts w:ascii="宋体" w:hAnsi="宋体" w:cs="宋体" w:hint="eastAsia"/>
          <w:sz w:val="24"/>
          <w:lang w:eastAsia="zh-CN"/>
        </w:rPr>
      </w:pPr>
    </w:p>
    <w:p w:rsidR="00132D73" w14:paraId="241A777C" w14:textId="77777777">
      <w:pPr>
        <w:snapToGrid w:val="0"/>
        <w:jc w:val="center"/>
        <w:rPr>
          <w:rFonts w:ascii="宋体" w:hAnsi="宋体" w:cs="宋体" w:hint="eastAsia"/>
          <w:sz w:val="24"/>
          <w:lang w:eastAsia="zh-CN"/>
        </w:rPr>
      </w:pPr>
    </w:p>
    <w:p w:rsidR="00132D73" w14:paraId="26669CDA" w14:textId="77777777">
      <w:pPr>
        <w:snapToGrid w:val="0"/>
        <w:jc w:val="center"/>
        <w:rPr>
          <w:rFonts w:ascii="宋体" w:hAnsi="宋体" w:cs="宋体" w:hint="eastAsia"/>
          <w:sz w:val="24"/>
          <w:lang w:eastAsia="zh-CN"/>
        </w:rPr>
      </w:pPr>
    </w:p>
    <w:p w:rsidR="00132D73" w14:paraId="499C11A4" w14:textId="77777777">
      <w:pPr>
        <w:snapToGrid w:val="0"/>
        <w:jc w:val="center"/>
        <w:rPr>
          <w:rFonts w:ascii="宋体" w:hAnsi="宋体" w:cs="宋体" w:hint="eastAsia"/>
          <w:sz w:val="24"/>
          <w:lang w:eastAsia="zh-CN"/>
        </w:rPr>
      </w:pPr>
    </w:p>
    <w:p w:rsidR="00132D73" w:rsidRPr="00D71BCD" w14:paraId="035D8E22" w14:textId="77777777">
      <w:pPr>
        <w:snapToGrid w:val="0"/>
        <w:jc w:val="center"/>
        <w:rPr>
          <w:rFonts w:ascii="宋体" w:hAnsi="宋体" w:cs="宋体" w:hint="eastAsia"/>
          <w:sz w:val="24"/>
          <w:lang w:eastAsia="zh-CN"/>
        </w:rPr>
      </w:pPr>
    </w:p>
    <w:p w:rsidR="00132D73" w14:paraId="372261C1" w14:textId="77777777">
      <w:pPr>
        <w:snapToGrid w:val="0"/>
        <w:jc w:val="center"/>
        <w:rPr>
          <w:rFonts w:ascii="宋体" w:hAnsi="宋体" w:cs="宋体" w:hint="eastAsia"/>
          <w:sz w:val="24"/>
          <w:lang w:eastAsia="zh-CN"/>
        </w:rPr>
      </w:pPr>
    </w:p>
    <w:p w:rsidR="00132D73" w14:paraId="3D0CF3D1" w14:textId="77777777">
      <w:pPr>
        <w:snapToGrid w:val="0"/>
        <w:jc w:val="center"/>
        <w:rPr>
          <w:rFonts w:ascii="宋体" w:hAnsi="宋体" w:cs="宋体" w:hint="eastAsia"/>
          <w:sz w:val="24"/>
          <w:lang w:eastAsia="zh-CN"/>
        </w:rPr>
      </w:pPr>
    </w:p>
    <w:p w:rsidR="00132D73" w14:paraId="34F27670" w14:textId="77777777">
      <w:pPr>
        <w:snapToGrid w:val="0"/>
        <w:ind w:firstLine="1961"/>
        <w:rPr>
          <w:rFonts w:ascii="宋体" w:hAnsi="宋体" w:cs="宋体" w:hint="eastAsia"/>
          <w:b/>
          <w:bCs/>
          <w:sz w:val="28"/>
          <w:lang w:eastAsia="zh-CN"/>
        </w:rPr>
      </w:pPr>
      <w:r>
        <w:rPr>
          <w:rFonts w:ascii="宋体" w:hAnsi="宋体" w:cs="宋体" w:hint="eastAsia"/>
          <w:b/>
          <w:bCs/>
          <w:sz w:val="28"/>
          <w:highlight w:val="white"/>
          <w:lang w:eastAsia="zh-CN"/>
        </w:rPr>
        <w:t>基金管理人：易方达基金管理有限公司</w:t>
      </w:r>
    </w:p>
    <w:p w:rsidR="00132D73" w14:paraId="54B67489" w14:textId="77777777">
      <w:pPr>
        <w:tabs>
          <w:tab w:val="center" w:pos="4252"/>
          <w:tab w:val="left" w:pos="7530"/>
        </w:tabs>
        <w:snapToGrid w:val="0"/>
        <w:jc w:val="left"/>
        <w:rPr>
          <w:rFonts w:ascii="宋体" w:hAnsi="宋体" w:cs="宋体" w:hint="eastAsia"/>
          <w:b/>
          <w:bCs/>
          <w:sz w:val="28"/>
          <w:lang w:eastAsia="zh-CN"/>
        </w:rPr>
      </w:pPr>
      <w:r>
        <w:rPr>
          <w:rFonts w:ascii="宋体" w:hAnsi="宋体" w:cs="宋体" w:hint="eastAsia"/>
          <w:b/>
          <w:bCs/>
          <w:sz w:val="28"/>
          <w:highlight w:val="white"/>
          <w:lang w:eastAsia="zh-CN"/>
        </w:rPr>
        <w:tab/>
        <w:t>基金托管人：中国建设银行股份有限公司</w:t>
      </w:r>
      <w:r>
        <w:rPr>
          <w:rFonts w:ascii="宋体" w:hAnsi="宋体" w:cs="宋体" w:hint="eastAsia"/>
          <w:b/>
          <w:bCs/>
          <w:sz w:val="28"/>
          <w:highlight w:val="white"/>
          <w:lang w:eastAsia="zh-CN"/>
        </w:rPr>
        <w:tab/>
      </w:r>
    </w:p>
    <w:p w:rsidR="00132D73" w14:paraId="76A1A167" w14:textId="77777777">
      <w:pPr>
        <w:snapToGrid w:val="0"/>
        <w:jc w:val="center"/>
        <w:rPr>
          <w:rFonts w:ascii="宋体" w:hAnsi="宋体" w:cs="宋体" w:hint="eastAsia"/>
          <w:sz w:val="24"/>
          <w:lang w:eastAsia="zh-CN"/>
        </w:rPr>
      </w:pPr>
    </w:p>
    <w:p w:rsidR="00132D73" w14:paraId="31B9F35D" w14:textId="2FC0363C">
      <w:pPr>
        <w:jc w:val="center"/>
        <w:rPr>
          <w:rFonts w:ascii="宋体" w:hAnsi="宋体" w:cs="宋体" w:hint="eastAsia"/>
        </w:rPr>
      </w:pPr>
      <w:r>
        <w:rPr>
          <w:rFonts w:ascii="宋体" w:hAnsi="宋体" w:cs="宋体"/>
          <w:color w:val="000000"/>
          <w:sz w:val="28"/>
          <w:highlight w:val="white"/>
        </w:rPr>
        <w:t>二〇二</w:t>
      </w:r>
      <w:r w:rsidR="005452D3">
        <w:rPr>
          <w:rFonts w:ascii="宋体" w:hAnsi="宋体" w:cs="宋体" w:hint="eastAsia"/>
          <w:color w:val="000000"/>
          <w:sz w:val="28"/>
          <w:highlight w:val="white"/>
          <w:lang w:eastAsia="zh-CN"/>
        </w:rPr>
        <w:t>六</w:t>
      </w:r>
      <w:r>
        <w:rPr>
          <w:rFonts w:ascii="宋体" w:hAnsi="宋体" w:cs="宋体"/>
          <w:color w:val="000000"/>
          <w:sz w:val="28"/>
          <w:highlight w:val="white"/>
        </w:rPr>
        <w:t>年</w:t>
      </w:r>
      <w:r w:rsidR="005452D3">
        <w:rPr>
          <w:rFonts w:ascii="宋体" w:hAnsi="宋体" w:cs="宋体" w:hint="eastAsia"/>
          <w:color w:val="000000"/>
          <w:sz w:val="28"/>
          <w:highlight w:val="white"/>
          <w:lang w:eastAsia="zh-CN"/>
        </w:rPr>
        <w:t>十</w:t>
      </w:r>
      <w:r>
        <w:rPr>
          <w:rFonts w:ascii="宋体" w:hAnsi="宋体" w:cs="宋体"/>
          <w:color w:val="000000"/>
          <w:sz w:val="28"/>
          <w:highlight w:val="white"/>
        </w:rPr>
        <w:t>月</w:t>
      </w:r>
    </w:p>
    <w:p w:rsidR="00132D73" w14:paraId="45BA15DE" w14:textId="77777777">
      <w:pPr>
        <w:snapToGrid w:val="0"/>
        <w:jc w:val="center"/>
        <w:rPr>
          <w:rFonts w:ascii="宋体" w:hAnsi="宋体" w:cs="宋体" w:hint="eastAsia"/>
          <w:sz w:val="24"/>
          <w:lang w:eastAsia="zh-CN"/>
        </w:rPr>
      </w:pPr>
    </w:p>
    <w:p w:rsidR="00132D73" w14:paraId="0EE5D2BF" w14:textId="77777777">
      <w:pPr>
        <w:snapToGrid w:val="0"/>
        <w:jc w:val="center"/>
        <w:rPr>
          <w:rFonts w:ascii="宋体" w:hAnsi="宋体" w:cs="宋体" w:hint="eastAsia"/>
          <w:sz w:val="24"/>
          <w:lang w:eastAsia="zh-CN"/>
        </w:rPr>
      </w:pPr>
      <w:r>
        <w:rPr>
          <w:rFonts w:ascii="宋体" w:hAnsi="宋体" w:cs="宋体" w:hint="eastAsia"/>
          <w:sz w:val="24"/>
          <w:highlight w:val="white"/>
          <w:lang w:eastAsia="zh-CN"/>
        </w:rPr>
        <w:t xml:space="preserve">                          </w:t>
      </w:r>
    </w:p>
    <w:p w:rsidR="00132D73" w14:paraId="21D2AED9" w14:textId="77777777">
      <w:pPr>
        <w:snapToGrid w:val="0"/>
        <w:jc w:val="center"/>
        <w:rPr>
          <w:rFonts w:ascii="宋体" w:hAnsi="宋体" w:cs="宋体" w:hint="eastAsia"/>
          <w:sz w:val="24"/>
          <w:lang w:eastAsia="zh-CN"/>
        </w:rPr>
      </w:pPr>
    </w:p>
    <w:p w:rsidR="00132D73" w14:paraId="2A8A7CEC" w14:textId="77777777">
      <w:pPr>
        <w:snapToGrid w:val="0"/>
        <w:jc w:val="center"/>
        <w:rPr>
          <w:rFonts w:ascii="宋体" w:hAnsi="宋体" w:cs="宋体" w:hint="eastAsia"/>
          <w:sz w:val="24"/>
          <w:lang w:eastAsia="zh-CN"/>
        </w:rPr>
        <w:sectPr>
          <w:footerReference w:type="default" r:id="rId5"/>
          <w:pgSz w:w="11906" w:h="16838"/>
          <w:pgMar w:top="1418" w:right="1701" w:bottom="1418" w:left="1701" w:header="851" w:footer="992" w:gutter="0"/>
          <w:cols w:space="720"/>
          <w:docGrid w:type="lines" w:linePitch="312"/>
        </w:sectPr>
      </w:pPr>
    </w:p>
    <w:p w:rsidR="00132D73" w14:paraId="1DE72528" w14:textId="77777777">
      <w:pPr>
        <w:jc w:val="center"/>
        <w:rPr>
          <w:rFonts w:ascii="宋体" w:hAnsi="宋体" w:cs="宋体" w:hint="eastAsia"/>
          <w:b/>
          <w:bCs/>
          <w:sz w:val="30"/>
        </w:rPr>
      </w:pPr>
      <w:r>
        <w:rPr>
          <w:rFonts w:ascii="宋体" w:hAnsi="宋体" w:cs="宋体" w:hint="eastAsia"/>
          <w:b/>
          <w:bCs/>
          <w:sz w:val="30"/>
          <w:highlight w:val="white"/>
        </w:rPr>
        <w:t>目    录</w:t>
      </w:r>
    </w:p>
    <w:p w:rsidR="00132D73" w14:paraId="47892495" w14:textId="1C79ECAA">
      <w:pPr>
        <w:pStyle w:val="TOC2"/>
        <w:rPr>
          <w:rFonts w:ascii="宋体" w:hAnsi="宋体" w:cs="宋体" w:hint="eastAsia"/>
          <w:noProof/>
          <w:sz w:val="22"/>
          <w:szCs w:val="22"/>
        </w:rPr>
      </w:pPr>
      <w:r>
        <w:rPr>
          <w:rFonts w:ascii="宋体" w:hAnsi="宋体" w:cs="宋体"/>
        </w:rPr>
        <w:fldChar w:fldCharType="begin"/>
      </w:r>
      <w:r>
        <w:rPr>
          <w:rFonts w:ascii="宋体" w:hAnsi="宋体" w:cs="宋体"/>
          <w:highlight w:val="white"/>
        </w:rPr>
        <w:instrText xml:space="preserve"> TOC \o "1-2" \h \z </w:instrText>
      </w:r>
      <w:r>
        <w:rPr>
          <w:rFonts w:ascii="宋体" w:hAnsi="宋体" w:cs="宋体"/>
        </w:rPr>
        <w:fldChar w:fldCharType="separate"/>
      </w:r>
      <w:hyperlink w:anchor="_Toc68875903" w:tooltip="Current Document" w:history="1">
        <w:r>
          <w:rPr>
            <w:rStyle w:val="Hyperlink"/>
            <w:rFonts w:ascii="宋体" w:hAnsi="宋体" w:cs="宋体" w:hint="eastAsia"/>
            <w:noProof/>
            <w:highlight w:val="white"/>
          </w:rPr>
          <w:t>一、基金托管协议当事人</w:t>
        </w:r>
        <w:r>
          <w:rPr>
            <w:rFonts w:ascii="宋体" w:hAnsi="宋体" w:cs="宋体"/>
            <w:noProof/>
            <w:highlight w:val="white"/>
          </w:rPr>
          <w:tab/>
        </w:r>
        <w:r>
          <w:rPr>
            <w:rFonts w:ascii="宋体" w:hAnsi="宋体" w:cs="宋体"/>
            <w:noProof/>
          </w:rPr>
          <w:fldChar w:fldCharType="begin"/>
        </w:r>
        <w:r>
          <w:rPr>
            <w:rFonts w:ascii="宋体" w:hAnsi="宋体" w:cs="宋体"/>
            <w:noProof/>
            <w:highlight w:val="white"/>
          </w:rPr>
          <w:instrText xml:space="preserve"> PAGEREF _Toc68875903 \h </w:instrText>
        </w:r>
        <w:r>
          <w:rPr>
            <w:rFonts w:ascii="宋体" w:hAnsi="宋体" w:cs="宋体"/>
            <w:noProof/>
          </w:rPr>
          <w:fldChar w:fldCharType="separate"/>
        </w:r>
        <w:r w:rsidR="00D71BCD">
          <w:rPr>
            <w:rFonts w:ascii="宋体" w:hAnsi="宋体" w:cs="宋体" w:hint="eastAsia"/>
            <w:noProof/>
            <w:highlight w:val="white"/>
          </w:rPr>
          <w:t>1</w:t>
        </w:r>
        <w:r>
          <w:rPr>
            <w:rFonts w:ascii="宋体" w:hAnsi="宋体" w:cs="宋体"/>
            <w:noProof/>
          </w:rPr>
          <w:fldChar w:fldCharType="end"/>
        </w:r>
      </w:hyperlink>
    </w:p>
    <w:p w:rsidR="00132D73" w14:paraId="734D32AE" w14:textId="6C345ECC">
      <w:pPr>
        <w:pStyle w:val="TOC2"/>
        <w:rPr>
          <w:rFonts w:ascii="宋体" w:hAnsi="宋体" w:cs="宋体" w:hint="eastAsia"/>
          <w:noProof/>
          <w:sz w:val="22"/>
          <w:szCs w:val="22"/>
        </w:rPr>
      </w:pPr>
      <w:hyperlink w:anchor="_Toc68875904" w:tooltip="Current Document" w:history="1">
        <w:r w:rsidR="00DC4D19">
          <w:rPr>
            <w:rStyle w:val="Hyperlink"/>
            <w:rFonts w:ascii="宋体" w:hAnsi="宋体" w:cs="宋体" w:hint="eastAsia"/>
            <w:noProof/>
            <w:highlight w:val="white"/>
          </w:rPr>
          <w:t>二、基金托管协议的依据、目的和原则</w:t>
        </w:r>
        <w:r w:rsidR="00DC4D19">
          <w:rPr>
            <w:rFonts w:ascii="宋体" w:hAnsi="宋体" w:cs="宋体"/>
            <w:noProof/>
            <w:highlight w:val="white"/>
          </w:rPr>
          <w:tab/>
        </w:r>
        <w:r w:rsidR="00DC4D19">
          <w:rPr>
            <w:rFonts w:ascii="宋体" w:hAnsi="宋体" w:cs="宋体"/>
            <w:noProof/>
          </w:rPr>
          <w:fldChar w:fldCharType="begin"/>
        </w:r>
        <w:r w:rsidR="00DC4D19">
          <w:rPr>
            <w:rFonts w:ascii="宋体" w:hAnsi="宋体" w:cs="宋体"/>
            <w:noProof/>
            <w:highlight w:val="white"/>
          </w:rPr>
          <w:instrText xml:space="preserve"> PAGEREF _Toc68875904 \h </w:instrText>
        </w:r>
        <w:r w:rsidR="00DC4D19">
          <w:rPr>
            <w:rFonts w:ascii="宋体" w:hAnsi="宋体" w:cs="宋体"/>
            <w:noProof/>
          </w:rPr>
          <w:fldChar w:fldCharType="separate"/>
        </w:r>
        <w:r w:rsidR="00D71BCD">
          <w:rPr>
            <w:rFonts w:ascii="宋体" w:hAnsi="宋体" w:cs="宋体" w:hint="eastAsia"/>
            <w:noProof/>
            <w:highlight w:val="white"/>
          </w:rPr>
          <w:t>2</w:t>
        </w:r>
        <w:r w:rsidR="00DC4D19">
          <w:rPr>
            <w:rFonts w:ascii="宋体" w:hAnsi="宋体" w:cs="宋体"/>
            <w:noProof/>
          </w:rPr>
          <w:fldChar w:fldCharType="end"/>
        </w:r>
      </w:hyperlink>
    </w:p>
    <w:p w:rsidR="00132D73" w14:paraId="739E3325" w14:textId="31171281">
      <w:pPr>
        <w:pStyle w:val="TOC2"/>
        <w:rPr>
          <w:rFonts w:ascii="宋体" w:hAnsi="宋体" w:cs="宋体" w:hint="eastAsia"/>
          <w:noProof/>
          <w:sz w:val="22"/>
          <w:szCs w:val="22"/>
        </w:rPr>
      </w:pPr>
      <w:hyperlink w:anchor="_Toc68875905" w:tooltip="Current Document" w:history="1">
        <w:r w:rsidR="00DC4D19">
          <w:rPr>
            <w:rStyle w:val="Hyperlink"/>
            <w:rFonts w:ascii="宋体" w:hAnsi="宋体" w:cs="宋体" w:hint="eastAsia"/>
            <w:noProof/>
            <w:highlight w:val="white"/>
          </w:rPr>
          <w:t>三、基金托管人对基金管理人的业务监督和核查</w:t>
        </w:r>
        <w:r w:rsidR="00DC4D19">
          <w:rPr>
            <w:rFonts w:ascii="宋体" w:hAnsi="宋体" w:cs="宋体"/>
            <w:noProof/>
            <w:highlight w:val="white"/>
          </w:rPr>
          <w:tab/>
        </w:r>
        <w:r w:rsidR="00DC4D19">
          <w:rPr>
            <w:rFonts w:ascii="宋体" w:hAnsi="宋体" w:cs="宋体"/>
            <w:noProof/>
          </w:rPr>
          <w:fldChar w:fldCharType="begin"/>
        </w:r>
        <w:r w:rsidR="00DC4D19">
          <w:rPr>
            <w:rFonts w:ascii="宋体" w:hAnsi="宋体" w:cs="宋体"/>
            <w:noProof/>
            <w:highlight w:val="white"/>
          </w:rPr>
          <w:instrText xml:space="preserve"> PAGEREF _Toc68875905 \h </w:instrText>
        </w:r>
        <w:r w:rsidR="00DC4D19">
          <w:rPr>
            <w:rFonts w:ascii="宋体" w:hAnsi="宋体" w:cs="宋体"/>
            <w:noProof/>
          </w:rPr>
          <w:fldChar w:fldCharType="separate"/>
        </w:r>
        <w:r w:rsidR="00D71BCD">
          <w:rPr>
            <w:rFonts w:ascii="宋体" w:hAnsi="宋体" w:cs="宋体" w:hint="eastAsia"/>
            <w:noProof/>
            <w:highlight w:val="white"/>
          </w:rPr>
          <w:t>2</w:t>
        </w:r>
        <w:r w:rsidR="00DC4D19">
          <w:rPr>
            <w:rFonts w:ascii="宋体" w:hAnsi="宋体" w:cs="宋体"/>
            <w:noProof/>
          </w:rPr>
          <w:fldChar w:fldCharType="end"/>
        </w:r>
      </w:hyperlink>
    </w:p>
    <w:p w:rsidR="00132D73" w14:paraId="171D0F0D" w14:textId="3CB7D2B6">
      <w:pPr>
        <w:pStyle w:val="TOC2"/>
        <w:rPr>
          <w:rFonts w:ascii="宋体" w:hAnsi="宋体" w:cs="宋体" w:hint="eastAsia"/>
          <w:noProof/>
          <w:sz w:val="22"/>
          <w:szCs w:val="22"/>
        </w:rPr>
      </w:pPr>
      <w:hyperlink w:anchor="_Toc68875906" w:tooltip="Current Document" w:history="1">
        <w:r w:rsidR="00DC4D19">
          <w:rPr>
            <w:rStyle w:val="Hyperlink"/>
            <w:rFonts w:ascii="宋体" w:hAnsi="宋体" w:cs="宋体" w:hint="eastAsia"/>
            <w:noProof/>
            <w:highlight w:val="white"/>
          </w:rPr>
          <w:t>四、基金管理人对基金托管人的业务核查</w:t>
        </w:r>
        <w:r w:rsidR="00DC4D19">
          <w:rPr>
            <w:rFonts w:ascii="宋体" w:hAnsi="宋体" w:cs="宋体"/>
            <w:noProof/>
            <w:highlight w:val="white"/>
          </w:rPr>
          <w:tab/>
        </w:r>
        <w:r w:rsidR="00DC4D19">
          <w:rPr>
            <w:rFonts w:ascii="宋体" w:hAnsi="宋体" w:cs="宋体"/>
            <w:noProof/>
          </w:rPr>
          <w:fldChar w:fldCharType="begin"/>
        </w:r>
        <w:r w:rsidR="00DC4D19">
          <w:rPr>
            <w:rFonts w:ascii="宋体" w:hAnsi="宋体" w:cs="宋体"/>
            <w:noProof/>
            <w:highlight w:val="white"/>
          </w:rPr>
          <w:instrText xml:space="preserve"> PAGEREF _Toc68875906 \h </w:instrText>
        </w:r>
        <w:r w:rsidR="00DC4D19">
          <w:rPr>
            <w:rFonts w:ascii="宋体" w:hAnsi="宋体" w:cs="宋体"/>
            <w:noProof/>
          </w:rPr>
          <w:fldChar w:fldCharType="separate"/>
        </w:r>
        <w:r w:rsidR="00D71BCD">
          <w:rPr>
            <w:rFonts w:ascii="宋体" w:hAnsi="宋体" w:cs="宋体" w:hint="eastAsia"/>
            <w:noProof/>
            <w:highlight w:val="white"/>
          </w:rPr>
          <w:t>6</w:t>
        </w:r>
        <w:r w:rsidR="00DC4D19">
          <w:rPr>
            <w:rFonts w:ascii="宋体" w:hAnsi="宋体" w:cs="宋体"/>
            <w:noProof/>
          </w:rPr>
          <w:fldChar w:fldCharType="end"/>
        </w:r>
      </w:hyperlink>
    </w:p>
    <w:p w:rsidR="00132D73" w14:paraId="50D71BE5" w14:textId="7DA88E94">
      <w:pPr>
        <w:pStyle w:val="TOC2"/>
        <w:rPr>
          <w:rFonts w:ascii="宋体" w:hAnsi="宋体" w:cs="宋体" w:hint="eastAsia"/>
          <w:noProof/>
          <w:sz w:val="22"/>
          <w:szCs w:val="22"/>
        </w:rPr>
      </w:pPr>
      <w:hyperlink w:anchor="_Toc68875907" w:tooltip="Current Document" w:history="1">
        <w:r w:rsidR="00DC4D19">
          <w:rPr>
            <w:rStyle w:val="Hyperlink"/>
            <w:rFonts w:ascii="宋体" w:hAnsi="宋体" w:cs="宋体" w:hint="eastAsia"/>
            <w:noProof/>
            <w:highlight w:val="white"/>
          </w:rPr>
          <w:t>五、基金财产的保管</w:t>
        </w:r>
        <w:r w:rsidR="00DC4D19">
          <w:rPr>
            <w:rFonts w:ascii="宋体" w:hAnsi="宋体" w:cs="宋体"/>
            <w:noProof/>
            <w:highlight w:val="white"/>
          </w:rPr>
          <w:tab/>
        </w:r>
        <w:r w:rsidR="00DC4D19">
          <w:rPr>
            <w:rFonts w:ascii="宋体" w:hAnsi="宋体" w:cs="宋体"/>
            <w:noProof/>
          </w:rPr>
          <w:fldChar w:fldCharType="begin"/>
        </w:r>
        <w:r w:rsidR="00DC4D19">
          <w:rPr>
            <w:rFonts w:ascii="宋体" w:hAnsi="宋体" w:cs="宋体"/>
            <w:noProof/>
            <w:highlight w:val="white"/>
          </w:rPr>
          <w:instrText xml:space="preserve"> PAGEREF _Toc68875907 \h </w:instrText>
        </w:r>
        <w:r w:rsidR="00DC4D19">
          <w:rPr>
            <w:rFonts w:ascii="宋体" w:hAnsi="宋体" w:cs="宋体"/>
            <w:noProof/>
          </w:rPr>
          <w:fldChar w:fldCharType="separate"/>
        </w:r>
        <w:r w:rsidR="00D71BCD">
          <w:rPr>
            <w:rFonts w:ascii="宋体" w:hAnsi="宋体" w:cs="宋体" w:hint="eastAsia"/>
            <w:noProof/>
            <w:highlight w:val="white"/>
          </w:rPr>
          <w:t>7</w:t>
        </w:r>
        <w:r w:rsidR="00DC4D19">
          <w:rPr>
            <w:rFonts w:ascii="宋体" w:hAnsi="宋体" w:cs="宋体"/>
            <w:noProof/>
          </w:rPr>
          <w:fldChar w:fldCharType="end"/>
        </w:r>
      </w:hyperlink>
    </w:p>
    <w:p w:rsidR="00132D73" w14:paraId="6756068B" w14:textId="3A5963EA">
      <w:pPr>
        <w:pStyle w:val="TOC2"/>
        <w:rPr>
          <w:rFonts w:ascii="宋体" w:hAnsi="宋体" w:cs="宋体" w:hint="eastAsia"/>
          <w:noProof/>
          <w:sz w:val="22"/>
          <w:szCs w:val="22"/>
        </w:rPr>
      </w:pPr>
      <w:hyperlink w:anchor="_Toc68875908" w:tooltip="Current Document" w:history="1">
        <w:r w:rsidR="00DC4D19">
          <w:rPr>
            <w:rStyle w:val="Hyperlink"/>
            <w:rFonts w:ascii="宋体" w:hAnsi="宋体" w:cs="宋体" w:hint="eastAsia"/>
            <w:noProof/>
            <w:highlight w:val="white"/>
          </w:rPr>
          <w:t>六、指令的发送、确认及执行</w:t>
        </w:r>
        <w:r w:rsidR="00DC4D19">
          <w:rPr>
            <w:rFonts w:ascii="宋体" w:hAnsi="宋体" w:cs="宋体"/>
            <w:noProof/>
            <w:highlight w:val="white"/>
          </w:rPr>
          <w:tab/>
        </w:r>
        <w:r w:rsidR="00DC4D19">
          <w:rPr>
            <w:rFonts w:ascii="宋体" w:hAnsi="宋体" w:cs="宋体"/>
            <w:noProof/>
          </w:rPr>
          <w:fldChar w:fldCharType="begin"/>
        </w:r>
        <w:r w:rsidR="00DC4D19">
          <w:rPr>
            <w:rFonts w:ascii="宋体" w:hAnsi="宋体" w:cs="宋体"/>
            <w:noProof/>
            <w:highlight w:val="white"/>
          </w:rPr>
          <w:instrText xml:space="preserve"> PAGEREF _Toc68875908 \h </w:instrText>
        </w:r>
        <w:r w:rsidR="00DC4D19">
          <w:rPr>
            <w:rFonts w:ascii="宋体" w:hAnsi="宋体" w:cs="宋体"/>
            <w:noProof/>
          </w:rPr>
          <w:fldChar w:fldCharType="separate"/>
        </w:r>
        <w:r w:rsidR="00D71BCD">
          <w:rPr>
            <w:rFonts w:ascii="宋体" w:hAnsi="宋体" w:cs="宋体" w:hint="eastAsia"/>
            <w:noProof/>
            <w:highlight w:val="white"/>
          </w:rPr>
          <w:t>9</w:t>
        </w:r>
        <w:r w:rsidR="00DC4D19">
          <w:rPr>
            <w:rFonts w:ascii="宋体" w:hAnsi="宋体" w:cs="宋体"/>
            <w:noProof/>
          </w:rPr>
          <w:fldChar w:fldCharType="end"/>
        </w:r>
      </w:hyperlink>
    </w:p>
    <w:p w:rsidR="00132D73" w14:paraId="6A45E0FA" w14:textId="3FD9DE92">
      <w:pPr>
        <w:pStyle w:val="TOC2"/>
        <w:rPr>
          <w:rFonts w:ascii="宋体" w:hAnsi="宋体" w:cs="宋体" w:hint="eastAsia"/>
          <w:noProof/>
          <w:sz w:val="22"/>
          <w:szCs w:val="22"/>
        </w:rPr>
      </w:pPr>
      <w:hyperlink w:anchor="_Toc68875909" w:tooltip="Current Document" w:history="1">
        <w:r w:rsidR="00DC4D19">
          <w:rPr>
            <w:rStyle w:val="Hyperlink"/>
            <w:rFonts w:ascii="宋体" w:hAnsi="宋体" w:cs="宋体" w:hint="eastAsia"/>
            <w:noProof/>
            <w:highlight w:val="white"/>
          </w:rPr>
          <w:t>七、交易及清算交收安排</w:t>
        </w:r>
        <w:r w:rsidR="00DC4D19">
          <w:rPr>
            <w:rFonts w:ascii="宋体" w:hAnsi="宋体" w:cs="宋体"/>
            <w:noProof/>
            <w:highlight w:val="white"/>
          </w:rPr>
          <w:tab/>
        </w:r>
        <w:r w:rsidR="00DC4D19">
          <w:rPr>
            <w:rFonts w:ascii="宋体" w:hAnsi="宋体" w:cs="宋体"/>
            <w:noProof/>
          </w:rPr>
          <w:fldChar w:fldCharType="begin"/>
        </w:r>
        <w:r w:rsidR="00DC4D19">
          <w:rPr>
            <w:rFonts w:ascii="宋体" w:hAnsi="宋体" w:cs="宋体"/>
            <w:noProof/>
            <w:highlight w:val="white"/>
          </w:rPr>
          <w:instrText xml:space="preserve"> PAGEREF _Toc68875909 \h </w:instrText>
        </w:r>
        <w:r w:rsidR="00DC4D19">
          <w:rPr>
            <w:rFonts w:ascii="宋体" w:hAnsi="宋体" w:cs="宋体"/>
            <w:noProof/>
          </w:rPr>
          <w:fldChar w:fldCharType="separate"/>
        </w:r>
        <w:r w:rsidR="00D71BCD">
          <w:rPr>
            <w:rFonts w:ascii="宋体" w:hAnsi="宋体" w:cs="宋体" w:hint="eastAsia"/>
            <w:noProof/>
            <w:highlight w:val="white"/>
          </w:rPr>
          <w:t>11</w:t>
        </w:r>
        <w:r w:rsidR="00DC4D19">
          <w:rPr>
            <w:rFonts w:ascii="宋体" w:hAnsi="宋体" w:cs="宋体"/>
            <w:noProof/>
          </w:rPr>
          <w:fldChar w:fldCharType="end"/>
        </w:r>
      </w:hyperlink>
    </w:p>
    <w:p w:rsidR="00132D73" w14:paraId="15D4D8E6" w14:textId="39FBD951">
      <w:pPr>
        <w:pStyle w:val="TOC2"/>
        <w:rPr>
          <w:rFonts w:ascii="宋体" w:hAnsi="宋体" w:cs="宋体" w:hint="eastAsia"/>
          <w:noProof/>
          <w:sz w:val="22"/>
          <w:szCs w:val="22"/>
        </w:rPr>
      </w:pPr>
      <w:hyperlink w:anchor="_Toc68875910" w:tooltip="Current Document" w:history="1">
        <w:r w:rsidR="00DC4D19">
          <w:rPr>
            <w:rStyle w:val="Hyperlink"/>
            <w:rFonts w:ascii="宋体" w:hAnsi="宋体" w:cs="宋体" w:hint="eastAsia"/>
            <w:noProof/>
            <w:highlight w:val="white"/>
          </w:rPr>
          <w:t>八、基金资产净值计算和会计核算</w:t>
        </w:r>
        <w:r w:rsidR="00DC4D19">
          <w:rPr>
            <w:rFonts w:ascii="宋体" w:hAnsi="宋体" w:cs="宋体"/>
            <w:noProof/>
            <w:highlight w:val="white"/>
          </w:rPr>
          <w:tab/>
        </w:r>
        <w:r w:rsidR="00DC4D19">
          <w:rPr>
            <w:rFonts w:ascii="宋体" w:hAnsi="宋体" w:cs="宋体"/>
            <w:noProof/>
          </w:rPr>
          <w:fldChar w:fldCharType="begin"/>
        </w:r>
        <w:r w:rsidR="00DC4D19">
          <w:rPr>
            <w:rFonts w:ascii="宋体" w:hAnsi="宋体" w:cs="宋体"/>
            <w:noProof/>
            <w:highlight w:val="white"/>
          </w:rPr>
          <w:instrText xml:space="preserve"> PAGEREF _Toc68875910 \h </w:instrText>
        </w:r>
        <w:r w:rsidR="00DC4D19">
          <w:rPr>
            <w:rFonts w:ascii="宋体" w:hAnsi="宋体" w:cs="宋体"/>
            <w:noProof/>
          </w:rPr>
          <w:fldChar w:fldCharType="separate"/>
        </w:r>
        <w:r w:rsidR="00D71BCD">
          <w:rPr>
            <w:rFonts w:ascii="宋体" w:hAnsi="宋体" w:cs="宋体" w:hint="eastAsia"/>
            <w:noProof/>
            <w:highlight w:val="white"/>
          </w:rPr>
          <w:t>13</w:t>
        </w:r>
        <w:r w:rsidR="00DC4D19">
          <w:rPr>
            <w:rFonts w:ascii="宋体" w:hAnsi="宋体" w:cs="宋体"/>
            <w:noProof/>
          </w:rPr>
          <w:fldChar w:fldCharType="end"/>
        </w:r>
      </w:hyperlink>
    </w:p>
    <w:p w:rsidR="00132D73" w14:paraId="2191AF9F" w14:textId="06D35F0F">
      <w:pPr>
        <w:pStyle w:val="TOC2"/>
        <w:rPr>
          <w:rFonts w:ascii="宋体" w:hAnsi="宋体" w:cs="宋体" w:hint="eastAsia"/>
          <w:noProof/>
          <w:sz w:val="22"/>
          <w:szCs w:val="22"/>
        </w:rPr>
      </w:pPr>
      <w:hyperlink w:anchor="_Toc68875911" w:tooltip="Current Document" w:history="1">
        <w:r w:rsidR="00DC4D19">
          <w:rPr>
            <w:rStyle w:val="Hyperlink"/>
            <w:rFonts w:ascii="宋体" w:hAnsi="宋体" w:cs="宋体" w:hint="eastAsia"/>
            <w:noProof/>
            <w:highlight w:val="white"/>
          </w:rPr>
          <w:t>九、基金收益分配</w:t>
        </w:r>
        <w:r w:rsidR="00DC4D19">
          <w:rPr>
            <w:rFonts w:ascii="宋体" w:hAnsi="宋体" w:cs="宋体"/>
            <w:noProof/>
            <w:highlight w:val="white"/>
          </w:rPr>
          <w:tab/>
        </w:r>
        <w:r w:rsidR="00DC4D19">
          <w:rPr>
            <w:rFonts w:ascii="宋体" w:hAnsi="宋体" w:cs="宋体"/>
            <w:noProof/>
          </w:rPr>
          <w:fldChar w:fldCharType="begin"/>
        </w:r>
        <w:r w:rsidR="00DC4D19">
          <w:rPr>
            <w:rFonts w:ascii="宋体" w:hAnsi="宋体" w:cs="宋体"/>
            <w:noProof/>
            <w:highlight w:val="white"/>
          </w:rPr>
          <w:instrText xml:space="preserve"> PAGEREF _Toc68875911 \h </w:instrText>
        </w:r>
        <w:r w:rsidR="00DC4D19">
          <w:rPr>
            <w:rFonts w:ascii="宋体" w:hAnsi="宋体" w:cs="宋体"/>
            <w:noProof/>
          </w:rPr>
          <w:fldChar w:fldCharType="separate"/>
        </w:r>
        <w:r w:rsidR="00D71BCD">
          <w:rPr>
            <w:rFonts w:ascii="宋体" w:hAnsi="宋体" w:cs="宋体" w:hint="eastAsia"/>
            <w:noProof/>
            <w:highlight w:val="white"/>
          </w:rPr>
          <w:t>17</w:t>
        </w:r>
        <w:r w:rsidR="00DC4D19">
          <w:rPr>
            <w:rFonts w:ascii="宋体" w:hAnsi="宋体" w:cs="宋体"/>
            <w:noProof/>
          </w:rPr>
          <w:fldChar w:fldCharType="end"/>
        </w:r>
      </w:hyperlink>
    </w:p>
    <w:p w:rsidR="00132D73" w14:paraId="6D0B25D9" w14:textId="7132BBCF">
      <w:pPr>
        <w:pStyle w:val="TOC2"/>
        <w:rPr>
          <w:rFonts w:ascii="宋体" w:hAnsi="宋体" w:cs="宋体" w:hint="eastAsia"/>
          <w:noProof/>
          <w:sz w:val="22"/>
          <w:szCs w:val="22"/>
        </w:rPr>
      </w:pPr>
      <w:hyperlink w:anchor="_Toc68875912" w:tooltip="Current Document" w:history="1">
        <w:r w:rsidR="00DC4D19">
          <w:rPr>
            <w:rStyle w:val="Hyperlink"/>
            <w:rFonts w:ascii="宋体" w:hAnsi="宋体" w:cs="宋体" w:hint="eastAsia"/>
            <w:noProof/>
            <w:highlight w:val="white"/>
          </w:rPr>
          <w:t>十、基金信息披露</w:t>
        </w:r>
        <w:r w:rsidR="00DC4D19">
          <w:rPr>
            <w:rFonts w:ascii="宋体" w:hAnsi="宋体" w:cs="宋体"/>
            <w:noProof/>
            <w:highlight w:val="white"/>
          </w:rPr>
          <w:tab/>
        </w:r>
        <w:r w:rsidR="00DC4D19">
          <w:rPr>
            <w:rFonts w:ascii="宋体" w:hAnsi="宋体" w:cs="宋体"/>
            <w:noProof/>
          </w:rPr>
          <w:fldChar w:fldCharType="begin"/>
        </w:r>
        <w:r w:rsidR="00DC4D19">
          <w:rPr>
            <w:rFonts w:ascii="宋体" w:hAnsi="宋体" w:cs="宋体"/>
            <w:noProof/>
            <w:highlight w:val="white"/>
          </w:rPr>
          <w:instrText xml:space="preserve"> PAGEREF _Toc68875912 \h </w:instrText>
        </w:r>
        <w:r w:rsidR="00DC4D19">
          <w:rPr>
            <w:rFonts w:ascii="宋体" w:hAnsi="宋体" w:cs="宋体"/>
            <w:noProof/>
          </w:rPr>
          <w:fldChar w:fldCharType="separate"/>
        </w:r>
        <w:r w:rsidR="00D71BCD">
          <w:rPr>
            <w:rFonts w:ascii="宋体" w:hAnsi="宋体" w:cs="宋体" w:hint="eastAsia"/>
            <w:noProof/>
            <w:highlight w:val="white"/>
          </w:rPr>
          <w:t>17</w:t>
        </w:r>
        <w:r w:rsidR="00DC4D19">
          <w:rPr>
            <w:rFonts w:ascii="宋体" w:hAnsi="宋体" w:cs="宋体"/>
            <w:noProof/>
          </w:rPr>
          <w:fldChar w:fldCharType="end"/>
        </w:r>
      </w:hyperlink>
    </w:p>
    <w:p w:rsidR="00132D73" w14:paraId="5FB7F3C9" w14:textId="5DC45944">
      <w:pPr>
        <w:pStyle w:val="TOC2"/>
        <w:rPr>
          <w:rFonts w:ascii="宋体" w:hAnsi="宋体" w:cs="宋体" w:hint="eastAsia"/>
          <w:noProof/>
          <w:sz w:val="22"/>
          <w:szCs w:val="22"/>
        </w:rPr>
      </w:pPr>
      <w:hyperlink w:anchor="_Toc68875913" w:tooltip="Current Document" w:history="1">
        <w:r w:rsidR="00DC4D19">
          <w:rPr>
            <w:rStyle w:val="Hyperlink"/>
            <w:rFonts w:ascii="宋体" w:hAnsi="宋体" w:cs="宋体" w:hint="eastAsia"/>
            <w:noProof/>
            <w:highlight w:val="white"/>
          </w:rPr>
          <w:t>十一、基金费用</w:t>
        </w:r>
        <w:r w:rsidR="00DC4D19">
          <w:rPr>
            <w:rFonts w:ascii="宋体" w:hAnsi="宋体" w:cs="宋体"/>
            <w:noProof/>
            <w:highlight w:val="white"/>
          </w:rPr>
          <w:tab/>
        </w:r>
        <w:r w:rsidR="00DC4D19">
          <w:rPr>
            <w:rFonts w:ascii="宋体" w:hAnsi="宋体" w:cs="宋体"/>
            <w:noProof/>
          </w:rPr>
          <w:fldChar w:fldCharType="begin"/>
        </w:r>
        <w:r w:rsidR="00DC4D19">
          <w:rPr>
            <w:rFonts w:ascii="宋体" w:hAnsi="宋体" w:cs="宋体"/>
            <w:noProof/>
            <w:highlight w:val="white"/>
          </w:rPr>
          <w:instrText xml:space="preserve"> PAGEREF _Toc68875913 \h </w:instrText>
        </w:r>
        <w:r w:rsidR="00DC4D19">
          <w:rPr>
            <w:rFonts w:ascii="宋体" w:hAnsi="宋体" w:cs="宋体"/>
            <w:noProof/>
          </w:rPr>
          <w:fldChar w:fldCharType="separate"/>
        </w:r>
        <w:r w:rsidR="00D71BCD">
          <w:rPr>
            <w:rFonts w:ascii="宋体" w:hAnsi="宋体" w:cs="宋体" w:hint="eastAsia"/>
            <w:noProof/>
            <w:highlight w:val="white"/>
          </w:rPr>
          <w:t>19</w:t>
        </w:r>
        <w:r w:rsidR="00DC4D19">
          <w:rPr>
            <w:rFonts w:ascii="宋体" w:hAnsi="宋体" w:cs="宋体"/>
            <w:noProof/>
          </w:rPr>
          <w:fldChar w:fldCharType="end"/>
        </w:r>
      </w:hyperlink>
    </w:p>
    <w:p w:rsidR="00132D73" w14:paraId="2F104CE6" w14:textId="5B81B628">
      <w:pPr>
        <w:pStyle w:val="TOC2"/>
        <w:rPr>
          <w:rFonts w:ascii="宋体" w:hAnsi="宋体" w:cs="宋体" w:hint="eastAsia"/>
          <w:noProof/>
          <w:sz w:val="22"/>
          <w:szCs w:val="22"/>
        </w:rPr>
      </w:pPr>
      <w:hyperlink w:anchor="_Toc68875914" w:tooltip="Current Document" w:history="1">
        <w:r w:rsidR="00DC4D19">
          <w:rPr>
            <w:rStyle w:val="Hyperlink"/>
            <w:rFonts w:ascii="宋体" w:hAnsi="宋体" w:cs="宋体" w:hint="eastAsia"/>
            <w:noProof/>
            <w:highlight w:val="white"/>
          </w:rPr>
          <w:t>十二、基金份额持有人名册的保管</w:t>
        </w:r>
        <w:r w:rsidR="00DC4D19">
          <w:rPr>
            <w:rFonts w:ascii="宋体" w:hAnsi="宋体" w:cs="宋体"/>
            <w:noProof/>
            <w:highlight w:val="white"/>
          </w:rPr>
          <w:tab/>
        </w:r>
        <w:r w:rsidR="00DC4D19">
          <w:rPr>
            <w:rFonts w:ascii="宋体" w:hAnsi="宋体" w:cs="宋体"/>
            <w:noProof/>
          </w:rPr>
          <w:fldChar w:fldCharType="begin"/>
        </w:r>
        <w:r w:rsidR="00DC4D19">
          <w:rPr>
            <w:rFonts w:ascii="宋体" w:hAnsi="宋体" w:cs="宋体"/>
            <w:noProof/>
            <w:highlight w:val="white"/>
          </w:rPr>
          <w:instrText xml:space="preserve"> PAGEREF _Toc68875914 \h </w:instrText>
        </w:r>
        <w:r w:rsidR="00DC4D19">
          <w:rPr>
            <w:rFonts w:ascii="宋体" w:hAnsi="宋体" w:cs="宋体"/>
            <w:noProof/>
          </w:rPr>
          <w:fldChar w:fldCharType="separate"/>
        </w:r>
        <w:r w:rsidR="00D71BCD">
          <w:rPr>
            <w:rFonts w:ascii="宋体" w:hAnsi="宋体" w:cs="宋体" w:hint="eastAsia"/>
            <w:noProof/>
            <w:highlight w:val="white"/>
          </w:rPr>
          <w:t>20</w:t>
        </w:r>
        <w:r w:rsidR="00DC4D19">
          <w:rPr>
            <w:rFonts w:ascii="宋体" w:hAnsi="宋体" w:cs="宋体"/>
            <w:noProof/>
          </w:rPr>
          <w:fldChar w:fldCharType="end"/>
        </w:r>
      </w:hyperlink>
    </w:p>
    <w:p w:rsidR="00132D73" w14:paraId="1F62D618" w14:textId="245BBF20">
      <w:pPr>
        <w:pStyle w:val="TOC2"/>
        <w:rPr>
          <w:rFonts w:ascii="宋体" w:hAnsi="宋体" w:cs="宋体" w:hint="eastAsia"/>
          <w:noProof/>
          <w:sz w:val="22"/>
          <w:szCs w:val="22"/>
        </w:rPr>
      </w:pPr>
      <w:hyperlink w:anchor="_Toc68875915" w:tooltip="Current Document" w:history="1">
        <w:r w:rsidR="00DC4D19">
          <w:rPr>
            <w:rStyle w:val="Hyperlink"/>
            <w:rFonts w:ascii="宋体" w:hAnsi="宋体" w:cs="宋体" w:hint="eastAsia"/>
            <w:noProof/>
            <w:highlight w:val="white"/>
          </w:rPr>
          <w:t>十三、基金有关文件档案的保存</w:t>
        </w:r>
        <w:r w:rsidR="00DC4D19">
          <w:rPr>
            <w:rFonts w:ascii="宋体" w:hAnsi="宋体" w:cs="宋体"/>
            <w:noProof/>
            <w:highlight w:val="white"/>
          </w:rPr>
          <w:tab/>
        </w:r>
        <w:r w:rsidR="00DC4D19">
          <w:rPr>
            <w:rFonts w:ascii="宋体" w:hAnsi="宋体" w:cs="宋体"/>
            <w:noProof/>
          </w:rPr>
          <w:fldChar w:fldCharType="begin"/>
        </w:r>
        <w:r w:rsidR="00DC4D19">
          <w:rPr>
            <w:rFonts w:ascii="宋体" w:hAnsi="宋体" w:cs="宋体"/>
            <w:noProof/>
            <w:highlight w:val="white"/>
          </w:rPr>
          <w:instrText xml:space="preserve"> PAGEREF _Toc68875915 \h </w:instrText>
        </w:r>
        <w:r w:rsidR="00DC4D19">
          <w:rPr>
            <w:rFonts w:ascii="宋体" w:hAnsi="宋体" w:cs="宋体"/>
            <w:noProof/>
          </w:rPr>
          <w:fldChar w:fldCharType="separate"/>
        </w:r>
        <w:r w:rsidR="00D71BCD">
          <w:rPr>
            <w:rFonts w:ascii="宋体" w:hAnsi="宋体" w:cs="宋体" w:hint="eastAsia"/>
            <w:noProof/>
            <w:highlight w:val="white"/>
          </w:rPr>
          <w:t>20</w:t>
        </w:r>
        <w:r w:rsidR="00DC4D19">
          <w:rPr>
            <w:rFonts w:ascii="宋体" w:hAnsi="宋体" w:cs="宋体"/>
            <w:noProof/>
          </w:rPr>
          <w:fldChar w:fldCharType="end"/>
        </w:r>
      </w:hyperlink>
    </w:p>
    <w:p w:rsidR="00132D73" w14:paraId="2DBC1596" w14:textId="531DE7EF">
      <w:pPr>
        <w:pStyle w:val="TOC2"/>
        <w:rPr>
          <w:rFonts w:ascii="宋体" w:hAnsi="宋体" w:cs="宋体" w:hint="eastAsia"/>
          <w:noProof/>
          <w:sz w:val="22"/>
          <w:szCs w:val="22"/>
        </w:rPr>
      </w:pPr>
      <w:hyperlink w:anchor="_Toc68875916" w:tooltip="Current Document" w:history="1">
        <w:r w:rsidR="00DC4D19">
          <w:rPr>
            <w:rStyle w:val="Hyperlink"/>
            <w:rFonts w:ascii="宋体" w:hAnsi="宋体" w:cs="宋体" w:hint="eastAsia"/>
            <w:noProof/>
            <w:highlight w:val="white"/>
          </w:rPr>
          <w:t>十四、基金管理人和基金托管人的更换</w:t>
        </w:r>
        <w:r w:rsidR="00DC4D19">
          <w:rPr>
            <w:rFonts w:ascii="宋体" w:hAnsi="宋体" w:cs="宋体"/>
            <w:noProof/>
            <w:highlight w:val="white"/>
          </w:rPr>
          <w:tab/>
        </w:r>
        <w:r w:rsidR="00DC4D19">
          <w:rPr>
            <w:rFonts w:ascii="宋体" w:hAnsi="宋体" w:cs="宋体"/>
            <w:noProof/>
          </w:rPr>
          <w:fldChar w:fldCharType="begin"/>
        </w:r>
        <w:r w:rsidR="00DC4D19">
          <w:rPr>
            <w:rFonts w:ascii="宋体" w:hAnsi="宋体" w:cs="宋体"/>
            <w:noProof/>
            <w:highlight w:val="white"/>
          </w:rPr>
          <w:instrText xml:space="preserve"> PAGEREF _Toc68875916 \h </w:instrText>
        </w:r>
        <w:r w:rsidR="00DC4D19">
          <w:rPr>
            <w:rFonts w:ascii="宋体" w:hAnsi="宋体" w:cs="宋体"/>
            <w:noProof/>
          </w:rPr>
          <w:fldChar w:fldCharType="separate"/>
        </w:r>
        <w:r w:rsidR="00D71BCD">
          <w:rPr>
            <w:rFonts w:ascii="宋体" w:hAnsi="宋体" w:cs="宋体" w:hint="eastAsia"/>
            <w:noProof/>
            <w:highlight w:val="white"/>
          </w:rPr>
          <w:t>20</w:t>
        </w:r>
        <w:r w:rsidR="00DC4D19">
          <w:rPr>
            <w:rFonts w:ascii="宋体" w:hAnsi="宋体" w:cs="宋体"/>
            <w:noProof/>
          </w:rPr>
          <w:fldChar w:fldCharType="end"/>
        </w:r>
      </w:hyperlink>
    </w:p>
    <w:p w:rsidR="00132D73" w14:paraId="2394DE2E" w14:textId="662C145F">
      <w:pPr>
        <w:pStyle w:val="TOC2"/>
        <w:rPr>
          <w:rFonts w:ascii="宋体" w:hAnsi="宋体" w:cs="宋体" w:hint="eastAsia"/>
          <w:noProof/>
          <w:sz w:val="22"/>
          <w:szCs w:val="22"/>
        </w:rPr>
      </w:pPr>
      <w:hyperlink w:anchor="_Toc68875917" w:tooltip="Current Document" w:history="1">
        <w:r w:rsidR="00DC4D19">
          <w:rPr>
            <w:rStyle w:val="Hyperlink"/>
            <w:rFonts w:ascii="宋体" w:hAnsi="宋体" w:cs="宋体" w:hint="eastAsia"/>
            <w:noProof/>
            <w:highlight w:val="white"/>
          </w:rPr>
          <w:t>十五、禁止行为</w:t>
        </w:r>
        <w:r w:rsidR="00DC4D19">
          <w:rPr>
            <w:rFonts w:ascii="宋体" w:hAnsi="宋体" w:cs="宋体"/>
            <w:noProof/>
            <w:highlight w:val="white"/>
          </w:rPr>
          <w:tab/>
        </w:r>
        <w:r w:rsidR="00DC4D19">
          <w:rPr>
            <w:rFonts w:ascii="宋体" w:hAnsi="宋体" w:cs="宋体"/>
            <w:noProof/>
          </w:rPr>
          <w:fldChar w:fldCharType="begin"/>
        </w:r>
        <w:r w:rsidR="00DC4D19">
          <w:rPr>
            <w:rFonts w:ascii="宋体" w:hAnsi="宋体" w:cs="宋体"/>
            <w:noProof/>
            <w:highlight w:val="white"/>
          </w:rPr>
          <w:instrText xml:space="preserve"> PAGEREF _Toc68875917 \h </w:instrText>
        </w:r>
        <w:r w:rsidR="00DC4D19">
          <w:rPr>
            <w:rFonts w:ascii="宋体" w:hAnsi="宋体" w:cs="宋体"/>
            <w:noProof/>
          </w:rPr>
          <w:fldChar w:fldCharType="separate"/>
        </w:r>
        <w:r w:rsidR="00D71BCD">
          <w:rPr>
            <w:rFonts w:ascii="宋体" w:hAnsi="宋体" w:cs="宋体" w:hint="eastAsia"/>
            <w:noProof/>
            <w:highlight w:val="white"/>
          </w:rPr>
          <w:t>22</w:t>
        </w:r>
        <w:r w:rsidR="00DC4D19">
          <w:rPr>
            <w:rFonts w:ascii="宋体" w:hAnsi="宋体" w:cs="宋体"/>
            <w:noProof/>
          </w:rPr>
          <w:fldChar w:fldCharType="end"/>
        </w:r>
      </w:hyperlink>
    </w:p>
    <w:p w:rsidR="00132D73" w14:paraId="211C5784" w14:textId="2E603DA3">
      <w:pPr>
        <w:pStyle w:val="TOC2"/>
        <w:rPr>
          <w:rFonts w:ascii="宋体" w:hAnsi="宋体" w:cs="宋体" w:hint="eastAsia"/>
          <w:noProof/>
          <w:sz w:val="22"/>
          <w:szCs w:val="22"/>
        </w:rPr>
      </w:pPr>
      <w:hyperlink w:anchor="_Toc68875918" w:tooltip="Current Document" w:history="1">
        <w:r w:rsidR="00DC4D19">
          <w:rPr>
            <w:rStyle w:val="Hyperlink"/>
            <w:rFonts w:ascii="宋体" w:hAnsi="宋体" w:cs="宋体" w:hint="eastAsia"/>
            <w:noProof/>
            <w:highlight w:val="white"/>
          </w:rPr>
          <w:t>十六、托管协议的变更、终止与基金财产的清算</w:t>
        </w:r>
        <w:r w:rsidR="00DC4D19">
          <w:rPr>
            <w:rFonts w:ascii="宋体" w:hAnsi="宋体" w:cs="宋体"/>
            <w:noProof/>
            <w:highlight w:val="white"/>
          </w:rPr>
          <w:tab/>
        </w:r>
        <w:r w:rsidR="00DC4D19">
          <w:rPr>
            <w:rFonts w:ascii="宋体" w:hAnsi="宋体" w:cs="宋体"/>
            <w:noProof/>
          </w:rPr>
          <w:fldChar w:fldCharType="begin"/>
        </w:r>
        <w:r w:rsidR="00DC4D19">
          <w:rPr>
            <w:rFonts w:ascii="宋体" w:hAnsi="宋体" w:cs="宋体"/>
            <w:noProof/>
            <w:highlight w:val="white"/>
          </w:rPr>
          <w:instrText xml:space="preserve"> PAGEREF _Toc68875918 \h </w:instrText>
        </w:r>
        <w:r w:rsidR="00DC4D19">
          <w:rPr>
            <w:rFonts w:ascii="宋体" w:hAnsi="宋体" w:cs="宋体"/>
            <w:noProof/>
          </w:rPr>
          <w:fldChar w:fldCharType="separate"/>
        </w:r>
        <w:r w:rsidR="00D71BCD">
          <w:rPr>
            <w:rFonts w:ascii="宋体" w:hAnsi="宋体" w:cs="宋体" w:hint="eastAsia"/>
            <w:noProof/>
            <w:highlight w:val="white"/>
          </w:rPr>
          <w:t>23</w:t>
        </w:r>
        <w:r w:rsidR="00DC4D19">
          <w:rPr>
            <w:rFonts w:ascii="宋体" w:hAnsi="宋体" w:cs="宋体"/>
            <w:noProof/>
          </w:rPr>
          <w:fldChar w:fldCharType="end"/>
        </w:r>
      </w:hyperlink>
    </w:p>
    <w:p w:rsidR="00132D73" w14:paraId="57561D65" w14:textId="7732F7FB">
      <w:pPr>
        <w:pStyle w:val="TOC2"/>
        <w:rPr>
          <w:rFonts w:ascii="宋体" w:hAnsi="宋体" w:cs="宋体" w:hint="eastAsia"/>
          <w:noProof/>
          <w:sz w:val="22"/>
          <w:szCs w:val="22"/>
        </w:rPr>
      </w:pPr>
      <w:hyperlink w:anchor="_Toc68875919" w:tooltip="Current Document" w:history="1">
        <w:r w:rsidR="00DC4D19">
          <w:rPr>
            <w:rStyle w:val="Hyperlink"/>
            <w:rFonts w:ascii="宋体" w:hAnsi="宋体" w:cs="宋体" w:hint="eastAsia"/>
            <w:noProof/>
            <w:highlight w:val="white"/>
          </w:rPr>
          <w:t>十七、违约责任</w:t>
        </w:r>
        <w:r w:rsidR="00DC4D19">
          <w:rPr>
            <w:rFonts w:ascii="宋体" w:hAnsi="宋体" w:cs="宋体"/>
            <w:noProof/>
            <w:highlight w:val="white"/>
          </w:rPr>
          <w:tab/>
        </w:r>
        <w:r w:rsidR="00DC4D19">
          <w:rPr>
            <w:rFonts w:ascii="宋体" w:hAnsi="宋体" w:cs="宋体"/>
            <w:noProof/>
          </w:rPr>
          <w:fldChar w:fldCharType="begin"/>
        </w:r>
        <w:r w:rsidR="00DC4D19">
          <w:rPr>
            <w:rFonts w:ascii="宋体" w:hAnsi="宋体" w:cs="宋体"/>
            <w:noProof/>
            <w:highlight w:val="white"/>
          </w:rPr>
          <w:instrText xml:space="preserve"> PAGEREF _Toc68875919 \h </w:instrText>
        </w:r>
        <w:r w:rsidR="00DC4D19">
          <w:rPr>
            <w:rFonts w:ascii="宋体" w:hAnsi="宋体" w:cs="宋体"/>
            <w:noProof/>
          </w:rPr>
          <w:fldChar w:fldCharType="separate"/>
        </w:r>
        <w:r w:rsidR="00D71BCD">
          <w:rPr>
            <w:rFonts w:ascii="宋体" w:hAnsi="宋体" w:cs="宋体" w:hint="eastAsia"/>
            <w:noProof/>
            <w:highlight w:val="white"/>
          </w:rPr>
          <w:t>24</w:t>
        </w:r>
        <w:r w:rsidR="00DC4D19">
          <w:rPr>
            <w:rFonts w:ascii="宋体" w:hAnsi="宋体" w:cs="宋体"/>
            <w:noProof/>
          </w:rPr>
          <w:fldChar w:fldCharType="end"/>
        </w:r>
      </w:hyperlink>
    </w:p>
    <w:p w:rsidR="00132D73" w14:paraId="1DB29F9C" w14:textId="01B28E21">
      <w:pPr>
        <w:pStyle w:val="TOC2"/>
        <w:rPr>
          <w:rFonts w:ascii="宋体" w:hAnsi="宋体" w:cs="宋体" w:hint="eastAsia"/>
          <w:noProof/>
          <w:sz w:val="22"/>
          <w:szCs w:val="22"/>
        </w:rPr>
      </w:pPr>
      <w:hyperlink w:anchor="_Toc68875920" w:tooltip="Current Document" w:history="1">
        <w:r w:rsidR="00DC4D19">
          <w:rPr>
            <w:rStyle w:val="Hyperlink"/>
            <w:rFonts w:ascii="宋体" w:hAnsi="宋体" w:cs="宋体" w:hint="eastAsia"/>
            <w:noProof/>
            <w:highlight w:val="white"/>
          </w:rPr>
          <w:t>十八、争议解决方式</w:t>
        </w:r>
        <w:r w:rsidR="00DC4D19">
          <w:rPr>
            <w:rFonts w:ascii="宋体" w:hAnsi="宋体" w:cs="宋体"/>
            <w:noProof/>
            <w:highlight w:val="white"/>
          </w:rPr>
          <w:tab/>
        </w:r>
        <w:r w:rsidR="00DC4D19">
          <w:rPr>
            <w:rFonts w:ascii="宋体" w:hAnsi="宋体" w:cs="宋体"/>
            <w:noProof/>
          </w:rPr>
          <w:fldChar w:fldCharType="begin"/>
        </w:r>
        <w:r w:rsidR="00DC4D19">
          <w:rPr>
            <w:rFonts w:ascii="宋体" w:hAnsi="宋体" w:cs="宋体"/>
            <w:noProof/>
            <w:highlight w:val="white"/>
          </w:rPr>
          <w:instrText xml:space="preserve"> PAGEREF _Toc68875920 \h </w:instrText>
        </w:r>
        <w:r w:rsidR="00DC4D19">
          <w:rPr>
            <w:rFonts w:ascii="宋体" w:hAnsi="宋体" w:cs="宋体"/>
            <w:noProof/>
          </w:rPr>
          <w:fldChar w:fldCharType="separate"/>
        </w:r>
        <w:r w:rsidR="00D71BCD">
          <w:rPr>
            <w:rFonts w:ascii="宋体" w:hAnsi="宋体" w:cs="宋体" w:hint="eastAsia"/>
            <w:noProof/>
            <w:highlight w:val="white"/>
          </w:rPr>
          <w:t>25</w:t>
        </w:r>
        <w:r w:rsidR="00DC4D19">
          <w:rPr>
            <w:rFonts w:ascii="宋体" w:hAnsi="宋体" w:cs="宋体"/>
            <w:noProof/>
          </w:rPr>
          <w:fldChar w:fldCharType="end"/>
        </w:r>
      </w:hyperlink>
    </w:p>
    <w:p w:rsidR="00132D73" w14:paraId="68A1D712" w14:textId="268932E0">
      <w:pPr>
        <w:pStyle w:val="TOC2"/>
        <w:rPr>
          <w:rFonts w:ascii="宋体" w:hAnsi="宋体" w:cs="宋体" w:hint="eastAsia"/>
          <w:noProof/>
          <w:sz w:val="22"/>
          <w:szCs w:val="22"/>
        </w:rPr>
      </w:pPr>
      <w:hyperlink w:anchor="_Toc68875921" w:tooltip="Current Document" w:history="1">
        <w:r w:rsidR="00DC4D19">
          <w:rPr>
            <w:rStyle w:val="Hyperlink"/>
            <w:rFonts w:ascii="宋体" w:hAnsi="宋体" w:cs="宋体" w:hint="eastAsia"/>
            <w:noProof/>
            <w:highlight w:val="white"/>
          </w:rPr>
          <w:t>十九、托管协议的效力</w:t>
        </w:r>
        <w:r w:rsidR="00DC4D19">
          <w:rPr>
            <w:rFonts w:ascii="宋体" w:hAnsi="宋体" w:cs="宋体"/>
            <w:noProof/>
            <w:highlight w:val="white"/>
          </w:rPr>
          <w:tab/>
        </w:r>
        <w:r w:rsidR="00DC4D19">
          <w:rPr>
            <w:rFonts w:ascii="宋体" w:hAnsi="宋体" w:cs="宋体"/>
            <w:noProof/>
          </w:rPr>
          <w:fldChar w:fldCharType="begin"/>
        </w:r>
        <w:r w:rsidR="00DC4D19">
          <w:rPr>
            <w:rFonts w:ascii="宋体" w:hAnsi="宋体" w:cs="宋体"/>
            <w:noProof/>
            <w:highlight w:val="white"/>
          </w:rPr>
          <w:instrText xml:space="preserve"> PAGEREF _Toc68875921 \h </w:instrText>
        </w:r>
        <w:r w:rsidR="00DC4D19">
          <w:rPr>
            <w:rFonts w:ascii="宋体" w:hAnsi="宋体" w:cs="宋体"/>
            <w:noProof/>
          </w:rPr>
          <w:fldChar w:fldCharType="separate"/>
        </w:r>
        <w:r w:rsidR="00D71BCD">
          <w:rPr>
            <w:rFonts w:ascii="宋体" w:hAnsi="宋体" w:cs="宋体" w:hint="eastAsia"/>
            <w:noProof/>
            <w:highlight w:val="white"/>
          </w:rPr>
          <w:t>25</w:t>
        </w:r>
        <w:r w:rsidR="00DC4D19">
          <w:rPr>
            <w:rFonts w:ascii="宋体" w:hAnsi="宋体" w:cs="宋体"/>
            <w:noProof/>
          </w:rPr>
          <w:fldChar w:fldCharType="end"/>
        </w:r>
      </w:hyperlink>
    </w:p>
    <w:p w:rsidR="00132D73" w14:paraId="23C4BE9C" w14:textId="3673A7CD">
      <w:pPr>
        <w:pStyle w:val="TOC2"/>
        <w:rPr>
          <w:rFonts w:ascii="宋体" w:hAnsi="宋体" w:cs="宋体" w:hint="eastAsia"/>
          <w:noProof/>
          <w:sz w:val="22"/>
          <w:szCs w:val="22"/>
        </w:rPr>
      </w:pPr>
      <w:hyperlink w:anchor="_Toc68875922" w:tooltip="Current Document" w:history="1">
        <w:r w:rsidR="00DC4D19">
          <w:rPr>
            <w:rStyle w:val="Hyperlink"/>
            <w:rFonts w:ascii="宋体" w:hAnsi="宋体" w:cs="宋体" w:hint="eastAsia"/>
            <w:noProof/>
            <w:highlight w:val="white"/>
          </w:rPr>
          <w:t>二十、其他事项</w:t>
        </w:r>
        <w:r w:rsidR="00DC4D19">
          <w:rPr>
            <w:rFonts w:ascii="宋体" w:hAnsi="宋体" w:cs="宋体"/>
            <w:noProof/>
            <w:highlight w:val="white"/>
          </w:rPr>
          <w:tab/>
        </w:r>
        <w:r w:rsidR="00DC4D19">
          <w:rPr>
            <w:rFonts w:ascii="宋体" w:hAnsi="宋体" w:cs="宋体"/>
            <w:noProof/>
          </w:rPr>
          <w:fldChar w:fldCharType="begin"/>
        </w:r>
        <w:r w:rsidR="00DC4D19">
          <w:rPr>
            <w:rFonts w:ascii="宋体" w:hAnsi="宋体" w:cs="宋体"/>
            <w:noProof/>
            <w:highlight w:val="white"/>
          </w:rPr>
          <w:instrText xml:space="preserve"> PAGEREF _Toc68875922 \h </w:instrText>
        </w:r>
        <w:r w:rsidR="00DC4D19">
          <w:rPr>
            <w:rFonts w:ascii="宋体" w:hAnsi="宋体" w:cs="宋体"/>
            <w:noProof/>
          </w:rPr>
          <w:fldChar w:fldCharType="separate"/>
        </w:r>
        <w:r w:rsidR="00D71BCD">
          <w:rPr>
            <w:rFonts w:ascii="宋体" w:hAnsi="宋体" w:cs="宋体" w:hint="eastAsia"/>
            <w:noProof/>
            <w:highlight w:val="white"/>
          </w:rPr>
          <w:t>25</w:t>
        </w:r>
        <w:r w:rsidR="00DC4D19">
          <w:rPr>
            <w:rFonts w:ascii="宋体" w:hAnsi="宋体" w:cs="宋体"/>
            <w:noProof/>
          </w:rPr>
          <w:fldChar w:fldCharType="end"/>
        </w:r>
      </w:hyperlink>
    </w:p>
    <w:p w:rsidR="00132D73" w14:paraId="4DD11DD2" w14:textId="2EF3E940">
      <w:pPr>
        <w:pStyle w:val="TOC2"/>
        <w:rPr>
          <w:rFonts w:ascii="宋体" w:hAnsi="宋体" w:cs="宋体" w:hint="eastAsia"/>
          <w:noProof/>
          <w:sz w:val="22"/>
          <w:szCs w:val="22"/>
        </w:rPr>
      </w:pPr>
      <w:hyperlink w:anchor="_Toc68875923" w:tooltip="Current Document" w:history="1">
        <w:r w:rsidR="00DC4D19">
          <w:rPr>
            <w:rStyle w:val="Hyperlink"/>
            <w:rFonts w:ascii="宋体" w:hAnsi="宋体" w:cs="宋体" w:hint="eastAsia"/>
            <w:noProof/>
            <w:highlight w:val="white"/>
          </w:rPr>
          <w:t>二十一、托管协议的签订</w:t>
        </w:r>
        <w:r w:rsidR="00DC4D19">
          <w:rPr>
            <w:rFonts w:ascii="宋体" w:hAnsi="宋体" w:cs="宋体"/>
            <w:noProof/>
            <w:highlight w:val="white"/>
          </w:rPr>
          <w:tab/>
        </w:r>
        <w:r w:rsidR="00DC4D19">
          <w:rPr>
            <w:rFonts w:ascii="宋体" w:hAnsi="宋体" w:cs="宋体"/>
            <w:noProof/>
          </w:rPr>
          <w:fldChar w:fldCharType="begin"/>
        </w:r>
        <w:r w:rsidR="00DC4D19">
          <w:rPr>
            <w:rFonts w:ascii="宋体" w:hAnsi="宋体" w:cs="宋体"/>
            <w:noProof/>
            <w:highlight w:val="white"/>
          </w:rPr>
          <w:instrText xml:space="preserve"> PAGEREF _Toc68875923 \h </w:instrText>
        </w:r>
        <w:r w:rsidR="00DC4D19">
          <w:rPr>
            <w:rFonts w:ascii="宋体" w:hAnsi="宋体" w:cs="宋体"/>
            <w:noProof/>
          </w:rPr>
          <w:fldChar w:fldCharType="separate"/>
        </w:r>
        <w:r w:rsidR="00D71BCD">
          <w:rPr>
            <w:rFonts w:ascii="宋体" w:hAnsi="宋体" w:cs="宋体" w:hint="eastAsia"/>
            <w:noProof/>
            <w:highlight w:val="white"/>
          </w:rPr>
          <w:t>25</w:t>
        </w:r>
        <w:r w:rsidR="00DC4D19">
          <w:rPr>
            <w:rFonts w:ascii="宋体" w:hAnsi="宋体" w:cs="宋体"/>
            <w:noProof/>
          </w:rPr>
          <w:fldChar w:fldCharType="end"/>
        </w:r>
      </w:hyperlink>
    </w:p>
    <w:p w:rsidR="00132D73" w14:paraId="6A71CF23" w14:textId="77777777">
      <w:pPr>
        <w:rPr>
          <w:rFonts w:ascii="宋体" w:hAnsi="宋体" w:cs="宋体" w:hint="eastAsia"/>
          <w:sz w:val="24"/>
        </w:rPr>
      </w:pPr>
      <w:r>
        <w:rPr>
          <w:rFonts w:ascii="宋体" w:hAnsi="宋体" w:cs="宋体"/>
          <w:sz w:val="28"/>
        </w:rPr>
        <w:fldChar w:fldCharType="end"/>
      </w:r>
    </w:p>
    <w:p w:rsidR="00132D73" w14:paraId="2B24675B" w14:textId="77777777">
      <w:pPr>
        <w:widowControl/>
        <w:snapToGrid w:val="0"/>
        <w:ind w:firstLine="480"/>
        <w:rPr>
          <w:rFonts w:ascii="宋体" w:hAnsi="宋体" w:cs="宋体" w:hint="eastAsia"/>
          <w:sz w:val="24"/>
        </w:rPr>
        <w:sectPr>
          <w:headerReference w:type="default" r:id="rId6"/>
          <w:footerReference w:type="default" r:id="rId7"/>
          <w:pgSz w:w="11906" w:h="16838"/>
          <w:pgMar w:top="1418" w:right="1701" w:bottom="1418" w:left="1701" w:header="851" w:footer="992" w:gutter="0"/>
          <w:pgNumType w:start="1"/>
          <w:cols w:space="720"/>
          <w:docGrid w:type="lines" w:linePitch="312"/>
        </w:sectPr>
      </w:pPr>
    </w:p>
    <w:p w:rsidR="00132D73" w14:paraId="2E9DC847" w14:textId="77777777">
      <w:pPr>
        <w:widowControl/>
        <w:ind w:firstLine="480"/>
        <w:rPr>
          <w:rFonts w:ascii="宋体" w:hAnsi="宋体" w:cs="宋体" w:hint="eastAsia"/>
          <w:sz w:val="24"/>
          <w:lang w:eastAsia="zh-CN"/>
        </w:rPr>
      </w:pPr>
      <w:r>
        <w:rPr>
          <w:rFonts w:ascii="宋体" w:hAnsi="宋体" w:cs="宋体"/>
          <w:sz w:val="24"/>
          <w:highlight w:val="white"/>
          <w:lang w:eastAsia="zh-CN"/>
        </w:rPr>
        <w:t>鉴于易方达基金管理有限公司系一家依照中国法律合法成立并有效存续的有限责任公司，按照相关法律法规的规定具备担任基金管理人的资格和能力，拟募集发行</w:t>
      </w:r>
      <w:r>
        <w:rPr>
          <w:rFonts w:ascii="宋体" w:hAnsi="宋体" w:cs="宋体"/>
          <w:sz w:val="24"/>
          <w:lang w:eastAsia="zh-CN"/>
        </w:rPr>
        <w:t>易方达中证红利增长交易型开放式指数证券投资基金</w:t>
      </w:r>
      <w:r>
        <w:rPr>
          <w:rFonts w:ascii="宋体" w:hAnsi="宋体" w:cs="宋体"/>
          <w:sz w:val="24"/>
          <w:highlight w:val="white"/>
          <w:lang w:eastAsia="zh-CN"/>
        </w:rPr>
        <w:t>；</w:t>
      </w:r>
    </w:p>
    <w:p w:rsidR="00132D73" w14:paraId="76192ACD" w14:textId="77777777">
      <w:pPr>
        <w:widowControl/>
        <w:snapToGrid w:val="0"/>
        <w:ind w:firstLine="480"/>
        <w:rPr>
          <w:rFonts w:ascii="宋体" w:hAnsi="宋体" w:cs="宋体" w:hint="eastAsia"/>
          <w:sz w:val="24"/>
          <w:lang w:eastAsia="zh-CN"/>
        </w:rPr>
      </w:pPr>
      <w:r>
        <w:rPr>
          <w:rFonts w:ascii="宋体" w:hAnsi="宋体" w:cs="宋体" w:hint="eastAsia"/>
          <w:sz w:val="24"/>
          <w:highlight w:val="white"/>
          <w:lang w:eastAsia="zh-CN"/>
        </w:rPr>
        <w:t>鉴于中国建设银行股份有限公司系一家依照中国法律合法成立并有效存续的银行，按照相关法律法规的规定具备担任基金托管人的资格和能力；</w:t>
      </w:r>
    </w:p>
    <w:p w:rsidR="00132D73" w14:paraId="3E8BE09A" w14:textId="77777777">
      <w:pPr>
        <w:widowControl/>
        <w:snapToGrid w:val="0"/>
        <w:ind w:firstLine="480"/>
        <w:rPr>
          <w:rFonts w:ascii="宋体" w:hAnsi="宋体" w:cs="宋体" w:hint="eastAsia"/>
          <w:sz w:val="24"/>
          <w:lang w:eastAsia="zh-CN"/>
        </w:rPr>
      </w:pPr>
      <w:r>
        <w:rPr>
          <w:rFonts w:ascii="宋体" w:hAnsi="宋体" w:cs="宋体" w:hint="eastAsia"/>
          <w:sz w:val="24"/>
          <w:highlight w:val="white"/>
          <w:lang w:eastAsia="zh-CN"/>
        </w:rPr>
        <w:t>鉴于易方达基金管理有限公司拟担任</w:t>
      </w:r>
      <w:r>
        <w:rPr>
          <w:rFonts w:ascii="宋体" w:hAnsi="宋体" w:cs="宋体" w:hint="eastAsia"/>
          <w:sz w:val="24"/>
          <w:lang w:eastAsia="zh-CN"/>
        </w:rPr>
        <w:t>易方达中证红利增长交易型开放式指数证券投资基金</w:t>
      </w:r>
      <w:r>
        <w:rPr>
          <w:rFonts w:ascii="宋体" w:hAnsi="宋体" w:cs="宋体" w:hint="eastAsia"/>
          <w:sz w:val="24"/>
          <w:highlight w:val="white"/>
          <w:lang w:eastAsia="zh-CN"/>
        </w:rPr>
        <w:t>的基金管理人，中国建设银行股份有限公司拟担任</w:t>
      </w:r>
      <w:r>
        <w:rPr>
          <w:rFonts w:ascii="宋体" w:hAnsi="宋体" w:cs="宋体" w:hint="eastAsia"/>
          <w:sz w:val="24"/>
          <w:lang w:eastAsia="zh-CN"/>
        </w:rPr>
        <w:t>易方达中证红利增长交易型开放式指数证券投资基金</w:t>
      </w:r>
      <w:r>
        <w:rPr>
          <w:rFonts w:ascii="宋体" w:hAnsi="宋体" w:cs="宋体" w:hint="eastAsia"/>
          <w:sz w:val="24"/>
          <w:highlight w:val="white"/>
          <w:lang w:eastAsia="zh-CN"/>
        </w:rPr>
        <w:t>的基金托管人；</w:t>
      </w:r>
    </w:p>
    <w:p w:rsidR="00132D73" w14:paraId="17343D9A" w14:textId="77777777">
      <w:pPr>
        <w:widowControl/>
        <w:snapToGrid w:val="0"/>
        <w:ind w:firstLine="480"/>
        <w:rPr>
          <w:rFonts w:ascii="宋体" w:hAnsi="宋体" w:cs="宋体" w:hint="eastAsia"/>
          <w:sz w:val="24"/>
          <w:lang w:eastAsia="zh-CN"/>
        </w:rPr>
      </w:pPr>
      <w:r>
        <w:rPr>
          <w:rFonts w:ascii="宋体" w:hAnsi="宋体" w:cs="宋体" w:hint="eastAsia"/>
          <w:sz w:val="24"/>
          <w:highlight w:val="white"/>
          <w:lang w:eastAsia="zh-CN"/>
        </w:rPr>
        <w:t>为明确</w:t>
      </w:r>
      <w:r>
        <w:rPr>
          <w:rFonts w:ascii="宋体" w:hAnsi="宋体" w:cs="宋体" w:hint="eastAsia"/>
          <w:sz w:val="24"/>
          <w:lang w:eastAsia="zh-CN"/>
        </w:rPr>
        <w:t>易方达中证红利增长交易型开放式指数证券投资基金</w:t>
      </w:r>
      <w:r>
        <w:rPr>
          <w:rFonts w:ascii="宋体" w:hAnsi="宋体" w:cs="宋体" w:hint="eastAsia"/>
          <w:sz w:val="24"/>
          <w:highlight w:val="white"/>
          <w:lang w:eastAsia="zh-CN"/>
        </w:rPr>
        <w:t>的基金管理人和基金托管人之间的权利义务关系，特制订本托管协议；</w:t>
      </w:r>
    </w:p>
    <w:p w:rsidR="00132D73" w14:paraId="4A2C05A0" w14:textId="77777777">
      <w:pPr>
        <w:widowControl/>
        <w:snapToGrid w:val="0"/>
        <w:ind w:firstLine="480"/>
        <w:rPr>
          <w:rFonts w:ascii="宋体" w:hAnsi="宋体" w:cs="宋体" w:hint="eastAsia"/>
          <w:sz w:val="24"/>
          <w:lang w:eastAsia="zh-CN"/>
        </w:rPr>
      </w:pPr>
      <w:r>
        <w:rPr>
          <w:rFonts w:ascii="宋体" w:hAnsi="宋体" w:cs="宋体" w:hint="eastAsia"/>
          <w:sz w:val="24"/>
          <w:highlight w:val="white"/>
          <w:lang w:val="en-GB" w:eastAsia="zh-CN"/>
        </w:rPr>
        <w:t>除非另有约定，《</w:t>
      </w:r>
      <w:r>
        <w:rPr>
          <w:rFonts w:ascii="宋体" w:hAnsi="宋体" w:cs="宋体" w:hint="eastAsia"/>
          <w:sz w:val="24"/>
          <w:lang w:eastAsia="zh-CN"/>
        </w:rPr>
        <w:t>易方达中证红利增长交易型开放式指数证券投资基金</w:t>
      </w:r>
      <w:r>
        <w:rPr>
          <w:rFonts w:ascii="宋体" w:hAnsi="宋体" w:cs="宋体" w:hint="eastAsia"/>
          <w:sz w:val="24"/>
          <w:highlight w:val="white"/>
          <w:lang w:val="en-GB" w:eastAsia="zh-CN"/>
        </w:rPr>
        <w:t>基金合同》(以下简称“基金合同”)中定义的术语在用于本托管协议时应具有相同的含义；若有抵触应以《基金合同》为准，并依其</w:t>
      </w:r>
      <w:r>
        <w:rPr>
          <w:rFonts w:ascii="宋体" w:hAnsi="宋体" w:cs="宋体" w:hint="eastAsia"/>
          <w:sz w:val="24"/>
          <w:highlight w:val="white"/>
          <w:lang w:eastAsia="zh-CN"/>
        </w:rPr>
        <w:t>条款</w:t>
      </w:r>
      <w:r>
        <w:rPr>
          <w:rFonts w:ascii="宋体" w:hAnsi="宋体" w:cs="宋体" w:hint="eastAsia"/>
          <w:sz w:val="24"/>
          <w:highlight w:val="white"/>
          <w:lang w:val="en-GB" w:eastAsia="zh-CN"/>
        </w:rPr>
        <w:t>解释。</w:t>
      </w:r>
    </w:p>
    <w:p w:rsidR="00132D73" w14:paraId="15E0AC4F" w14:textId="77777777">
      <w:pPr>
        <w:rPr>
          <w:rFonts w:ascii="宋体" w:hAnsi="宋体" w:cs="宋体" w:hint="eastAsia"/>
          <w:sz w:val="24"/>
          <w:lang w:eastAsia="zh-CN"/>
        </w:rPr>
      </w:pPr>
    </w:p>
    <w:p w:rsidR="00132D73" w14:paraId="673F1CBA" w14:textId="77777777">
      <w:pPr>
        <w:pStyle w:val="21"/>
        <w:jc w:val="center"/>
        <w:rPr>
          <w:rFonts w:ascii="宋体" w:eastAsia="宋体" w:hAnsi="宋体" w:cs="宋体" w:hint="eastAsia"/>
          <w:lang w:eastAsia="zh-CN"/>
        </w:rPr>
      </w:pPr>
      <w:bookmarkStart w:id="0" w:name="_Toc68875903"/>
      <w:r>
        <w:rPr>
          <w:rFonts w:ascii="宋体" w:eastAsia="宋体" w:hAnsi="宋体" w:cs="宋体" w:hint="eastAsia"/>
          <w:highlight w:val="white"/>
          <w:lang w:eastAsia="zh-CN"/>
        </w:rPr>
        <w:t>一、基金托管协议当事人</w:t>
      </w:r>
      <w:bookmarkEnd w:id="0"/>
    </w:p>
    <w:p w:rsidR="00132D73" w14:paraId="7B3DF717"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（一）基金管理人</w:t>
      </w:r>
    </w:p>
    <w:p w:rsidR="00132D73" w14:paraId="133D204C"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名称：易方达基金管理有限公司</w:t>
      </w:r>
    </w:p>
    <w:p w:rsidR="00132D73" w14:paraId="2B0CCFAA"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住所：广东省珠海市横琴新区</w:t>
      </w:r>
      <w:r>
        <w:rPr>
          <w:rFonts w:ascii="宋体" w:hAnsi="宋体" w:cs="宋体" w:hint="eastAsia"/>
          <w:sz w:val="24"/>
          <w:highlight w:val="white"/>
          <w:lang w:eastAsia="zh-CN"/>
        </w:rPr>
        <w:t>荣粤道</w:t>
      </w:r>
      <w:r>
        <w:rPr>
          <w:rFonts w:ascii="宋体" w:hAnsi="宋体" w:cs="宋体" w:hint="eastAsia"/>
          <w:sz w:val="24"/>
          <w:highlight w:val="white"/>
          <w:lang w:eastAsia="zh-CN"/>
        </w:rPr>
        <w:t>188号6层</w:t>
      </w:r>
    </w:p>
    <w:p w:rsidR="00132D73" w14:paraId="25876E3F"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法定代表人：吴欣荣</w:t>
      </w:r>
    </w:p>
    <w:p w:rsidR="00132D73" w14:paraId="579D3749"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设立日期：2001年4月17日</w:t>
      </w:r>
    </w:p>
    <w:p w:rsidR="00132D73" w14:paraId="455EC18A"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批准设立机关及批准设立文号：中国证券监督管理委员会，证</w:t>
      </w:r>
      <w:r>
        <w:rPr>
          <w:rFonts w:ascii="宋体" w:hAnsi="宋体" w:cs="宋体" w:hint="eastAsia"/>
          <w:sz w:val="24"/>
          <w:highlight w:val="white"/>
          <w:lang w:eastAsia="zh-CN"/>
        </w:rPr>
        <w:t>监基金字</w:t>
      </w:r>
      <w:r>
        <w:rPr>
          <w:rFonts w:ascii="宋体" w:hAnsi="宋体" w:cs="宋体" w:hint="eastAsia"/>
          <w:sz w:val="24"/>
          <w:highlight w:val="white"/>
          <w:lang w:eastAsia="zh-CN"/>
        </w:rPr>
        <w:t>[2001]4号</w:t>
      </w:r>
    </w:p>
    <w:p w:rsidR="00132D73" w14:paraId="5F3392B0"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组织形式：有限责任公司</w:t>
      </w:r>
    </w:p>
    <w:p w:rsidR="00132D73" w14:paraId="588F55AF"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注册资本：13,244.2万元人民币</w:t>
      </w:r>
    </w:p>
    <w:p w:rsidR="00132D73" w14:paraId="0DD6FC0F"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存续期限：持续经营</w:t>
      </w:r>
    </w:p>
    <w:p w:rsidR="00132D73" w14:paraId="0B908AFE"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联系电话：4008818088</w:t>
      </w:r>
    </w:p>
    <w:p w:rsidR="00132D73" w14:paraId="4330E6F3"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（二）基金托管人</w:t>
      </w:r>
    </w:p>
    <w:p w:rsidR="00132D73" w14:paraId="4618C65A"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名称：中国建设银行股份有限公司(简称：中国建设银行)</w:t>
      </w:r>
    </w:p>
    <w:p w:rsidR="00132D73" w14:paraId="3F7E4EE0"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住所：北京市西城区金融大街25号</w:t>
      </w:r>
    </w:p>
    <w:p w:rsidR="00132D73" w14:paraId="6BA4BB98"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办公地址：北京市西城区闹市口大街1号院1号楼</w:t>
      </w:r>
    </w:p>
    <w:p w:rsidR="00132D73" w14:paraId="29BD965A"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邮政编码：100033</w:t>
      </w:r>
    </w:p>
    <w:p w:rsidR="00132D73" w14:paraId="693DD655"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法定代表人：张金良</w:t>
      </w:r>
    </w:p>
    <w:p w:rsidR="00132D73" w14:paraId="04545A57"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成立日期：2004年09月17日</w:t>
      </w:r>
    </w:p>
    <w:p w:rsidR="00132D73" w14:paraId="331A7ED1"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基金托管业务批准文号：中国证监会</w:t>
      </w:r>
      <w:r>
        <w:rPr>
          <w:rFonts w:ascii="宋体" w:hAnsi="宋体" w:cs="宋体" w:hint="eastAsia"/>
          <w:sz w:val="24"/>
          <w:highlight w:val="white"/>
          <w:lang w:eastAsia="zh-CN"/>
        </w:rPr>
        <w:t>证监基字</w:t>
      </w:r>
      <w:r>
        <w:rPr>
          <w:rFonts w:ascii="宋体" w:hAnsi="宋体" w:cs="宋体" w:hint="eastAsia"/>
          <w:sz w:val="24"/>
          <w:highlight w:val="white"/>
          <w:lang w:eastAsia="zh-CN"/>
        </w:rPr>
        <w:t>[1998</w:t>
      </w:r>
      <w:bookmarkStart w:id="1" w:name="OLE_LINK3"/>
      <w:r>
        <w:rPr>
          <w:rFonts w:ascii="宋体" w:hAnsi="宋体" w:cs="宋体" w:hint="eastAsia"/>
          <w:sz w:val="24"/>
          <w:highlight w:val="white"/>
          <w:lang w:eastAsia="zh-CN"/>
        </w:rPr>
        <w:t>]</w:t>
      </w:r>
      <w:bookmarkEnd w:id="1"/>
      <w:r>
        <w:rPr>
          <w:rFonts w:ascii="宋体" w:hAnsi="宋体" w:cs="宋体" w:hint="eastAsia"/>
          <w:sz w:val="24"/>
          <w:highlight w:val="white"/>
          <w:lang w:eastAsia="zh-CN"/>
        </w:rPr>
        <w:t>12号</w:t>
      </w:r>
    </w:p>
    <w:p w:rsidR="00132D73" w14:paraId="1A7FEF25"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组织形式：股份有限公司</w:t>
      </w:r>
    </w:p>
    <w:p w:rsidR="00132D73" w14:paraId="39062267"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注册资</w:t>
      </w:r>
      <w:r>
        <w:rPr>
          <w:rFonts w:ascii="宋体" w:hAnsi="宋体" w:cs="宋体"/>
          <w:sz w:val="24"/>
          <w:highlight w:val="white"/>
          <w:lang w:eastAsia="zh-CN"/>
        </w:rPr>
        <w:t>本：</w:t>
      </w:r>
      <w:r>
        <w:rPr>
          <w:rFonts w:ascii="宋体" w:hAnsi="宋体" w:cs="宋体"/>
          <w:sz w:val="24"/>
          <w:highlight w:val="white"/>
          <w:lang w:eastAsia="zh-CN"/>
        </w:rPr>
        <w:t>贰</w:t>
      </w:r>
      <w:r>
        <w:rPr>
          <w:rFonts w:ascii="宋体" w:hAnsi="宋体" w:cs="宋体"/>
          <w:color w:val="000000"/>
          <w:sz w:val="24"/>
          <w:highlight w:val="white"/>
          <w:lang w:eastAsia="zh-CN"/>
        </w:rPr>
        <w:t>仟陆佰壹拾陆亿叁拾捌万壹仟肆佰伍拾玖</w:t>
      </w:r>
      <w:r>
        <w:rPr>
          <w:rFonts w:ascii="宋体" w:hAnsi="宋体" w:cs="宋体"/>
          <w:color w:val="000000"/>
          <w:sz w:val="24"/>
          <w:highlight w:val="white"/>
          <w:lang w:eastAsia="zh-CN"/>
        </w:rPr>
        <w:t>元整</w:t>
      </w:r>
    </w:p>
    <w:p w:rsidR="00132D73" w14:paraId="3B629998"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存续期间：持续经营</w:t>
      </w:r>
    </w:p>
    <w:p w:rsidR="00132D73" w14:paraId="50AB1D55"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经营范围：吸收公众存款；发放短期、中期、长期贷款；办理国内外结算；办理票据承兑与贴现；发行金融债券；代理发行、代理兑付、承销政府债券；买卖政府债券、金融债券；从事同业拆借；买卖、代理买卖外汇；从事银行卡业务；提供信用证服务及担保；代理收付款项及代理保险业务；提供保管箱服务；经中国银行业监督管理机构等监管部门批准的其他业务。</w:t>
      </w:r>
    </w:p>
    <w:p w:rsidR="00132D73" w14:paraId="4F9119CC" w14:textId="77777777">
      <w:pPr>
        <w:snapToGrid w:val="0"/>
        <w:ind w:firstLine="480"/>
        <w:rPr>
          <w:rFonts w:ascii="宋体" w:hAnsi="宋体" w:cs="宋体" w:hint="eastAsia"/>
          <w:sz w:val="24"/>
          <w:lang w:eastAsia="zh-CN"/>
        </w:rPr>
      </w:pPr>
    </w:p>
    <w:p w:rsidR="00132D73" w14:paraId="0C9791BC" w14:textId="77777777">
      <w:pPr>
        <w:pStyle w:val="21"/>
        <w:jc w:val="center"/>
        <w:rPr>
          <w:rFonts w:ascii="宋体" w:eastAsia="宋体" w:hAnsi="宋体" w:cs="宋体" w:hint="eastAsia"/>
          <w:sz w:val="30"/>
          <w:lang w:eastAsia="zh-CN"/>
        </w:rPr>
      </w:pPr>
      <w:bookmarkStart w:id="2" w:name="_Toc68875904"/>
      <w:r>
        <w:rPr>
          <w:rFonts w:ascii="宋体" w:eastAsia="宋体" w:hAnsi="宋体" w:cs="宋体" w:hint="eastAsia"/>
          <w:sz w:val="30"/>
          <w:highlight w:val="white"/>
          <w:lang w:eastAsia="zh-CN"/>
        </w:rPr>
        <w:t>二、基金托管协议的依据、目的和原则</w:t>
      </w:r>
      <w:bookmarkEnd w:id="2"/>
    </w:p>
    <w:p w:rsidR="00132D73" w14:paraId="2DBE9EFB" w14:textId="77777777">
      <w:pPr>
        <w:snapToGrid w:val="0"/>
        <w:ind w:firstLine="480"/>
        <w:rPr>
          <w:rFonts w:ascii="宋体" w:hAnsi="宋体" w:cs="宋体" w:hint="eastAsia"/>
          <w:sz w:val="24"/>
          <w:szCs w:val="30"/>
          <w:lang w:eastAsia="zh-CN"/>
        </w:rPr>
      </w:pPr>
      <w:r>
        <w:rPr>
          <w:rFonts w:ascii="宋体" w:hAnsi="宋体" w:cs="宋体" w:hint="eastAsia"/>
          <w:sz w:val="24"/>
          <w:highlight w:val="white"/>
          <w:lang w:eastAsia="zh-CN"/>
        </w:rPr>
        <w:t>（一）订立托管协议的依据</w:t>
      </w:r>
    </w:p>
    <w:p w:rsidR="00132D73" w14:paraId="04E5DA2E"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本协议依据《中华人民共和国证券投资基金法》(以下简称“《基金法》”)等有关法律法规、《基金合同》及其他有关规定制订。</w:t>
      </w:r>
    </w:p>
    <w:p w:rsidR="00132D73" w14:paraId="00EFC5C5"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（二）订立托管协议的目的</w:t>
      </w:r>
    </w:p>
    <w:p w:rsidR="00132D73" w14:paraId="0982CCBE" w14:textId="77777777">
      <w:pPr>
        <w:snapToGrid w:val="0"/>
        <w:ind w:firstLine="480"/>
        <w:rPr>
          <w:rFonts w:ascii="宋体" w:hAnsi="宋体" w:cs="宋体" w:hint="eastAsia"/>
          <w:sz w:val="24"/>
          <w:szCs w:val="30"/>
          <w:lang w:eastAsia="zh-CN"/>
        </w:rPr>
      </w:pPr>
      <w:r>
        <w:rPr>
          <w:rFonts w:ascii="宋体" w:hAnsi="宋体" w:cs="宋体" w:hint="eastAsia"/>
          <w:sz w:val="24"/>
          <w:highlight w:val="white"/>
          <w:lang w:eastAsia="zh-CN"/>
        </w:rPr>
        <w:t>订立本协议的目的是明确基金管理人与基金托管人之间在基金财产的保管、投资运作、净值计算、收益分配、信息披露及相互监督等相关事宜中的权利义务及职责，确保基金财产的安全，保护基金份额持有人的合法权益。</w:t>
      </w:r>
    </w:p>
    <w:p w:rsidR="00132D73" w14:paraId="79F55503"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（三）订立托管协议的原则</w:t>
      </w:r>
    </w:p>
    <w:p w:rsidR="00132D73" w14:paraId="53CB3E13"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基金管理人和基金托管人本着平等自愿、诚实信用、充分保护基金份额持有人合法权益的原则，经协商一致，签订本协议。</w:t>
      </w:r>
    </w:p>
    <w:p w:rsidR="00132D73" w14:paraId="37194960" w14:textId="77777777">
      <w:pPr>
        <w:ind w:firstLine="480"/>
        <w:rPr>
          <w:lang w:eastAsia="zh-CN"/>
        </w:rPr>
      </w:pPr>
      <w:r>
        <w:rPr>
          <w:rFonts w:ascii="宋体" w:hAnsi="宋体" w:cs="宋体"/>
          <w:color w:val="000000"/>
          <w:sz w:val="24"/>
          <w:highlight w:val="white"/>
          <w:lang w:eastAsia="zh-CN"/>
        </w:rPr>
        <w:t xml:space="preserve">（四）免责声明  </w:t>
      </w:r>
    </w:p>
    <w:p w:rsidR="00132D73" w14:paraId="6020C5FC" w14:textId="77777777">
      <w:pPr>
        <w:ind w:firstLine="480"/>
        <w:rPr>
          <w:lang w:eastAsia="zh-CN"/>
        </w:rPr>
      </w:pPr>
      <w:r>
        <w:rPr>
          <w:rFonts w:ascii="宋体" w:hAnsi="宋体" w:cs="宋体"/>
          <w:color w:val="000000"/>
          <w:sz w:val="24"/>
          <w:highlight w:val="white"/>
          <w:lang w:eastAsia="zh-CN"/>
        </w:rPr>
        <w:t xml:space="preserve">基金托管人开展托管业务，不得承担以下职责： </w:t>
      </w:r>
    </w:p>
    <w:p w:rsidR="00132D73" w14:paraId="645833C7" w14:textId="77777777">
      <w:pPr>
        <w:ind w:firstLine="480"/>
        <w:rPr>
          <w:lang w:eastAsia="zh-CN"/>
        </w:rPr>
      </w:pPr>
      <w:r>
        <w:rPr>
          <w:rFonts w:ascii="宋体" w:hAnsi="宋体" w:cs="宋体"/>
          <w:color w:val="000000"/>
          <w:sz w:val="24"/>
          <w:highlight w:val="white"/>
          <w:lang w:eastAsia="zh-CN"/>
        </w:rPr>
        <w:t>1.承担基金财产的信用风险、市场风险等；</w:t>
      </w:r>
    </w:p>
    <w:p w:rsidR="00132D73" w14:paraId="26C75454" w14:textId="77777777">
      <w:pPr>
        <w:ind w:firstLine="480"/>
        <w:rPr>
          <w:lang w:eastAsia="zh-CN"/>
        </w:rPr>
      </w:pPr>
      <w:r>
        <w:rPr>
          <w:rFonts w:ascii="宋体" w:hAnsi="宋体" w:cs="宋体"/>
          <w:color w:val="000000"/>
          <w:sz w:val="24"/>
          <w:highlight w:val="white"/>
          <w:lang w:eastAsia="zh-CN"/>
        </w:rPr>
        <w:t>2.为基金提供直接或间接、显性或隐性担保，包括承诺本金或保证收益；</w:t>
      </w:r>
    </w:p>
    <w:p w:rsidR="00132D73" w14:paraId="47FAD7BB" w14:textId="77777777">
      <w:pPr>
        <w:ind w:firstLine="480"/>
        <w:rPr>
          <w:lang w:eastAsia="zh-CN"/>
        </w:rPr>
      </w:pPr>
      <w:r>
        <w:rPr>
          <w:rFonts w:ascii="宋体" w:hAnsi="宋体" w:cs="宋体"/>
          <w:color w:val="000000"/>
          <w:sz w:val="24"/>
          <w:highlight w:val="white"/>
          <w:lang w:eastAsia="zh-CN"/>
        </w:rPr>
        <w:t>3.为基金垫付资金、提供流动性支持或融资承诺等；</w:t>
      </w:r>
    </w:p>
    <w:p w:rsidR="00132D73" w14:paraId="7D330A21" w14:textId="77777777">
      <w:pPr>
        <w:ind w:firstLine="480"/>
        <w:rPr>
          <w:lang w:eastAsia="zh-CN"/>
        </w:rPr>
      </w:pPr>
      <w:r>
        <w:rPr>
          <w:rFonts w:ascii="宋体" w:hAnsi="宋体" w:cs="宋体"/>
          <w:color w:val="000000"/>
          <w:sz w:val="24"/>
          <w:highlight w:val="white"/>
          <w:lang w:eastAsia="zh-CN"/>
        </w:rPr>
        <w:t xml:space="preserve">4.参与投资者适当性管理； </w:t>
      </w:r>
    </w:p>
    <w:p w:rsidR="00132D73" w14:paraId="2A189517" w14:textId="77777777">
      <w:pPr>
        <w:ind w:firstLine="480"/>
        <w:rPr>
          <w:lang w:eastAsia="zh-CN"/>
        </w:rPr>
      </w:pPr>
      <w:r>
        <w:rPr>
          <w:rFonts w:ascii="宋体" w:hAnsi="宋体" w:cs="宋体"/>
          <w:color w:val="000000"/>
          <w:sz w:val="24"/>
          <w:highlight w:val="white"/>
          <w:lang w:eastAsia="zh-CN"/>
        </w:rPr>
        <w:t xml:space="preserve">5.保证投资项目及交易信息真实性； </w:t>
      </w:r>
    </w:p>
    <w:p w:rsidR="00132D73" w14:paraId="0C1C6C00" w14:textId="77777777">
      <w:pPr>
        <w:ind w:firstLine="480"/>
        <w:rPr>
          <w:lang w:eastAsia="zh-CN"/>
        </w:rPr>
      </w:pPr>
      <w:r>
        <w:rPr>
          <w:rFonts w:ascii="宋体" w:hAnsi="宋体" w:cs="宋体"/>
          <w:color w:val="000000"/>
          <w:sz w:val="24"/>
          <w:highlight w:val="white"/>
          <w:lang w:eastAsia="zh-CN"/>
        </w:rPr>
        <w:t>6.保证基金资金来源的合法合</w:t>
      </w:r>
      <w:r>
        <w:rPr>
          <w:rFonts w:ascii="宋体" w:hAnsi="宋体" w:cs="宋体"/>
          <w:color w:val="000000"/>
          <w:sz w:val="24"/>
          <w:highlight w:val="white"/>
          <w:lang w:eastAsia="zh-CN"/>
        </w:rPr>
        <w:t>规</w:t>
      </w:r>
      <w:r>
        <w:rPr>
          <w:rFonts w:ascii="宋体" w:hAnsi="宋体" w:cs="宋体"/>
          <w:color w:val="000000"/>
          <w:sz w:val="24"/>
          <w:highlight w:val="white"/>
          <w:lang w:eastAsia="zh-CN"/>
        </w:rPr>
        <w:t>性；</w:t>
      </w:r>
    </w:p>
    <w:p w:rsidR="00132D73" w14:paraId="3967EAE8" w14:textId="77777777">
      <w:pPr>
        <w:ind w:firstLine="480"/>
        <w:rPr>
          <w:lang w:eastAsia="zh-CN"/>
        </w:rPr>
      </w:pPr>
      <w:r>
        <w:rPr>
          <w:rFonts w:ascii="宋体" w:hAnsi="宋体" w:cs="宋体"/>
          <w:color w:val="000000"/>
          <w:sz w:val="24"/>
          <w:highlight w:val="white"/>
          <w:lang w:eastAsia="zh-CN"/>
        </w:rPr>
        <w:t>7.对已划出托管资金账户以及处于基金托管人实际控制之外的基金财产承担保管责任；</w:t>
      </w:r>
    </w:p>
    <w:p w:rsidR="00132D73" w14:paraId="62AB94E1" w14:textId="77777777">
      <w:pPr>
        <w:ind w:firstLine="480"/>
        <w:rPr>
          <w:lang w:eastAsia="zh-CN"/>
        </w:rPr>
      </w:pPr>
      <w:r>
        <w:rPr>
          <w:rFonts w:ascii="宋体" w:hAnsi="宋体" w:cs="宋体"/>
          <w:color w:val="000000"/>
          <w:sz w:val="24"/>
          <w:highlight w:val="white"/>
          <w:lang w:eastAsia="zh-CN"/>
        </w:rPr>
        <w:t>8.参与基金管理人对基金的投资决策；</w:t>
      </w:r>
    </w:p>
    <w:p w:rsidR="00132D73" w14:paraId="6B7B6A55" w14:textId="77777777">
      <w:pPr>
        <w:ind w:firstLine="480"/>
        <w:rPr>
          <w:lang w:eastAsia="zh-CN"/>
        </w:rPr>
      </w:pPr>
      <w:r>
        <w:rPr>
          <w:rFonts w:ascii="宋体" w:hAnsi="宋体" w:cs="宋体"/>
          <w:color w:val="000000"/>
          <w:sz w:val="24"/>
          <w:highlight w:val="white"/>
          <w:lang w:eastAsia="zh-CN"/>
        </w:rPr>
        <w:t>9.违规代替基金管理人向其他机构或者个人进行基金信息披露或提供相关数据信息；</w:t>
      </w:r>
    </w:p>
    <w:p w:rsidR="00132D73" w14:paraId="78AB1C9C" w14:textId="77777777">
      <w:pPr>
        <w:ind w:firstLine="480"/>
        <w:rPr>
          <w:lang w:eastAsia="zh-CN"/>
        </w:rPr>
      </w:pPr>
      <w:r>
        <w:rPr>
          <w:rFonts w:ascii="宋体" w:hAnsi="宋体" w:cs="宋体"/>
          <w:color w:val="000000"/>
          <w:sz w:val="24"/>
          <w:highlight w:val="white"/>
          <w:lang w:eastAsia="zh-CN"/>
        </w:rPr>
        <w:t>10.基金管理人未接受基金托管人的复核意见进行信息披露产生的相应责任；</w:t>
      </w:r>
    </w:p>
    <w:p w:rsidR="00132D73" w14:paraId="577595DD" w14:textId="77777777">
      <w:pPr>
        <w:ind w:firstLine="480"/>
        <w:rPr>
          <w:lang w:eastAsia="zh-CN"/>
        </w:rPr>
      </w:pPr>
      <w:r>
        <w:rPr>
          <w:rFonts w:ascii="宋体" w:hAnsi="宋体" w:cs="宋体"/>
          <w:color w:val="000000"/>
          <w:sz w:val="24"/>
          <w:highlight w:val="white"/>
          <w:lang w:eastAsia="zh-CN"/>
        </w:rPr>
        <w:t>11.负责未兑付产品的资金追偿、财产保全、诉讼仲裁、债务重组和破产程序等，法律另有规定的除外；</w:t>
      </w:r>
    </w:p>
    <w:p w:rsidR="00132D73" w14:paraId="55032F9A" w14:textId="77777777">
      <w:pPr>
        <w:ind w:firstLine="480"/>
        <w:rPr>
          <w:lang w:eastAsia="zh-CN"/>
        </w:rPr>
      </w:pPr>
      <w:r>
        <w:rPr>
          <w:rFonts w:ascii="宋体" w:hAnsi="宋体" w:cs="宋体"/>
          <w:color w:val="000000"/>
          <w:sz w:val="24"/>
          <w:highlight w:val="white"/>
          <w:lang w:eastAsia="zh-CN"/>
        </w:rPr>
        <w:t>12.因不可抗力，以及</w:t>
      </w:r>
      <w:r>
        <w:rPr>
          <w:rFonts w:ascii="宋体" w:hAnsi="宋体" w:cs="宋体"/>
          <w:color w:val="000000"/>
          <w:sz w:val="24"/>
          <w:highlight w:val="white"/>
          <w:lang w:eastAsia="zh-CN"/>
        </w:rPr>
        <w:t>非基金</w:t>
      </w:r>
      <w:r>
        <w:rPr>
          <w:rFonts w:ascii="宋体" w:hAnsi="宋体" w:cs="宋体"/>
          <w:color w:val="000000"/>
          <w:sz w:val="24"/>
          <w:highlight w:val="white"/>
          <w:lang w:eastAsia="zh-CN"/>
        </w:rPr>
        <w:t>托管人履职错误或过失造成的托管资产损失；</w:t>
      </w:r>
    </w:p>
    <w:p w:rsidR="00132D73" w14:paraId="76460B7F" w14:textId="77777777">
      <w:pPr>
        <w:ind w:firstLine="480"/>
        <w:rPr>
          <w:lang w:eastAsia="zh-CN"/>
        </w:rPr>
      </w:pPr>
      <w:r>
        <w:rPr>
          <w:rFonts w:ascii="宋体" w:hAnsi="宋体" w:cs="宋体"/>
          <w:color w:val="000000"/>
          <w:sz w:val="24"/>
          <w:highlight w:val="white"/>
          <w:lang w:eastAsia="zh-CN"/>
        </w:rPr>
        <w:t>13.国务院金融监管部门规定的不属于基金托管人托管业务范围的其他职责。</w:t>
      </w:r>
    </w:p>
    <w:p w:rsidR="00132D73" w14:paraId="7833FE32" w14:textId="77777777">
      <w:pPr>
        <w:ind w:firstLine="480"/>
        <w:rPr>
          <w:rFonts w:ascii="宋体" w:hAnsi="宋体" w:cs="宋体" w:hint="eastAsia"/>
          <w:sz w:val="24"/>
          <w:lang w:eastAsia="zh-CN"/>
        </w:rPr>
      </w:pPr>
    </w:p>
    <w:p w:rsidR="00132D73" w14:paraId="7DABB620" w14:textId="77777777">
      <w:pPr>
        <w:pStyle w:val="21"/>
        <w:jc w:val="center"/>
        <w:rPr>
          <w:rFonts w:ascii="宋体" w:eastAsia="宋体" w:hAnsi="宋体" w:cs="宋体" w:hint="eastAsia"/>
          <w:sz w:val="30"/>
          <w:szCs w:val="24"/>
          <w:lang w:eastAsia="zh-CN"/>
        </w:rPr>
      </w:pPr>
      <w:bookmarkStart w:id="3" w:name="_Toc68875905"/>
      <w:r>
        <w:rPr>
          <w:rFonts w:ascii="宋体" w:eastAsia="宋体" w:hAnsi="宋体" w:cs="宋体" w:hint="eastAsia"/>
          <w:sz w:val="30"/>
          <w:highlight w:val="white"/>
          <w:lang w:eastAsia="zh-CN"/>
        </w:rPr>
        <w:t>三、基金托管人对基金管理人的业务监督和核查</w:t>
      </w:r>
      <w:bookmarkEnd w:id="3"/>
    </w:p>
    <w:p w:rsidR="00132D73" w14:paraId="3F76F478"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（一）基金托管人根据有关</w:t>
      </w:r>
      <w:r>
        <w:rPr>
          <w:rFonts w:ascii="宋体" w:hAnsi="宋体" w:cs="宋体"/>
          <w:sz w:val="24"/>
          <w:highlight w:val="white"/>
          <w:lang w:eastAsia="zh-CN"/>
        </w:rPr>
        <w:t>法律法规的规定及《基金合同》的约定，对基金投资范围、投资对象进行监督。《基金合同》明确约定基金投资风格或证券选择标准的，基金管理人应按照基金托管人要求的格式，将拟投资的标的证券</w:t>
      </w:r>
      <w:r>
        <w:rPr>
          <w:rFonts w:ascii="宋体" w:hAnsi="宋体" w:cs="宋体"/>
          <w:sz w:val="24"/>
          <w:highlight w:val="white"/>
          <w:lang w:eastAsia="zh-CN"/>
        </w:rPr>
        <w:t>库提供</w:t>
      </w:r>
      <w:r>
        <w:rPr>
          <w:rFonts w:ascii="宋体" w:hAnsi="宋体" w:cs="宋体"/>
          <w:sz w:val="24"/>
          <w:highlight w:val="white"/>
          <w:lang w:eastAsia="zh-CN"/>
        </w:rPr>
        <w:t>给基金托管人，基金管理人可以根据实际情况的变化，</w:t>
      </w:r>
      <w:r>
        <w:rPr>
          <w:rFonts w:ascii="宋体" w:hAnsi="宋体" w:cs="宋体" w:hint="eastAsia"/>
          <w:sz w:val="24"/>
          <w:highlight w:val="white"/>
          <w:lang w:eastAsia="zh-CN"/>
        </w:rPr>
        <w:t>对</w:t>
      </w:r>
      <w:r>
        <w:rPr>
          <w:rFonts w:ascii="宋体" w:hAnsi="宋体" w:cs="宋体"/>
          <w:sz w:val="24"/>
          <w:highlight w:val="white"/>
          <w:lang w:eastAsia="zh-CN"/>
        </w:rPr>
        <w:t>标的证券</w:t>
      </w:r>
      <w:r>
        <w:rPr>
          <w:rFonts w:ascii="宋体" w:hAnsi="宋体" w:cs="宋体"/>
          <w:sz w:val="24"/>
          <w:highlight w:val="white"/>
          <w:lang w:eastAsia="zh-CN"/>
        </w:rPr>
        <w:t>库</w:t>
      </w:r>
      <w:r>
        <w:rPr>
          <w:rFonts w:ascii="宋体" w:hAnsi="宋体" w:cs="宋体" w:hint="eastAsia"/>
          <w:sz w:val="24"/>
          <w:highlight w:val="white"/>
          <w:lang w:eastAsia="zh-CN"/>
        </w:rPr>
        <w:t>予以</w:t>
      </w:r>
      <w:r>
        <w:rPr>
          <w:rFonts w:ascii="宋体" w:hAnsi="宋体" w:cs="宋体" w:hint="eastAsia"/>
          <w:sz w:val="24"/>
          <w:highlight w:val="white"/>
          <w:lang w:eastAsia="zh-CN"/>
        </w:rPr>
        <w:t>更新和调整并及时书面通知基金托管人。基金托管人根据上述投资范围对基金实际投资是否符合《基金合同》关于证券选择标准的约定进行监督。</w:t>
      </w:r>
    </w:p>
    <w:p w:rsidR="00132D73" w14:paraId="518D6966" w14:textId="77777777">
      <w:pPr>
        <w:snapToGrid w:val="0"/>
        <w:ind w:firstLine="480"/>
        <w:rPr>
          <w:rFonts w:ascii="宋体" w:hAnsi="宋体" w:cs="宋体" w:hint="eastAsia"/>
          <w:sz w:val="24"/>
          <w:lang w:eastAsia="zh-CN"/>
        </w:rPr>
      </w:pPr>
      <w:r>
        <w:rPr>
          <w:rFonts w:ascii="宋体" w:hAnsi="宋体" w:cs="宋体"/>
          <w:sz w:val="24"/>
          <w:lang w:eastAsia="zh-CN"/>
        </w:rPr>
        <w:t>本基金的投资范围包括标的指数成份股及备选成份股（</w:t>
      </w:r>
      <w:r>
        <w:rPr>
          <w:rFonts w:ascii="宋体" w:hAnsi="宋体" w:cs="宋体"/>
          <w:sz w:val="24"/>
          <w:lang w:eastAsia="zh-CN"/>
        </w:rPr>
        <w:t>含存托</w:t>
      </w:r>
      <w:r>
        <w:rPr>
          <w:rFonts w:ascii="宋体" w:hAnsi="宋体" w:cs="宋体"/>
          <w:sz w:val="24"/>
          <w:lang w:eastAsia="zh-CN"/>
        </w:rPr>
        <w:t>凭证）、除标的指数成份股及备选成份股以外的其他股票（包括创业板、</w:t>
      </w:r>
      <w:r>
        <w:rPr>
          <w:rFonts w:ascii="宋体" w:hAnsi="宋体" w:cs="宋体"/>
          <w:sz w:val="24"/>
          <w:lang w:eastAsia="zh-CN"/>
        </w:rPr>
        <w:t>科创板</w:t>
      </w:r>
      <w:r>
        <w:rPr>
          <w:rFonts w:ascii="宋体" w:hAnsi="宋体" w:cs="宋体"/>
          <w:sz w:val="24"/>
          <w:lang w:eastAsia="zh-CN"/>
        </w:rPr>
        <w:t>及其他依法发行上市的股票、存托凭证）、债券（包括国债、央行票据、地方政府债、金融债、企业债、公司债、次级债、中期票据、短期融资</w:t>
      </w:r>
      <w:r>
        <w:rPr>
          <w:rFonts w:ascii="宋体" w:hAnsi="宋体" w:cs="宋体"/>
          <w:sz w:val="24"/>
          <w:lang w:eastAsia="zh-CN"/>
        </w:rPr>
        <w:t>券</w:t>
      </w:r>
      <w:r>
        <w:rPr>
          <w:rFonts w:ascii="宋体" w:hAnsi="宋体" w:cs="宋体"/>
          <w:sz w:val="24"/>
          <w:lang w:eastAsia="zh-CN"/>
        </w:rPr>
        <w:t>、超短期融资</w:t>
      </w:r>
      <w:r>
        <w:rPr>
          <w:rFonts w:ascii="宋体" w:hAnsi="宋体" w:cs="宋体"/>
          <w:sz w:val="24"/>
          <w:lang w:eastAsia="zh-CN"/>
        </w:rPr>
        <w:t>券</w:t>
      </w:r>
      <w:r>
        <w:rPr>
          <w:rFonts w:ascii="宋体" w:hAnsi="宋体" w:cs="宋体"/>
          <w:sz w:val="24"/>
          <w:lang w:eastAsia="zh-CN"/>
        </w:rPr>
        <w:t>、政府支持机构债券、可转换债券、可交换债券等）、债券回购、资产支持证券、银行存款、同业存单、货币市场工具、金融衍生工具（包括股指期货、国债期货、股票期权等）以及法律法规或中国证监会允许基金投资的其他金融工具。</w:t>
      </w:r>
    </w:p>
    <w:p w:rsidR="00132D73" w14:paraId="391144AC" w14:textId="77777777">
      <w:pPr>
        <w:snapToGrid w:val="0"/>
        <w:ind w:firstLine="480"/>
        <w:rPr>
          <w:rFonts w:ascii="宋体" w:hAnsi="宋体" w:cs="宋体" w:hint="eastAsia"/>
          <w:sz w:val="24"/>
          <w:lang w:eastAsia="zh-CN"/>
        </w:rPr>
      </w:pPr>
      <w:r>
        <w:rPr>
          <w:rFonts w:ascii="宋体" w:hAnsi="宋体" w:cs="宋体"/>
          <w:sz w:val="24"/>
          <w:lang w:eastAsia="zh-CN"/>
        </w:rPr>
        <w:t>如法律法规或监管机构以后允许基金投资其他品种，基金管理人在履行适当程序后，本基金可以将其纳入投资范围。</w:t>
      </w:r>
    </w:p>
    <w:p w:rsidR="00132D73" w14:paraId="6684536C" w14:textId="77777777">
      <w:pPr>
        <w:snapToGrid w:val="0"/>
        <w:ind w:firstLine="480"/>
        <w:rPr>
          <w:rFonts w:ascii="宋体" w:hAnsi="宋体" w:cs="宋体" w:hint="eastAsia"/>
          <w:sz w:val="24"/>
          <w:lang w:eastAsia="zh-CN"/>
        </w:rPr>
      </w:pPr>
      <w:r>
        <w:rPr>
          <w:rFonts w:ascii="宋体" w:hAnsi="宋体" w:cs="宋体"/>
          <w:sz w:val="24"/>
          <w:lang w:eastAsia="zh-CN"/>
        </w:rPr>
        <w:t>本基金将根据法律法规的规定参与转融通证券出借及融资业务。</w:t>
      </w:r>
    </w:p>
    <w:p w:rsidR="00132D73" w14:paraId="7D81475F" w14:textId="77777777">
      <w:pPr>
        <w:snapToGrid w:val="0"/>
        <w:ind w:firstLine="480"/>
        <w:rPr>
          <w:rFonts w:ascii="宋体" w:hAnsi="宋体" w:cs="宋体" w:hint="eastAsia"/>
          <w:sz w:val="24"/>
          <w:lang w:eastAsia="zh-CN"/>
        </w:rPr>
      </w:pPr>
      <w:r>
        <w:rPr>
          <w:rFonts w:ascii="宋体" w:hAnsi="宋体" w:cs="宋体"/>
          <w:sz w:val="24"/>
          <w:highlight w:val="white"/>
          <w:lang w:eastAsia="zh-CN"/>
        </w:rPr>
        <w:t>本基金可投资北京证券交易所股票。</w:t>
      </w:r>
    </w:p>
    <w:p w:rsidR="00132D73" w14:paraId="639C125A" w14:textId="77777777">
      <w:pPr>
        <w:ind w:firstLine="480"/>
        <w:rPr>
          <w:rFonts w:ascii="宋体" w:hAnsi="宋体" w:cs="宋体" w:hint="eastAsia"/>
          <w:sz w:val="24"/>
          <w:lang w:eastAsia="zh-CN"/>
        </w:rPr>
      </w:pPr>
      <w:r>
        <w:rPr>
          <w:rFonts w:ascii="宋体" w:hAnsi="宋体" w:cs="宋体"/>
          <w:sz w:val="24"/>
          <w:highlight w:val="white"/>
          <w:lang w:eastAsia="zh-CN"/>
        </w:rPr>
        <w:t>基金的投资组合比例为：</w:t>
      </w:r>
      <w:r>
        <w:rPr>
          <w:rFonts w:ascii="宋体" w:hAnsi="宋体" w:cs="宋体"/>
          <w:sz w:val="24"/>
          <w:lang w:eastAsia="zh-CN"/>
        </w:rPr>
        <w:t>本基金投资于标的指数成份股及备选成份股的资产不低于非现金基金资产的80%且不低于基金资产净值的90%，法律法规另有规定的除外。</w:t>
      </w:r>
    </w:p>
    <w:p w:rsidR="00132D73" w14:paraId="7578F6DC" w14:textId="77777777">
      <w:pPr>
        <w:snapToGrid w:val="0"/>
        <w:ind w:firstLine="480"/>
        <w:rPr>
          <w:rFonts w:ascii="宋体" w:hAnsi="宋体" w:cs="宋体" w:hint="eastAsia"/>
          <w:sz w:val="24"/>
          <w:lang w:eastAsia="zh-CN"/>
        </w:rPr>
      </w:pPr>
      <w:r>
        <w:rPr>
          <w:rFonts w:ascii="宋体" w:hAnsi="宋体" w:cs="宋体"/>
          <w:sz w:val="24"/>
          <w:highlight w:val="white"/>
          <w:lang w:eastAsia="zh-CN"/>
        </w:rPr>
        <w:t>（二）基金托管人根据有关法律法规的规定及《基金合同》的约定，对基金投资、融资比例进行监督。基金托管人按下述比例和调整期限进行监督：</w:t>
      </w:r>
    </w:p>
    <w:p w:rsidR="00132D73" w14:paraId="3CA352E7" w14:textId="77777777">
      <w:pPr>
        <w:ind w:firstLine="480"/>
        <w:rPr>
          <w:lang w:eastAsia="zh-CN"/>
        </w:rPr>
      </w:pPr>
      <w:r>
        <w:rPr>
          <w:rFonts w:ascii="宋体" w:hAnsi="宋体" w:cs="宋体" w:hint="eastAsia"/>
          <w:sz w:val="24"/>
          <w:highlight w:val="white"/>
          <w:lang w:eastAsia="zh-CN"/>
        </w:rPr>
        <w:t>（1）本基金投资于标的指数成份股及备选成份股的资产不低于非现金基金资产的80%且不低于基金资产净值的90%；</w:t>
      </w:r>
    </w:p>
    <w:p w:rsidR="00132D73" w14:paraId="60B040DB" w14:textId="77777777">
      <w:pPr>
        <w:ind w:firstLine="480"/>
        <w:rPr>
          <w:lang w:eastAsia="zh-CN"/>
        </w:rPr>
      </w:pPr>
      <w:r>
        <w:rPr>
          <w:rFonts w:ascii="宋体" w:hAnsi="宋体" w:cs="宋体" w:hint="eastAsia"/>
          <w:sz w:val="24"/>
          <w:highlight w:val="white"/>
          <w:lang w:eastAsia="zh-CN"/>
        </w:rPr>
        <w:t>（2）本基金投资于同一原始权益人的各类资产支持证券的比例，不得超过基金资产净值的10%；</w:t>
      </w:r>
    </w:p>
    <w:p w:rsidR="00132D73" w14:paraId="64B502B3" w14:textId="77777777">
      <w:pPr>
        <w:ind w:firstLine="480"/>
        <w:rPr>
          <w:lang w:eastAsia="zh-CN"/>
        </w:rPr>
      </w:pPr>
      <w:r>
        <w:rPr>
          <w:rFonts w:ascii="宋体" w:hAnsi="宋体" w:cs="宋体" w:hint="eastAsia"/>
          <w:sz w:val="24"/>
          <w:highlight w:val="white"/>
          <w:lang w:eastAsia="zh-CN"/>
        </w:rPr>
        <w:t>（3）本基金持有的全部资产支持证券，其市值不得超过基金资产净值的20%；</w:t>
      </w:r>
    </w:p>
    <w:p w:rsidR="00132D73" w14:paraId="0F357182" w14:textId="77777777">
      <w:pPr>
        <w:ind w:firstLine="480"/>
        <w:rPr>
          <w:lang w:eastAsia="zh-CN"/>
        </w:rPr>
      </w:pPr>
      <w:r>
        <w:rPr>
          <w:rFonts w:ascii="宋体" w:hAnsi="宋体" w:cs="宋体" w:hint="eastAsia"/>
          <w:sz w:val="24"/>
          <w:highlight w:val="white"/>
          <w:lang w:eastAsia="zh-CN"/>
        </w:rPr>
        <w:t>（4）本基金持有的同一（指同一信用级别）资产支持证券的比例，不得超过该资产支持证券规模的10%；</w:t>
      </w:r>
    </w:p>
    <w:p w:rsidR="00132D73" w14:paraId="105051F6" w14:textId="77777777">
      <w:pPr>
        <w:ind w:firstLine="480"/>
        <w:rPr>
          <w:lang w:eastAsia="zh-CN"/>
        </w:rPr>
      </w:pPr>
      <w:r>
        <w:rPr>
          <w:rFonts w:ascii="宋体" w:hAnsi="宋体" w:cs="宋体" w:hint="eastAsia"/>
          <w:sz w:val="24"/>
          <w:highlight w:val="white"/>
          <w:lang w:eastAsia="zh-CN"/>
        </w:rPr>
        <w:t>（5）本基金管理人管理且在本基金托管人处托管的全部基金投资于同一原始权益人的各类资产支持证券，不得超过其各类资产支持证券合计规模的10%；</w:t>
      </w:r>
    </w:p>
    <w:p w:rsidR="00132D73" w14:paraId="7464F3A6" w14:textId="77777777">
      <w:pPr>
        <w:ind w:firstLine="480"/>
        <w:rPr>
          <w:lang w:eastAsia="zh-CN"/>
        </w:rPr>
      </w:pPr>
      <w:r>
        <w:rPr>
          <w:rFonts w:ascii="宋体" w:hAnsi="宋体" w:cs="宋体" w:hint="eastAsia"/>
          <w:sz w:val="24"/>
          <w:highlight w:val="white"/>
          <w:lang w:eastAsia="zh-CN"/>
        </w:rPr>
        <w:t>（6）本基金应投资于信用级别评级为BBB以上（含BBB）的资产支持证券。基金持有资产支持证券期间，如果其信用等级下降、不再符合投资标准，应在评级报告发布之日起3个月内予以全部卖出；</w:t>
      </w:r>
    </w:p>
    <w:p w:rsidR="00132D73" w14:paraId="5FE42ABA" w14:textId="77777777">
      <w:pPr>
        <w:ind w:firstLine="480"/>
        <w:rPr>
          <w:lang w:eastAsia="zh-CN"/>
        </w:rPr>
      </w:pPr>
      <w:r>
        <w:rPr>
          <w:rFonts w:ascii="宋体" w:hAnsi="宋体" w:cs="宋体" w:hint="eastAsia"/>
          <w:sz w:val="24"/>
          <w:highlight w:val="white"/>
          <w:lang w:eastAsia="zh-CN"/>
        </w:rPr>
        <w:t>（7）基金财产参与股票发行申购，本基金所申报的金额不超过本基金的总资产，本基金所申报的股票数量不超过拟发行股票公司本次发行股票的总量；</w:t>
      </w:r>
    </w:p>
    <w:p w:rsidR="00132D73" w14:paraId="4F48127D" w14:textId="77777777">
      <w:pPr>
        <w:ind w:firstLine="480"/>
        <w:rPr>
          <w:lang w:eastAsia="zh-CN"/>
        </w:rPr>
      </w:pPr>
      <w:r>
        <w:rPr>
          <w:rFonts w:ascii="宋体" w:hAnsi="宋体" w:cs="宋体" w:hint="eastAsia"/>
          <w:sz w:val="24"/>
          <w:highlight w:val="white"/>
          <w:lang w:eastAsia="zh-CN"/>
        </w:rPr>
        <w:t>（8）本基金参与股指期货交易的，应当符合下列要求：在任何交易日日终，持有的买入股指期货合约价值，不得超过基金资产净值的10%；在任何交易日日终，持有的买入国债期货和股指期货合约价值与有价证券市值之和，不得超过基金资产净值的100%，其中，有价证券指股票、债券（不含到期日在一年以内的政府债券）、资产支持证券、买入返售金融资产（不含质押式回购）等；在任何交易日日终，持有的卖出股指期货合约价值不得超过基金持有的股票总市值的20%；持有的股票市值和买入、卖出股指期货合约价值，合计（轧差计算）应当符合基金合同关于股票投资比例的有关约定；在任何交易日内交易（不包括平仓）的股指期货合约的成交金额不得超过上一交易日基金资产净值的20%；每个交易日日终在扣除股指期货、国债期货合约需缴纳的交易保证金后，应当保持不低于交易保证金一倍的现金；</w:t>
      </w:r>
    </w:p>
    <w:p w:rsidR="00132D73" w14:paraId="1AFA14FD" w14:textId="77777777">
      <w:pPr>
        <w:ind w:firstLine="480"/>
        <w:rPr>
          <w:lang w:eastAsia="zh-CN"/>
        </w:rPr>
      </w:pPr>
      <w:r>
        <w:rPr>
          <w:rFonts w:ascii="宋体" w:hAnsi="宋体" w:cs="宋体" w:hint="eastAsia"/>
          <w:sz w:val="24"/>
          <w:highlight w:val="white"/>
          <w:lang w:eastAsia="zh-CN"/>
        </w:rPr>
        <w:t>（9）本基金参与国债期货交易的，应当符合下列要求：在任何交易日日终，本基金持有的买入国债期货合约价值，不得超过基金资产净值的15%；本基金在任何交易日日终，持有的卖出国债期货合约价值不得超过基金持有的债券总市值的30%；本基金在任何交易日内交易（不包括平仓）的国债期货合约的成交金额不得超过上一交易日基金资产净值的30%；</w:t>
      </w:r>
    </w:p>
    <w:p w:rsidR="00132D73" w14:paraId="0703DDA5" w14:textId="77777777">
      <w:pPr>
        <w:ind w:firstLine="480"/>
        <w:rPr>
          <w:lang w:eastAsia="zh-CN"/>
        </w:rPr>
      </w:pPr>
      <w:r>
        <w:rPr>
          <w:rFonts w:ascii="宋体" w:hAnsi="宋体" w:cs="宋体" w:hint="eastAsia"/>
          <w:sz w:val="24"/>
          <w:highlight w:val="white"/>
          <w:lang w:eastAsia="zh-CN"/>
        </w:rPr>
        <w:t>（10）本基金参与股票期权交易的，应当符合下列要求：基金因未平仓的期权合约支付和收取的权利金总额不得超过基金资产净值的10%；未平仓的期权合约面值不得超过基金资产净值的20%。其中，合约面值按照行权价乘以合约乘数计算；</w:t>
      </w:r>
    </w:p>
    <w:p w:rsidR="00132D73" w14:paraId="3A5AAB1B" w14:textId="4378EECC">
      <w:pPr>
        <w:ind w:firstLine="480"/>
        <w:rPr>
          <w:lang w:eastAsia="zh-CN"/>
        </w:rPr>
      </w:pPr>
      <w:r>
        <w:rPr>
          <w:rFonts w:ascii="宋体" w:hAnsi="宋体" w:cs="宋体" w:hint="eastAsia"/>
          <w:sz w:val="24"/>
          <w:highlight w:val="white"/>
          <w:lang w:eastAsia="zh-CN"/>
        </w:rPr>
        <w:t>（11）本基金参与转融通证券出借业务的，应当符合下列要求：出借证券资产不得超过基金资产净值的30%，出借期限在10个交易日以上的出借证券应纳入《流动性风险管理规定》所述流动性受限证券的范围；参与出借业务的单只证券不得超过基金持有该证券总量的30%；最近6个月内日均基金资产净值不得低于2</w:t>
      </w:r>
      <w:r>
        <w:rPr>
          <w:rFonts w:ascii="宋体" w:hAnsi="宋体" w:cs="宋体" w:hint="eastAsia"/>
          <w:sz w:val="24"/>
          <w:highlight w:val="white"/>
          <w:lang w:eastAsia="zh-CN"/>
        </w:rPr>
        <w:t>亿元；证券出借的平均剩余期限不得超过30天，平均剩余期限按照市值加权平均计算；</w:t>
      </w:r>
    </w:p>
    <w:p w:rsidR="00132D73" w14:paraId="4362EC12" w14:textId="77777777">
      <w:pPr>
        <w:ind w:firstLine="480"/>
        <w:rPr>
          <w:lang w:eastAsia="zh-CN"/>
        </w:rPr>
      </w:pPr>
      <w:r>
        <w:rPr>
          <w:rFonts w:ascii="宋体" w:hAnsi="宋体" w:cs="宋体" w:hint="eastAsia"/>
          <w:sz w:val="24"/>
          <w:highlight w:val="white"/>
          <w:lang w:eastAsia="zh-CN"/>
        </w:rPr>
        <w:t>（12）基金参与融资业务后，在任何交易日日终，持有的融资买入股票与其他有价证券市值之和，不得超过基金资产净值的95%；</w:t>
      </w:r>
    </w:p>
    <w:p w:rsidR="00132D73" w14:paraId="45075065" w14:textId="77777777">
      <w:pPr>
        <w:ind w:firstLine="480"/>
        <w:rPr>
          <w:lang w:eastAsia="zh-CN"/>
        </w:rPr>
      </w:pPr>
      <w:r>
        <w:rPr>
          <w:rFonts w:ascii="宋体" w:hAnsi="宋体" w:cs="宋体" w:hint="eastAsia"/>
          <w:sz w:val="24"/>
          <w:highlight w:val="white"/>
          <w:lang w:eastAsia="zh-CN"/>
        </w:rPr>
        <w:t>（13）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rsidR="00132D73" w14:paraId="44A41513" w14:textId="77777777">
      <w:pPr>
        <w:ind w:firstLine="480"/>
        <w:rPr>
          <w:lang w:eastAsia="zh-CN"/>
        </w:rPr>
      </w:pPr>
      <w:r>
        <w:rPr>
          <w:rFonts w:ascii="宋体" w:hAnsi="宋体" w:cs="宋体" w:hint="eastAsia"/>
          <w:sz w:val="24"/>
          <w:highlight w:val="white"/>
          <w:lang w:eastAsia="zh-CN"/>
        </w:rPr>
        <w:t>（14）本基金资产总值不超过基金资产净值的140%；</w:t>
      </w:r>
    </w:p>
    <w:p w:rsidR="00132D73" w14:paraId="65C94055" w14:textId="77777777">
      <w:pPr>
        <w:ind w:firstLine="480"/>
        <w:rPr>
          <w:lang w:eastAsia="zh-CN"/>
        </w:rPr>
      </w:pPr>
      <w:r>
        <w:rPr>
          <w:rFonts w:ascii="宋体" w:hAnsi="宋体" w:cs="宋体" w:hint="eastAsia"/>
          <w:sz w:val="24"/>
          <w:highlight w:val="white"/>
          <w:lang w:eastAsia="zh-CN"/>
        </w:rPr>
        <w:t>（15）本基金投资存托凭证的比例限制依照境内上市交易的股票执行，与境内上市交易的股票合并计算；</w:t>
      </w:r>
    </w:p>
    <w:p w:rsidR="00132D73" w14:paraId="74B5F330" w14:textId="77777777">
      <w:pPr>
        <w:ind w:firstLine="480"/>
        <w:rPr>
          <w:lang w:eastAsia="zh-CN"/>
        </w:rPr>
      </w:pPr>
      <w:r>
        <w:rPr>
          <w:rFonts w:ascii="宋体" w:hAnsi="宋体" w:cs="宋体" w:hint="eastAsia"/>
          <w:sz w:val="24"/>
          <w:highlight w:val="white"/>
          <w:lang w:eastAsia="zh-CN"/>
        </w:rPr>
        <w:t>（16）法律法规及中国证监会规定的和《基金合同》约定的其他投资限制。</w:t>
      </w:r>
    </w:p>
    <w:p w:rsidR="00132D73" w14:paraId="033F7160" w14:textId="77777777">
      <w:pPr>
        <w:ind w:firstLine="480"/>
        <w:rPr>
          <w:lang w:eastAsia="zh-CN"/>
        </w:rPr>
      </w:pPr>
      <w:r>
        <w:rPr>
          <w:rFonts w:ascii="宋体" w:hAnsi="宋体" w:cs="宋体" w:hint="eastAsia"/>
          <w:sz w:val="24"/>
          <w:highlight w:val="white"/>
          <w:lang w:eastAsia="zh-CN"/>
        </w:rPr>
        <w:t>除上述（6）、（7）、（11）、（13）情形之外，因证券/期货市场波动、证券发行人合并、基金规模变动、标的指数成份股调整、流动性限制或成份股市场价格变化等基金管理人之外的因素致使基金投资比例不符合上述规定投资比例的，基金管理人应当在10个交易日内进行调整，但中国证监会规定的特殊情形除外。因证券/期货市场波动、证券发行人合并、基金规模变动等基金管理人之外的因素致使基金投资不符合第（11）项规定的，基金管理人不得新增出借业务。法律法规或监管部门另有规定的，届时按最新规定执行。</w:t>
      </w:r>
    </w:p>
    <w:p w:rsidR="00132D73" w14:paraId="33ED29F2" w14:textId="77777777">
      <w:pPr>
        <w:ind w:firstLine="480"/>
        <w:rPr>
          <w:lang w:eastAsia="zh-CN"/>
        </w:rPr>
      </w:pPr>
      <w:r>
        <w:rPr>
          <w:rFonts w:ascii="宋体" w:hAnsi="宋体" w:cs="宋体" w:hint="eastAsia"/>
          <w:sz w:val="24"/>
          <w:highlight w:val="white"/>
          <w:lang w:eastAsia="zh-CN"/>
        </w:rPr>
        <w:t xml:space="preserve">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 </w:t>
      </w:r>
    </w:p>
    <w:p w:rsidR="00132D73" w14:paraId="2C6EF9FE"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如果法律法规对上述投资组合比例限制进行变更的，以变更后的规定为准。法律法规或监管部门取消上述限制，则本基金投资不再受相关限制。</w:t>
      </w:r>
    </w:p>
    <w:p w:rsidR="00132D73" w14:paraId="38793DEC"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（三）基金托管人</w:t>
      </w:r>
      <w:bookmarkStart w:id="4" w:name="OLE_LINK1"/>
      <w:r>
        <w:rPr>
          <w:rFonts w:ascii="宋体" w:hAnsi="宋体" w:cs="宋体" w:hint="eastAsia"/>
          <w:sz w:val="24"/>
          <w:highlight w:val="white"/>
          <w:lang w:eastAsia="zh-CN"/>
        </w:rPr>
        <w:t>根据有关法律法规的规定及《基金合同》的约定，</w:t>
      </w:r>
      <w:bookmarkEnd w:id="4"/>
      <w:r>
        <w:rPr>
          <w:rFonts w:ascii="宋体" w:hAnsi="宋体" w:cs="宋体" w:hint="eastAsia"/>
          <w:sz w:val="24"/>
          <w:highlight w:val="white"/>
          <w:lang w:eastAsia="zh-CN"/>
        </w:rPr>
        <w:t>对本托管协议第十五条第九款基金投资禁止行为通过事后监督方式进行监督。</w:t>
      </w:r>
    </w:p>
    <w:p w:rsidR="00132D73" w14:paraId="1E494680" w14:textId="77777777">
      <w:pPr>
        <w:snapToGrid w:val="0"/>
        <w:ind w:firstLine="480"/>
        <w:rPr>
          <w:rFonts w:ascii="宋体" w:hAnsi="宋体" w:cs="宋体" w:hint="eastAsia"/>
          <w:sz w:val="24"/>
          <w:lang w:eastAsia="zh-CN"/>
        </w:rPr>
      </w:pPr>
      <w:r>
        <w:rPr>
          <w:rFonts w:ascii="宋体" w:hAnsi="宋体" w:cs="宋体"/>
          <w:sz w:val="24"/>
          <w:highlight w:val="white"/>
          <w:lang w:eastAsia="zh-CN"/>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rsidR="00132D73" w14:paraId="7C226614" w14:textId="77777777">
      <w:pPr>
        <w:snapToGrid w:val="0"/>
        <w:ind w:firstLine="480"/>
        <w:rPr>
          <w:rFonts w:ascii="宋体" w:hAnsi="宋体" w:cs="宋体" w:hint="eastAsia"/>
          <w:sz w:val="24"/>
          <w:lang w:eastAsia="zh-CN"/>
        </w:rPr>
      </w:pPr>
      <w:r>
        <w:rPr>
          <w:rFonts w:ascii="宋体" w:hAnsi="宋体" w:cs="宋体"/>
          <w:sz w:val="24"/>
          <w:highlight w:val="white"/>
          <w:lang w:eastAsia="zh-CN"/>
        </w:rPr>
        <w:t>（四）</w:t>
      </w:r>
      <w:r>
        <w:rPr>
          <w:rFonts w:ascii="宋体" w:hAnsi="宋体" w:cs="宋体" w:hint="eastAsia"/>
          <w:sz w:val="24"/>
          <w:highlight w:val="white"/>
          <w:lang w:eastAsia="zh-CN"/>
        </w:rPr>
        <w:t>基金托管人根据有关法律法规的规定及《基金合同》的约定，对基金管理人投资流通受限证券进行监督。</w:t>
      </w:r>
    </w:p>
    <w:p w:rsidR="00132D73" w14:paraId="4EB2F557"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基金管理人投资流通受限证券，应事先根据中国证监会相关规定，明确基金投资流通受限证券的比例，制订严格的投资决策流程和风险控制制度，防范流动性风险、法律风险和操作风险等各种风险。</w:t>
      </w:r>
    </w:p>
    <w:p w:rsidR="00132D73" w14:paraId="427AEFFC" w14:textId="77777777">
      <w:pPr>
        <w:ind w:firstLine="480"/>
        <w:rPr>
          <w:rFonts w:ascii="宋体" w:hAnsi="宋体" w:cs="宋体" w:hint="eastAsia"/>
          <w:sz w:val="24"/>
          <w:lang w:eastAsia="zh-CN"/>
        </w:rPr>
      </w:pPr>
      <w:r>
        <w:rPr>
          <w:rFonts w:ascii="宋体" w:hAnsi="宋体" w:cs="宋体"/>
          <w:sz w:val="24"/>
          <w:highlight w:val="white"/>
          <w:lang w:eastAsia="zh-CN"/>
        </w:rPr>
        <w:t>1.</w:t>
      </w:r>
      <w:r>
        <w:rPr>
          <w:rFonts w:ascii="宋体" w:hAnsi="宋体" w:cs="宋体" w:hint="eastAsia"/>
          <w:sz w:val="24"/>
          <w:highlight w:val="white"/>
          <w:lang w:eastAsia="zh-CN"/>
        </w:rPr>
        <w:t>本基金投资的流通受限证券须为经中国证监会批准的非公开发行股票、公开发行股票网下配售部分等在发行时明确一定期限锁定期的可交易证券，不包括由于发布重大消息或其他原因而临时停牌的证券、已发行未上市证券、回购交易中的质押</w:t>
      </w:r>
      <w:r>
        <w:rPr>
          <w:rFonts w:ascii="宋体" w:hAnsi="宋体" w:cs="宋体" w:hint="eastAsia"/>
          <w:sz w:val="24"/>
          <w:highlight w:val="white"/>
          <w:lang w:eastAsia="zh-CN"/>
        </w:rPr>
        <w:t>券</w:t>
      </w:r>
      <w:r>
        <w:rPr>
          <w:rFonts w:ascii="宋体" w:hAnsi="宋体" w:cs="宋体" w:hint="eastAsia"/>
          <w:sz w:val="24"/>
          <w:highlight w:val="white"/>
          <w:lang w:eastAsia="zh-CN"/>
        </w:rPr>
        <w:t>等流通受限证券。本基金不投资有</w:t>
      </w:r>
      <w:r>
        <w:rPr>
          <w:rFonts w:ascii="宋体" w:hAnsi="宋体" w:cs="宋体" w:hint="eastAsia"/>
          <w:sz w:val="24"/>
          <w:highlight w:val="white"/>
          <w:lang w:eastAsia="zh-CN"/>
        </w:rPr>
        <w:t>锁定期但锁定</w:t>
      </w:r>
      <w:r>
        <w:rPr>
          <w:rFonts w:ascii="宋体" w:hAnsi="宋体" w:cs="宋体" w:hint="eastAsia"/>
          <w:sz w:val="24"/>
          <w:highlight w:val="white"/>
          <w:lang w:eastAsia="zh-CN"/>
        </w:rPr>
        <w:t>期不明确的证券。</w:t>
      </w:r>
    </w:p>
    <w:p w:rsidR="00132D73" w14:paraId="0155672D"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本基金投资的流通受限证券限于可由中国证券登记结算有限责任公司或中央国债登记结算有限责任公司负责登记和存管，并可在证券交易所或全国银行间债券市场交易的证券。</w:t>
      </w:r>
    </w:p>
    <w:p w:rsidR="00132D73" w14:paraId="4463C78B"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本基金投资的流通受限证券应保证登记存管在本基金名下，基金管理人负责相关工作的落实和协调，并确保基金托管人能够正常查询。因基金管理</w:t>
      </w:r>
      <w:r>
        <w:rPr>
          <w:rFonts w:ascii="宋体" w:hAnsi="宋体" w:cs="宋体" w:hint="eastAsia"/>
          <w:sz w:val="24"/>
          <w:highlight w:val="white"/>
          <w:lang w:eastAsia="zh-CN"/>
        </w:rPr>
        <w:t>人原因</w:t>
      </w:r>
      <w:r>
        <w:rPr>
          <w:rFonts w:ascii="宋体" w:hAnsi="宋体" w:cs="宋体" w:hint="eastAsia"/>
          <w:sz w:val="24"/>
          <w:highlight w:val="white"/>
          <w:lang w:eastAsia="zh-CN"/>
        </w:rPr>
        <w:t>产生的流通受限证券登记存管问题，造成基金托管人无法安全保管本基金资产的责任与损失，及因流通受限证券存管直接影响本基金安全的责任及损失，由基金管理人承担。</w:t>
      </w:r>
    </w:p>
    <w:p w:rsidR="00132D73" w14:paraId="42EB010E"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本基金投资流通受限证券，不得预付任何形式的保证金，</w:t>
      </w:r>
      <w:r>
        <w:rPr>
          <w:rFonts w:ascii="宋体" w:hAnsi="宋体" w:cs="宋体" w:hint="eastAsia"/>
          <w:sz w:val="24"/>
          <w:highlight w:val="white"/>
          <w:lang w:eastAsia="zh-CN"/>
        </w:rPr>
        <w:t>若法规</w:t>
      </w:r>
      <w:r>
        <w:rPr>
          <w:rFonts w:ascii="宋体" w:hAnsi="宋体" w:cs="宋体" w:hint="eastAsia"/>
          <w:sz w:val="24"/>
          <w:highlight w:val="white"/>
          <w:lang w:eastAsia="zh-CN"/>
        </w:rPr>
        <w:t>有新规定的按照新的规定执行。</w:t>
      </w:r>
    </w:p>
    <w:p w:rsidR="00132D73" w14:paraId="4C94480F" w14:textId="77777777">
      <w:pPr>
        <w:snapToGrid w:val="0"/>
        <w:ind w:firstLine="480"/>
        <w:rPr>
          <w:rFonts w:ascii="宋体" w:hAnsi="宋体" w:cs="宋体" w:hint="eastAsia"/>
          <w:sz w:val="24"/>
          <w:lang w:eastAsia="zh-CN"/>
        </w:rPr>
      </w:pPr>
      <w:r>
        <w:rPr>
          <w:rFonts w:ascii="宋体" w:hAnsi="宋体" w:cs="宋体"/>
          <w:sz w:val="24"/>
          <w:highlight w:val="white"/>
          <w:lang w:eastAsia="zh-CN"/>
        </w:rPr>
        <w:t>2.</w:t>
      </w:r>
      <w:r>
        <w:rPr>
          <w:rFonts w:ascii="宋体" w:hAnsi="宋体" w:cs="宋体" w:hint="eastAsia"/>
          <w:sz w:val="24"/>
          <w:highlight w:val="white"/>
          <w:lang w:eastAsia="zh-CN"/>
        </w:rPr>
        <w:t>基金管理人投资非公开发行股票，应制订流动性风险处置预案并经其董事会批准。风险处置预案应包括但不限于因投资流通受限证券需要解决的基金投资比例限制失调、基金流动性困难以及相关损失的应对解决措施，以及有关异常情况的处置。</w:t>
      </w:r>
    </w:p>
    <w:p w:rsidR="00132D73" w14:paraId="6F9D3659"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基金管理人对本基金投资流通受限证券的流动性风险负责，确保对相关风险采取积极有效的措施，在合理的时间内有效解决基金运作的流动性问题。如因基金巨额赎回或市场发生剧烈变动等原因而导致基金现金周转困难时，基金管理人应保证提供足额现金确保基金的支付结算，并承担所有损失。对本基金因投资流通受限证券导致的流动性风险，基金托管人不承担任何责任。如因基金管理</w:t>
      </w:r>
      <w:r>
        <w:rPr>
          <w:rFonts w:ascii="宋体" w:hAnsi="宋体" w:cs="宋体" w:hint="eastAsia"/>
          <w:sz w:val="24"/>
          <w:highlight w:val="white"/>
          <w:lang w:eastAsia="zh-CN"/>
        </w:rPr>
        <w:t>人原因</w:t>
      </w:r>
      <w:r>
        <w:rPr>
          <w:rFonts w:ascii="宋体" w:hAnsi="宋体" w:cs="宋体" w:hint="eastAsia"/>
          <w:sz w:val="24"/>
          <w:highlight w:val="white"/>
          <w:lang w:eastAsia="zh-CN"/>
        </w:rPr>
        <w:t>导致本基金出现损失致使基金托管人承担连带赔偿责任的，基金管理人应赔偿基金托管人由此遭受的损失。</w:t>
      </w:r>
    </w:p>
    <w:p w:rsidR="00132D73" w14:paraId="7D3AD86F" w14:textId="77777777">
      <w:pPr>
        <w:snapToGrid w:val="0"/>
        <w:ind w:firstLine="480"/>
        <w:rPr>
          <w:rFonts w:ascii="宋体" w:hAnsi="宋体" w:cs="宋体" w:hint="eastAsia"/>
          <w:sz w:val="24"/>
          <w:lang w:eastAsia="zh-CN"/>
        </w:rPr>
      </w:pPr>
      <w:r>
        <w:rPr>
          <w:rFonts w:ascii="宋体" w:hAnsi="宋体" w:cs="宋体"/>
          <w:sz w:val="24"/>
          <w:highlight w:val="white"/>
          <w:lang w:eastAsia="zh-CN"/>
        </w:rPr>
        <w:t>3.</w:t>
      </w:r>
      <w:r>
        <w:rPr>
          <w:rFonts w:ascii="宋体" w:hAnsi="宋体" w:cs="宋体" w:hint="eastAsia"/>
          <w:sz w:val="24"/>
          <w:highlight w:val="white"/>
          <w:lang w:eastAsia="zh-CN"/>
        </w:rPr>
        <w:t>本基金投资非公开发行股票，基金管理人应至少于投资前三个工作日向基金托管人提交有关书面资料，并保证向基金托管人提供的有关资料真实、准确、完整。有关资料如有调整，基金管理人应及时提供调整后的资料。上述书面资料包括但不限于：</w:t>
      </w:r>
    </w:p>
    <w:p w:rsidR="00132D73" w14:paraId="558E0DF0"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（1）中国证监会批准发行非公开发行股票的批准文件。</w:t>
      </w:r>
    </w:p>
    <w:p w:rsidR="00132D73" w14:paraId="45B99484"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（2）非公开发行股票有关发行数量、发行价格、锁定期等发行资料。</w:t>
      </w:r>
    </w:p>
    <w:p w:rsidR="00132D73" w14:paraId="7B836E1B"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w:t>
      </w:r>
      <w:r>
        <w:rPr>
          <w:rFonts w:ascii="宋体" w:hAnsi="宋体" w:cs="宋体"/>
          <w:sz w:val="24"/>
          <w:highlight w:val="white"/>
          <w:lang w:eastAsia="zh-CN"/>
        </w:rPr>
        <w:t>3）基金拟认购的数量、价格、总成本、账面价值。</w:t>
      </w:r>
    </w:p>
    <w:p w:rsidR="00132D73" w14:paraId="7C24000F" w14:textId="77777777">
      <w:pPr>
        <w:snapToGrid w:val="0"/>
        <w:ind w:firstLine="480"/>
        <w:rPr>
          <w:rFonts w:ascii="宋体" w:hAnsi="宋体" w:cs="宋体" w:hint="eastAsia"/>
          <w:sz w:val="24"/>
          <w:lang w:eastAsia="zh-CN"/>
        </w:rPr>
      </w:pPr>
      <w:r>
        <w:rPr>
          <w:rFonts w:ascii="宋体" w:hAnsi="宋体" w:cs="宋体"/>
          <w:sz w:val="24"/>
          <w:highlight w:val="white"/>
          <w:lang w:eastAsia="zh-CN"/>
        </w:rPr>
        <w:t>4.基金管理人应在本基金投资非公开发行股票后两个交易日内，在中国证监会规定媒介披露所投资非公开发行股票的名称、数量、总成本、账面价值，以及总成本和账面价值占基金资产净值的比例、锁定期等信息。</w:t>
      </w:r>
    </w:p>
    <w:p w:rsidR="00132D73" w14:paraId="0C234234" w14:textId="77777777">
      <w:pPr>
        <w:ind w:firstLine="480"/>
        <w:rPr>
          <w:rFonts w:ascii="宋体" w:hAnsi="宋体" w:cs="宋体" w:hint="eastAsia"/>
          <w:sz w:val="24"/>
          <w:lang w:eastAsia="zh-CN"/>
        </w:rPr>
      </w:pPr>
      <w:r>
        <w:rPr>
          <w:rFonts w:ascii="宋体" w:hAnsi="宋体" w:cs="宋体"/>
          <w:sz w:val="24"/>
          <w:highlight w:val="white"/>
          <w:lang w:eastAsia="zh-CN"/>
        </w:rPr>
        <w:t>本基金有关投资流通受限证券比例如违反有关限制规定，在合理期限内未能进行及时调整，基金管理人应按照《信息披露办法》的要求进行公告。</w:t>
      </w:r>
    </w:p>
    <w:p w:rsidR="00132D73" w14:paraId="3FAF7705" w14:textId="77777777">
      <w:pPr>
        <w:snapToGrid w:val="0"/>
        <w:ind w:firstLine="480"/>
        <w:rPr>
          <w:rFonts w:ascii="宋体" w:hAnsi="宋体" w:cs="宋体" w:hint="eastAsia"/>
          <w:sz w:val="24"/>
          <w:lang w:eastAsia="zh-CN"/>
        </w:rPr>
      </w:pPr>
      <w:r>
        <w:rPr>
          <w:rFonts w:ascii="宋体" w:hAnsi="宋体" w:cs="宋体"/>
          <w:sz w:val="24"/>
          <w:highlight w:val="white"/>
          <w:lang w:eastAsia="zh-CN"/>
        </w:rPr>
        <w:t>5.相关法律法规对基金投资流通受限证券有新规定的，从其规定。</w:t>
      </w:r>
    </w:p>
    <w:p w:rsidR="00132D73" w14:paraId="4975C226" w14:textId="77777777">
      <w:pPr>
        <w:ind w:firstLine="480"/>
        <w:rPr>
          <w:rFonts w:ascii="宋体" w:hAnsi="宋体" w:cs="宋体" w:hint="eastAsia"/>
          <w:lang w:eastAsia="zh-CN"/>
        </w:rPr>
      </w:pPr>
      <w:r>
        <w:rPr>
          <w:rFonts w:ascii="宋体" w:hAnsi="宋体" w:cs="宋体"/>
          <w:sz w:val="24"/>
          <w:highlight w:val="white"/>
          <w:lang w:eastAsia="zh-CN"/>
        </w:rPr>
        <w:t>（五）基金托管人投资监督的准确性和完整性受限于基金管理人、证券经纪机构及其他中介机构提供的数据和信息。基金托管人在充分获取所必需数据信息的前提下提供投资监督服务。</w:t>
      </w:r>
    </w:p>
    <w:p w:rsidR="00132D73" w14:paraId="45A602A6" w14:textId="77777777">
      <w:pPr>
        <w:ind w:firstLine="482"/>
        <w:rPr>
          <w:rFonts w:ascii="宋体" w:hAnsi="宋体" w:cs="宋体" w:hint="eastAsia"/>
          <w:sz w:val="24"/>
          <w:lang w:eastAsia="zh-CN"/>
        </w:rPr>
      </w:pPr>
      <w:r>
        <w:rPr>
          <w:rFonts w:ascii="宋体" w:hAnsi="宋体" w:cs="宋体" w:hint="eastAsia"/>
          <w:sz w:val="24"/>
          <w:highlight w:val="white"/>
          <w:lang w:eastAsia="zh-CN"/>
        </w:rPr>
        <w:t>（六）基金托管人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rsidR="00132D73" w14:paraId="0CC061CA" w14:textId="77777777">
      <w:pPr>
        <w:ind w:firstLine="480"/>
        <w:rPr>
          <w:rFonts w:ascii="宋体" w:hAnsi="宋体" w:cs="宋体" w:hint="eastAsia"/>
          <w:sz w:val="24"/>
          <w:lang w:eastAsia="zh-CN"/>
        </w:rPr>
      </w:pPr>
      <w:r>
        <w:rPr>
          <w:rFonts w:ascii="宋体" w:hAnsi="宋体" w:cs="宋体"/>
          <w:sz w:val="24"/>
          <w:highlight w:val="white"/>
          <w:lang w:eastAsia="zh-CN"/>
        </w:rPr>
        <w:t>（七）基金托管人发现基金管理人的上述事项及投资指令或实际投资运作违反法律法规、《基金合同》和本托管协议的规定，应及时以电话提醒或书面提示等方式通知基金管理人限期纠正。基金管理人应积极配合和协助基金托管人的监督和核查。基金管理人收到书面通知后应在下一工作日前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rsidR="00132D73" w14:paraId="4B7440CC"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八）基金管理人有义务配合和协助基金托管人依照法律法规、《基金合同》和本托管协议对基金业务执行核查。对基金托管人发出的书面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rsidR="00132D73" w14:paraId="45E6B7B6"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（九）</w:t>
      </w:r>
      <w:r>
        <w:rPr>
          <w:rFonts w:ascii="宋体" w:hAnsi="宋体" w:cs="宋体" w:hint="eastAsia"/>
          <w:sz w:val="24"/>
          <w:highlight w:val="white"/>
          <w:lang w:eastAsia="zh-CN"/>
        </w:rPr>
        <w:t>若基金</w:t>
      </w:r>
      <w:r>
        <w:rPr>
          <w:rFonts w:ascii="宋体" w:hAnsi="宋体" w:cs="宋体" w:hint="eastAsia"/>
          <w:sz w:val="24"/>
          <w:highlight w:val="white"/>
          <w:lang w:eastAsia="zh-CN"/>
        </w:rPr>
        <w:t>托管人发现基金管理人依据交易程序已经生效的指令违反法律、行政法规和其他有关规定，或者违反《基金合同》约定的，应当及时通知基金管理人，由此造成的损失由基金管理人承担。</w:t>
      </w:r>
    </w:p>
    <w:p w:rsidR="00132D73" w14:paraId="3F22A6A5"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十）基金托管人发现基金管理人有重大违规行为，应及时报告中国证监会，同时通知基金管理人限期纠正，并将纠正结果报告中国证监会。基金管理人无正当理由，拒绝、阻挠基金托管人根据本托管协议规定行使监督权，或采取拖延、欺诈等手段妨碍基金托管人进行有效监督，情节严重或经基金托管人提出警告仍不改正的，基金托管人应报告中国证监会。</w:t>
      </w:r>
    </w:p>
    <w:p w:rsidR="00132D73" w14:paraId="2F5FE681" w14:textId="77777777">
      <w:pPr>
        <w:rPr>
          <w:rFonts w:ascii="宋体" w:hAnsi="宋体" w:cs="宋体" w:hint="eastAsia"/>
          <w:sz w:val="24"/>
          <w:lang w:eastAsia="zh-CN"/>
        </w:rPr>
      </w:pPr>
    </w:p>
    <w:p w:rsidR="00132D73" w14:paraId="0D1A9F2F" w14:textId="77777777">
      <w:pPr>
        <w:pStyle w:val="21"/>
        <w:jc w:val="center"/>
        <w:rPr>
          <w:rFonts w:ascii="宋体" w:eastAsia="宋体" w:hAnsi="宋体" w:cs="宋体" w:hint="eastAsia"/>
          <w:sz w:val="30"/>
          <w:lang w:eastAsia="zh-CN"/>
        </w:rPr>
      </w:pPr>
      <w:bookmarkStart w:id="5" w:name="_Toc68875906"/>
      <w:bookmarkStart w:id="6" w:name="_Toc89163368"/>
      <w:bookmarkStart w:id="7" w:name="_Toc118212950"/>
      <w:bookmarkStart w:id="8" w:name="_Toc86225291"/>
      <w:bookmarkStart w:id="9" w:name="_Toc110830492"/>
      <w:bookmarkStart w:id="10" w:name="_Toc118774803"/>
      <w:bookmarkStart w:id="11" w:name="_Toc108512358"/>
      <w:bookmarkStart w:id="12" w:name="_Toc119402710"/>
      <w:bookmarkStart w:id="13" w:name="_Toc86223242"/>
      <w:bookmarkStart w:id="14" w:name="_Toc118972648"/>
      <w:bookmarkStart w:id="15" w:name="_Toc110761796"/>
      <w:bookmarkStart w:id="16" w:name="_Toc110765660"/>
      <w:bookmarkStart w:id="17" w:name="_Toc86649722"/>
      <w:bookmarkStart w:id="18" w:name="_Toc120435783"/>
      <w:bookmarkStart w:id="19" w:name="_Toc86726439"/>
      <w:bookmarkStart w:id="20" w:name="_Toc86737929"/>
      <w:bookmarkStart w:id="21" w:name="_Toc86727355"/>
      <w:r>
        <w:rPr>
          <w:rFonts w:ascii="宋体" w:eastAsia="宋体" w:hAnsi="宋体" w:cs="宋体" w:hint="eastAsia"/>
          <w:sz w:val="30"/>
          <w:highlight w:val="white"/>
          <w:lang w:eastAsia="zh-CN"/>
        </w:rPr>
        <w:t>四、基金管理人对基金托管人的业务核查</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rsidR="00132D73" w14:paraId="51598A04"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一）基金管理人对基金托管人履行托管职责情况进行核查，核查事项包括基金托管人安全保管基金财产、开设基金财产的资金账户和证券账户、复核基金管理人计算的基金资产净值和基金份额净值、根据基金管理人指令办理清算交收、相关信息披露和监督基金投资运作等行为。</w:t>
      </w:r>
    </w:p>
    <w:p w:rsidR="00132D73" w14:paraId="7310A147" w14:textId="77777777">
      <w:pPr>
        <w:snapToGrid w:val="0"/>
        <w:ind w:firstLine="480"/>
        <w:rPr>
          <w:rFonts w:ascii="宋体" w:hAnsi="宋体" w:cs="宋体" w:hint="eastAsia"/>
          <w:sz w:val="24"/>
          <w:lang w:eastAsia="zh-CN"/>
        </w:rPr>
      </w:pPr>
      <w:r>
        <w:rPr>
          <w:rFonts w:ascii="宋体" w:hAnsi="宋体" w:cs="宋体"/>
          <w:sz w:val="24"/>
          <w:highlight w:val="white"/>
          <w:lang w:eastAsia="zh-CN"/>
        </w:rPr>
        <w:t>（二）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w:t>
      </w:r>
      <w:r>
        <w:rPr>
          <w:rFonts w:ascii="宋体" w:hAnsi="宋体" w:cs="宋体"/>
          <w:sz w:val="24"/>
          <w:highlight w:val="white"/>
          <w:lang w:eastAsia="zh-CN"/>
        </w:rPr>
        <w:t>供基金</w:t>
      </w:r>
      <w:r>
        <w:rPr>
          <w:rFonts w:ascii="宋体" w:hAnsi="宋体" w:cs="宋体"/>
          <w:sz w:val="24"/>
          <w:highlight w:val="white"/>
          <w:lang w:eastAsia="zh-CN"/>
        </w:rPr>
        <w:t>管理人核查托管财产的完整性和真实性，在规定时间内答复基金管理人并改正。</w:t>
      </w:r>
    </w:p>
    <w:p w:rsidR="00132D73" w14:paraId="60081B39"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三）基金管理人发现基金托管人有重大违规行为，应及时报告中国证监会，同时通知基金托管人限期纠正，并将纠正结果报告中国证监会。基金托管人无正当理由，拒绝、阻挠基金管理人根据本协议规定行使监督权，或采取拖延、欺诈等手段妨碍基金管理人进行有效监督，情节严重或经基金管理人提出警告仍不改正的，基金管理人应报告中国证监会。</w:t>
      </w:r>
    </w:p>
    <w:p w:rsidR="00132D73" w14:paraId="3209526B" w14:textId="77777777">
      <w:pPr>
        <w:rPr>
          <w:rFonts w:ascii="宋体" w:hAnsi="宋体" w:cs="宋体" w:hint="eastAsia"/>
          <w:sz w:val="24"/>
          <w:lang w:eastAsia="zh-CN"/>
        </w:rPr>
      </w:pPr>
    </w:p>
    <w:p w:rsidR="00132D73" w14:paraId="2AAB9E40" w14:textId="77777777">
      <w:pPr>
        <w:pStyle w:val="21"/>
        <w:jc w:val="center"/>
        <w:rPr>
          <w:rFonts w:ascii="宋体" w:eastAsia="宋体" w:hAnsi="宋体" w:cs="宋体" w:hint="eastAsia"/>
          <w:sz w:val="30"/>
          <w:lang w:eastAsia="zh-CN"/>
        </w:rPr>
      </w:pPr>
      <w:bookmarkStart w:id="22" w:name="_Toc84234388"/>
      <w:bookmarkStart w:id="23" w:name="_Toc119402711"/>
      <w:bookmarkStart w:id="24" w:name="_Toc86225292"/>
      <w:bookmarkStart w:id="25" w:name="_Toc86726440"/>
      <w:bookmarkStart w:id="26" w:name="_Toc118972649"/>
      <w:bookmarkStart w:id="27" w:name="_Toc110761797"/>
      <w:bookmarkStart w:id="28" w:name="_Toc118212951"/>
      <w:bookmarkStart w:id="29" w:name="_Toc84234435"/>
      <w:bookmarkStart w:id="30" w:name="_Toc86649723"/>
      <w:bookmarkStart w:id="31" w:name="_Toc89163369"/>
      <w:bookmarkStart w:id="32" w:name="_Toc110830493"/>
      <w:bookmarkStart w:id="33" w:name="_Toc86204789"/>
      <w:bookmarkStart w:id="34" w:name="_Toc68875907"/>
      <w:bookmarkStart w:id="35" w:name="_Toc86727356"/>
      <w:bookmarkStart w:id="36" w:name="_Toc86223243"/>
      <w:bookmarkStart w:id="37" w:name="_Toc84133786"/>
      <w:bookmarkStart w:id="38" w:name="_Toc110765661"/>
      <w:bookmarkStart w:id="39" w:name="_Toc108512359"/>
      <w:bookmarkStart w:id="40" w:name="_Toc120435784"/>
      <w:bookmarkStart w:id="41" w:name="_Toc118774804"/>
      <w:bookmarkStart w:id="42" w:name="_Toc86737930"/>
      <w:r>
        <w:rPr>
          <w:rFonts w:ascii="宋体" w:eastAsia="宋体" w:hAnsi="宋体" w:cs="宋体" w:hint="eastAsia"/>
          <w:sz w:val="30"/>
          <w:highlight w:val="white"/>
          <w:lang w:eastAsia="zh-CN"/>
        </w:rPr>
        <w:t>五、基金财产的保管</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rsidR="00132D73" w14:paraId="14E2CCC0"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（一）基金财产保管的原则</w:t>
      </w:r>
    </w:p>
    <w:p w:rsidR="00132D73" w14:paraId="5BD5B0DF" w14:textId="77777777">
      <w:pPr>
        <w:snapToGrid w:val="0"/>
        <w:ind w:firstLine="480"/>
        <w:rPr>
          <w:rFonts w:ascii="宋体" w:hAnsi="宋体" w:cs="宋体" w:hint="eastAsia"/>
          <w:color w:val="000000"/>
          <w:sz w:val="24"/>
          <w:lang w:eastAsia="zh-CN"/>
        </w:rPr>
      </w:pPr>
      <w:r>
        <w:rPr>
          <w:rFonts w:ascii="宋体" w:hAnsi="宋体" w:cs="宋体" w:hint="eastAsia"/>
          <w:color w:val="000000"/>
          <w:sz w:val="24"/>
          <w:highlight w:val="white"/>
          <w:lang w:eastAsia="zh-CN"/>
        </w:rPr>
        <w:t>1.基金财产应独立于基金管理人、基金托管人和证券经纪机构的固有财产。</w:t>
      </w:r>
    </w:p>
    <w:p w:rsidR="00132D73" w14:paraId="2FEF5406"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2.基金托管人应安全保管基金财产。</w:t>
      </w:r>
    </w:p>
    <w:p w:rsidR="00132D73" w14:paraId="0B772B12"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3.基金托管人按照规定开设基金财产的资金账户和证券账户。</w:t>
      </w:r>
    </w:p>
    <w:p w:rsidR="00132D73" w14:paraId="75BC108D"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4.基金托管人对所托管的不同基金财产分别设置账户，确保基金财产的完整与独立。</w:t>
      </w:r>
    </w:p>
    <w:p w:rsidR="00132D73" w14:paraId="4AD3E835"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5.基金托管人按照《基金合同》和本协议的约定保管基金财产，如有特殊情况双方可另行协商解决。基金托管人未经基金管理人的指令，不得自行运用、处分、分配本基金的任何资产（不包含基金托管人开户银行或交易/登记结算机构扣</w:t>
      </w:r>
      <w:r>
        <w:rPr>
          <w:rFonts w:ascii="宋体" w:hAnsi="宋体" w:cs="宋体" w:hint="eastAsia"/>
          <w:sz w:val="24"/>
          <w:highlight w:val="white"/>
          <w:lang w:eastAsia="zh-CN"/>
        </w:rPr>
        <w:t>收交易</w:t>
      </w:r>
      <w:r>
        <w:rPr>
          <w:rFonts w:ascii="宋体" w:hAnsi="宋体" w:cs="宋体" w:hint="eastAsia"/>
          <w:sz w:val="24"/>
          <w:highlight w:val="white"/>
          <w:lang w:eastAsia="zh-CN"/>
        </w:rPr>
        <w:t>费、结算费和账户维护费等费用）。</w:t>
      </w:r>
    </w:p>
    <w:p w:rsidR="00132D73" w14:paraId="3E80242D"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6.对于因为基金投资产生的应收资产，如基金托管人无法从公开信息或基金管理人提供的书面资料中获取到账日期信息的，应由基金管理人负责与有关当事人确定到账日期并通知基金托管人，到账日基金财产没有到达基金账户的，基金托管人应及时通知基金管理人采取措施进行催收。由此给基金财产造成损失的，基金管理人应负责向有关当事人追偿基金财产的损失，基金托管人对此不承担任何责任。</w:t>
      </w:r>
    </w:p>
    <w:p w:rsidR="00132D73" w14:paraId="54F8B3E7"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7.除依据法律法规和《基金合同》的规定外，基金托管人不得委托第三人托管基金财产。</w:t>
      </w:r>
    </w:p>
    <w:p w:rsidR="00132D73" w14:paraId="641A91C9" w14:textId="77777777">
      <w:pPr>
        <w:ind w:firstLine="480"/>
        <w:rPr>
          <w:rFonts w:ascii="宋体" w:hAnsi="宋体" w:cs="宋体" w:hint="eastAsia"/>
          <w:lang w:eastAsia="zh-CN"/>
        </w:rPr>
      </w:pPr>
      <w:r>
        <w:rPr>
          <w:rFonts w:ascii="宋体" w:hAnsi="宋体" w:cs="宋体" w:hint="eastAsia"/>
          <w:sz w:val="24"/>
          <w:highlight w:val="white"/>
          <w:lang w:eastAsia="zh-CN"/>
        </w:rPr>
        <w:t>（二）基金募集期间及募集资金的验资</w:t>
      </w:r>
    </w:p>
    <w:p w:rsidR="00132D73" w14:paraId="6A57C94C" w14:textId="77777777">
      <w:pPr>
        <w:ind w:firstLine="480"/>
        <w:rPr>
          <w:rFonts w:ascii="宋体" w:hAnsi="宋体" w:cs="宋体" w:hint="eastAsia"/>
          <w:lang w:eastAsia="zh-CN"/>
        </w:rPr>
      </w:pPr>
      <w:r>
        <w:rPr>
          <w:rFonts w:ascii="宋体" w:hAnsi="宋体" w:cs="宋体" w:hint="eastAsia"/>
          <w:sz w:val="24"/>
          <w:highlight w:val="white"/>
          <w:lang w:eastAsia="zh-CN"/>
        </w:rPr>
        <w:t>1.基金募集期间募集的资金应存于基金管理人在基金托管人的营业机构开立的“基金募集专户”。该账户由基金管理人开立并管理。</w:t>
      </w:r>
    </w:p>
    <w:p w:rsidR="00132D73" w14:paraId="44D25D6C" w14:textId="77777777">
      <w:pPr>
        <w:ind w:firstLine="480"/>
        <w:rPr>
          <w:rFonts w:ascii="宋体" w:hAnsi="宋体" w:cs="宋体" w:hint="eastAsia"/>
          <w:lang w:eastAsia="zh-CN"/>
        </w:rPr>
      </w:pPr>
      <w:r>
        <w:rPr>
          <w:rFonts w:ascii="宋体" w:hAnsi="宋体" w:cs="宋体" w:hint="eastAsia"/>
          <w:sz w:val="24"/>
          <w:highlight w:val="white"/>
          <w:lang w:eastAsia="zh-CN"/>
        </w:rPr>
        <w:t>2.基金募集期满或基金停止募集时，募集的基金份额总额、基金募集金额、基金份额持有人人数符合《基金法》、《运作办法》等有关规定后，属于基金财产的全部资金应划入基金托管人开立的基金托管资金账户，同时在规定时间内，聘请符合《证券法》规定的会计师事务所进行验资，出具验资报告。出具的验资报告由参加验资的2名或2名以上中国注册会计师签字方为有效。</w:t>
      </w:r>
    </w:p>
    <w:p w:rsidR="00132D73" w14:paraId="5556D8E4" w14:textId="77777777">
      <w:pPr>
        <w:ind w:firstLine="480"/>
        <w:rPr>
          <w:rFonts w:ascii="宋体" w:hAnsi="宋体" w:cs="宋体" w:hint="eastAsia"/>
          <w:lang w:eastAsia="zh-CN"/>
        </w:rPr>
      </w:pPr>
      <w:r>
        <w:rPr>
          <w:rFonts w:ascii="宋体" w:hAnsi="宋体" w:cs="宋体" w:hint="eastAsia"/>
          <w:sz w:val="24"/>
          <w:highlight w:val="white"/>
          <w:lang w:eastAsia="zh-CN"/>
        </w:rPr>
        <w:t>3.</w:t>
      </w:r>
      <w:r>
        <w:rPr>
          <w:rFonts w:ascii="宋体" w:hAnsi="宋体" w:cs="宋体" w:hint="eastAsia"/>
          <w:sz w:val="24"/>
          <w:highlight w:val="white"/>
          <w:lang w:eastAsia="zh-CN"/>
        </w:rPr>
        <w:t>若基金</w:t>
      </w:r>
      <w:r>
        <w:rPr>
          <w:rFonts w:ascii="宋体" w:hAnsi="宋体" w:cs="宋体" w:hint="eastAsia"/>
          <w:sz w:val="24"/>
          <w:highlight w:val="white"/>
          <w:lang w:eastAsia="zh-CN"/>
        </w:rPr>
        <w:t>募集期限届满，未能达到《基金合同》生效的条件，由基金管理人按规定办理退款等事宜。</w:t>
      </w:r>
    </w:p>
    <w:p w:rsidR="00132D73" w14:paraId="7FCB88CD"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（三）基金托管资金账户的开立和管理</w:t>
      </w:r>
    </w:p>
    <w:p w:rsidR="00132D73" w14:paraId="3E4C28D8"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1.基金托管人可以基金的名义在其营业机构开立基金的托管资金账户，并根据基金管理人合法合</w:t>
      </w:r>
      <w:r>
        <w:rPr>
          <w:rFonts w:ascii="宋体" w:hAnsi="宋体" w:cs="宋体" w:hint="eastAsia"/>
          <w:sz w:val="24"/>
          <w:highlight w:val="white"/>
          <w:lang w:eastAsia="zh-CN"/>
        </w:rPr>
        <w:t>规</w:t>
      </w:r>
      <w:r>
        <w:rPr>
          <w:rFonts w:ascii="宋体" w:hAnsi="宋体" w:cs="宋体" w:hint="eastAsia"/>
          <w:sz w:val="24"/>
          <w:highlight w:val="white"/>
          <w:lang w:eastAsia="zh-CN"/>
        </w:rPr>
        <w:t>的指令办理资金收付。户名原则上应当包含开户主体和产品名称字样。如法律法规或监管部门另有规定的，从其规定。本基金的银行预留印鉴由基金托管人保管和使用。</w:t>
      </w:r>
    </w:p>
    <w:p w:rsidR="00132D73" w14:paraId="0AC7B06D"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2.基金托管资金账户的开立和使用，限于满足开展本基金业务的需要。基金托管人和基金管理人不得假借本基金的名义开立任何其他银行账户；亦不得使用基金的任何账户进行本基金业务以外的活动。</w:t>
      </w:r>
    </w:p>
    <w:p w:rsidR="00132D73" w14:paraId="29C803CA"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3.基金托管资金账户的开立和管理应符合银行业监督管理机构的有关规定。</w:t>
      </w:r>
    </w:p>
    <w:p w:rsidR="00132D73" w14:paraId="79462D14"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4.在符合法律法规规定的条件下，基金托管人可以通过基金托管人专用账户办理基金资产的支付。</w:t>
      </w:r>
    </w:p>
    <w:p w:rsidR="00132D73" w14:paraId="143C4A29"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5.基金管理人应于产品终止后及时完成收益兑付、费用结清及其他应收应付款项资金划转，在确保后续不再发生款项进出后的10个工作日内向基金托管人发出销户申请。</w:t>
      </w:r>
    </w:p>
    <w:p w:rsidR="00132D73" w14:paraId="67F5BDF7"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（四）基金证券账户和证券资金账户的开立和管理</w:t>
      </w:r>
    </w:p>
    <w:p w:rsidR="00132D73" w14:paraId="598599FA"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1.基金托管人在中国证券登记结算有限责任公司为基金开立基金托管人与基金联名的证券账户。</w:t>
      </w:r>
    </w:p>
    <w:p w:rsidR="00132D73" w14:paraId="7570DF36"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2.基金证券账户的开立和使用，仅限于满足开展本基金业务的需要。基金托管人和基金管理人不得出借或未经对方同意擅自转让基金的任何证券账户，亦不得使用基金的任何账户进行本基金业务以外的活动。</w:t>
      </w:r>
    </w:p>
    <w:p w:rsidR="00132D73" w14:paraId="06302131"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3.基金证券账户的开立和证券账户卡的保管由基金托管人负责，账户资产的管理和运用由基金管理人负责。</w:t>
      </w:r>
    </w:p>
    <w:p w:rsidR="00132D73" w14:paraId="7F7610F7"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证券账户开户费由基金管理人先行垫付，待托管产品起始运营后，基金管理人可向基金托管人发送划款指令，将代垫开户费从本基金托管资金账户中扣还基金管理人。</w:t>
      </w:r>
    </w:p>
    <w:p w:rsidR="00132D73" w14:paraId="6F75CE76"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4.基金管理人为基金财产在证券经纪机构开立证券资金账户，用于基金财产证券交易结算资金的存管、记载交易结算资金的变动明细以及场内证券交易清算，并与基金托管人开立的基金托管资金账户建立第三方存管关系。本基金通过证券经纪机构进行的交易由证券经纪机构作为结算参与人代理本基金进行结算。</w:t>
      </w:r>
    </w:p>
    <w:p w:rsidR="00132D73" w14:paraId="157E7317"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交易所证券交易资金采用第三方存管模式，即用于证券交易结算资金全额存放在基金管理人为基金开立的证券资金账户中，场内的证券交易资金清算由基金管理人所选择的证券经纪机构负责，证券资金账户内的资金，只能通过证银转账方式将资金划转至基金托管资金账户，不得将资金划转至任何其他银行账户。第三方存管对应关系一经确定，不得更改，如果必须更改，应由基金管理人发起，经过基金托管人书面确认后，重新建立第三方存管对应关系。基金托管人和基金管理人不得出借或转让证券账户、证券资金账户，亦不得使用证券账户或证券资金账户进行本基金业务以外的活动。基金管理人承诺证券资金账户为主资金账户，不开立任何辅助资金账户；不为证券资金账户另行开立托管资金账户以外的其他银行账户。基金托管人不负责办理场内的证券交易资金清算，也不负责保管证券资金账户内存放的资金。</w:t>
      </w:r>
    </w:p>
    <w:p w:rsidR="00132D73" w14:paraId="2F11F453"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5.账户注销时，在遵守中国证券登记结算有限责任公司的相关规定下，由管理人和托管人协商确认主要办理人。账户注销期间，主要办理人如需另一方提供配合的，另一方应予以配合。</w:t>
      </w:r>
    </w:p>
    <w:p w:rsidR="00132D73" w14:paraId="5ED6EC1E"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6.若中国证监会或其他监管机构在本托管协议订立日之后允许基金从事其他投资品种的投资业务，涉及相关账户的开立、使用的，若无相关规定，</w:t>
      </w:r>
      <w:r>
        <w:rPr>
          <w:rFonts w:ascii="宋体" w:hAnsi="宋体" w:cs="宋体" w:hint="eastAsia"/>
          <w:sz w:val="24"/>
          <w:highlight w:val="white"/>
          <w:lang w:eastAsia="zh-CN"/>
        </w:rPr>
        <w:t>则基金</w:t>
      </w:r>
      <w:r>
        <w:rPr>
          <w:rFonts w:ascii="宋体" w:hAnsi="宋体" w:cs="宋体" w:hint="eastAsia"/>
          <w:sz w:val="24"/>
          <w:highlight w:val="white"/>
          <w:lang w:eastAsia="zh-CN"/>
        </w:rPr>
        <w:t>托管人比照上述关于账户开立、使用的规定执行。</w:t>
      </w:r>
    </w:p>
    <w:p w:rsidR="00132D73" w14:paraId="762D1E2D"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（五）银行间账户的开设和管理</w:t>
      </w:r>
    </w:p>
    <w:p w:rsidR="00132D73" w14:paraId="3BEB980A"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基金合同》生效后，基金管理人负责以基金的名义申请并取得进入全国银行间同业拆借市场的交易资格，并代表基金进行交易；基金托管人根据中国人民银行、银行间市场登记结算机构的有关规定，在银行间市场登记结算机构开立债券托管账户和资金结算专户，并代表基金进行银行间市场债券的结算。基金管理人代表基金签订全国银行间债券市场债券回购主协议。</w:t>
      </w:r>
    </w:p>
    <w:p w:rsidR="00132D73" w14:paraId="58347C7E"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（六）其他账户的开立和管理</w:t>
      </w:r>
    </w:p>
    <w:p w:rsidR="00132D73" w14:paraId="7098C4D6"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1.在本托管协议订立日之后，本基金被允许从事符合法律法规规定和《基金合同》约定的其他投资品种的投资业务时，如果涉及相关账户的开设和使用，由基金管理人协助基金托管人根据有关法律法规的规定和《基金合同》的约定，开立有关账户。该账户按有关规则使用并管理。</w:t>
      </w:r>
    </w:p>
    <w:p w:rsidR="00132D73" w14:paraId="2FC4487E"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2.法律法规等有关规定对相关账户的开立和管理另有规定的，从其规定办理。</w:t>
      </w:r>
    </w:p>
    <w:p w:rsidR="00132D73" w14:paraId="181DE244"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（七）基金财产投资的有关有价凭证等的保管</w:t>
      </w:r>
    </w:p>
    <w:p w:rsidR="00132D73" w14:paraId="4D7E1209" w14:textId="77777777">
      <w:pPr>
        <w:snapToGrid w:val="0"/>
        <w:ind w:firstLine="480"/>
        <w:rPr>
          <w:rFonts w:ascii="宋体" w:hAnsi="宋体" w:cs="宋体" w:hint="eastAsia"/>
          <w:lang w:eastAsia="zh-CN"/>
        </w:rPr>
      </w:pPr>
      <w:r>
        <w:rPr>
          <w:rFonts w:ascii="宋体" w:hAnsi="宋体" w:cs="宋体" w:hint="eastAsia"/>
          <w:sz w:val="24"/>
          <w:highlight w:val="white"/>
          <w:lang w:eastAsia="zh-CN"/>
        </w:rPr>
        <w:t>基金财产投资的有关实物证券、银行存款开户证实书等有价凭证由基金托管人存放于基金托管人的保管库，也可存入法律法规有关规定允许的</w:t>
      </w:r>
      <w:r>
        <w:rPr>
          <w:rFonts w:ascii="宋体" w:hAnsi="宋体" w:cs="宋体" w:hint="eastAsia"/>
          <w:sz w:val="24"/>
          <w:highlight w:val="white"/>
          <w:lang w:eastAsia="zh-CN"/>
        </w:rPr>
        <w:t>各类代保管</w:t>
      </w:r>
      <w:r>
        <w:rPr>
          <w:rFonts w:ascii="宋体" w:hAnsi="宋体" w:cs="宋体" w:hint="eastAsia"/>
          <w:sz w:val="24"/>
          <w:highlight w:val="white"/>
          <w:lang w:eastAsia="zh-CN"/>
        </w:rPr>
        <w:t>库，保管凭证由基金托管人持有。实物证券、银行定期存款证实书等有价凭证的购买和转让，按基金管理人和基金托管人双方约定办理。基金托管人对由基金托管人以外机构实际有效控制或保管的资产不承担任何责任。</w:t>
      </w:r>
    </w:p>
    <w:p w:rsidR="00132D73" w14:paraId="7886BA1C"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（八）与基金财产有关的重大合同的保管</w:t>
      </w:r>
    </w:p>
    <w:p w:rsidR="00132D73" w14:paraId="639EB204" w14:textId="77777777">
      <w:pPr>
        <w:snapToGrid w:val="0"/>
        <w:ind w:firstLine="480"/>
        <w:rPr>
          <w:rFonts w:ascii="宋体" w:hAnsi="宋体" w:cs="宋体" w:hint="eastAsia"/>
          <w:sz w:val="30"/>
          <w:szCs w:val="30"/>
          <w:lang w:eastAsia="zh-CN"/>
        </w:rPr>
      </w:pPr>
      <w:r>
        <w:rPr>
          <w:rFonts w:ascii="宋体" w:hAnsi="宋体" w:cs="宋体" w:hint="eastAsia"/>
          <w:sz w:val="24"/>
          <w:highlight w:val="white"/>
          <w:lang w:eastAsia="zh-CN"/>
        </w:rPr>
        <w:t>由基金管理人代表基金签署的、与基金有关的重大合同的原件分别由基金管理人、基金托管人保管。除本协议另有规定外，基金管理人在代表基金签署与基金有关的重大合同时应保证基金一方持有两份以上的正本，以保证基金管理人和基金托管人至少各持有一份正本的原件。基金管理人应在重大合同签署后及时将重大合同传真给基金托管人，并在三十个工作日内将正本送达基金托管人处。重大合同的保管期限按照法律法规的规定执行</w:t>
      </w:r>
      <w:r>
        <w:rPr>
          <w:rFonts w:ascii="宋体" w:hAnsi="宋体" w:cs="宋体"/>
          <w:sz w:val="24"/>
          <w:highlight w:val="white"/>
          <w:lang w:eastAsia="zh-CN"/>
        </w:rPr>
        <w:t>。</w:t>
      </w:r>
    </w:p>
    <w:p w:rsidR="00132D73" w14:paraId="5A202861" w14:textId="77777777">
      <w:pPr>
        <w:rPr>
          <w:rFonts w:ascii="宋体" w:hAnsi="宋体" w:cs="宋体" w:hint="eastAsia"/>
          <w:sz w:val="24"/>
          <w:lang w:eastAsia="zh-CN"/>
        </w:rPr>
      </w:pPr>
    </w:p>
    <w:p w:rsidR="00132D73" w14:paraId="1EBA04C8" w14:textId="77777777">
      <w:pPr>
        <w:pStyle w:val="21"/>
        <w:jc w:val="center"/>
        <w:rPr>
          <w:rFonts w:ascii="宋体" w:eastAsia="宋体" w:hAnsi="宋体" w:cs="宋体" w:hint="eastAsia"/>
          <w:sz w:val="30"/>
          <w:lang w:eastAsia="zh-CN"/>
        </w:rPr>
      </w:pPr>
      <w:bookmarkStart w:id="43" w:name="_Toc68875908"/>
      <w:bookmarkStart w:id="44" w:name="_Toc84133787"/>
      <w:bookmarkStart w:id="45" w:name="_Toc86223244"/>
      <w:bookmarkStart w:id="46" w:name="_Toc86204790"/>
      <w:bookmarkStart w:id="47" w:name="_Toc118212952"/>
      <w:bookmarkStart w:id="48" w:name="_Toc89163370"/>
      <w:bookmarkStart w:id="49" w:name="_Toc108512360"/>
      <w:bookmarkStart w:id="50" w:name="_Toc120435785"/>
      <w:bookmarkStart w:id="51" w:name="_Toc86225293"/>
      <w:bookmarkStart w:id="52" w:name="_Toc119402712"/>
      <w:bookmarkStart w:id="53" w:name="_Toc118774805"/>
      <w:bookmarkStart w:id="54" w:name="_Toc84234436"/>
      <w:bookmarkStart w:id="55" w:name="_Toc110765662"/>
      <w:bookmarkStart w:id="56" w:name="_Toc86727357"/>
      <w:bookmarkStart w:id="57" w:name="_Toc86649724"/>
      <w:bookmarkStart w:id="58" w:name="_Toc84234389"/>
      <w:bookmarkStart w:id="59" w:name="_Toc110761798"/>
      <w:bookmarkStart w:id="60" w:name="_Toc86737931"/>
      <w:bookmarkStart w:id="61" w:name="_Toc110830494"/>
      <w:bookmarkStart w:id="62" w:name="_Toc86726441"/>
      <w:bookmarkStart w:id="63" w:name="_Toc118972650"/>
      <w:r>
        <w:rPr>
          <w:rFonts w:ascii="宋体" w:eastAsia="宋体" w:hAnsi="宋体" w:cs="宋体" w:hint="eastAsia"/>
          <w:sz w:val="30"/>
          <w:highlight w:val="white"/>
          <w:lang w:eastAsia="zh-CN"/>
        </w:rPr>
        <w:t>六、指令的发送、确认及执行</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rsidR="00132D73" w14:paraId="61562394" w14:textId="77777777">
      <w:pPr>
        <w:ind w:firstLine="480"/>
        <w:rPr>
          <w:lang w:eastAsia="zh-CN"/>
        </w:rPr>
      </w:pPr>
      <w:r>
        <w:rPr>
          <w:rFonts w:ascii="宋体" w:hAnsi="宋体" w:cs="宋体"/>
          <w:color w:val="000000"/>
          <w:sz w:val="24"/>
          <w:highlight w:val="white"/>
          <w:lang w:eastAsia="zh-CN"/>
        </w:rPr>
        <w:t>基金管理人在运用基金财产时向基金托管人发送资金划拨及其他款项付款指令，基金托管人执行基金管理人的指令、办理基金名下的资金往来等有关事项。</w:t>
      </w:r>
    </w:p>
    <w:p w:rsidR="00132D73" w14:paraId="409FC413" w14:textId="77777777">
      <w:pPr>
        <w:ind w:firstLine="480"/>
        <w:rPr>
          <w:lang w:eastAsia="zh-CN"/>
        </w:rPr>
      </w:pPr>
      <w:r>
        <w:rPr>
          <w:rFonts w:ascii="宋体" w:hAnsi="宋体" w:cs="宋体"/>
          <w:color w:val="000000"/>
          <w:sz w:val="24"/>
          <w:highlight w:val="white"/>
          <w:lang w:eastAsia="zh-CN"/>
        </w:rPr>
        <w:t>（一）基金管理人对发送指令人员的书面授权</w:t>
      </w:r>
    </w:p>
    <w:p w:rsidR="00132D73" w14:paraId="4C31E88A" w14:textId="77777777">
      <w:pPr>
        <w:ind w:firstLine="480"/>
        <w:rPr>
          <w:lang w:eastAsia="zh-CN"/>
        </w:rPr>
      </w:pPr>
      <w:r>
        <w:rPr>
          <w:rFonts w:ascii="宋体" w:hAnsi="宋体" w:cs="宋体"/>
          <w:color w:val="000000"/>
          <w:sz w:val="24"/>
          <w:highlight w:val="white"/>
          <w:lang w:eastAsia="zh-CN"/>
        </w:rPr>
        <w:t>本协议签署生效后，基金管理人应向基金托管人提供授权代表签字与印鉴样本通知书（以下简称“授权文件”），内容包括被授权人名单、预留印鉴及被授权人签字样本，授权文件应注明被授权人相应的权限，授权文件应加盖单位公章。</w:t>
      </w:r>
    </w:p>
    <w:p w:rsidR="00132D73" w14:paraId="31B2D598" w14:textId="77777777">
      <w:pPr>
        <w:ind w:firstLine="480"/>
        <w:rPr>
          <w:lang w:eastAsia="zh-CN"/>
        </w:rPr>
      </w:pPr>
      <w:r>
        <w:rPr>
          <w:rFonts w:ascii="宋体" w:hAnsi="宋体" w:cs="宋体"/>
          <w:color w:val="000000"/>
          <w:sz w:val="24"/>
          <w:highlight w:val="white"/>
          <w:lang w:eastAsia="zh-CN"/>
        </w:rPr>
        <w:t>基金管理人应将“授权文件”原件在生效前寄送基金托管人，基金托管人在收到授权文件原件并经基金管理人确认后，授权文件即生效。如果授权文件中载明具体生效时间的，该生效时间不得早于基金托管人收到授权文件并经确认的时点。如早于，则以基金托管人收到授权文件并经确认的时点为授权文件的生效时间。</w:t>
      </w:r>
    </w:p>
    <w:p w:rsidR="00132D73" w14:paraId="34B8EB6E" w14:textId="77777777">
      <w:pPr>
        <w:ind w:firstLine="480"/>
        <w:rPr>
          <w:lang w:eastAsia="zh-CN"/>
        </w:rPr>
      </w:pPr>
      <w:r>
        <w:rPr>
          <w:rFonts w:ascii="宋体" w:hAnsi="宋体" w:cs="宋体"/>
          <w:color w:val="000000"/>
          <w:sz w:val="24"/>
          <w:highlight w:val="white"/>
          <w:lang w:eastAsia="zh-CN"/>
        </w:rPr>
        <w:t>特殊情况下，经基金托管人同意，基金管理人可至少提前一个工作日将授权文件以邮件发送扫描件的方式先行通知基金托管人并确认生效。授权文件原件应在邮件发送后7个工作日内送达基金托管人。授权文件生效之后，原件送达之前，基金托管人按照新授权文件扫描</w:t>
      </w:r>
      <w:r>
        <w:rPr>
          <w:rFonts w:ascii="宋体" w:hAnsi="宋体" w:cs="宋体"/>
          <w:color w:val="000000"/>
          <w:sz w:val="24"/>
          <w:highlight w:val="white"/>
          <w:lang w:eastAsia="zh-CN"/>
        </w:rPr>
        <w:t>件内容</w:t>
      </w:r>
      <w:r>
        <w:rPr>
          <w:rFonts w:ascii="宋体" w:hAnsi="宋体" w:cs="宋体"/>
          <w:color w:val="000000"/>
          <w:sz w:val="24"/>
          <w:highlight w:val="white"/>
          <w:lang w:eastAsia="zh-CN"/>
        </w:rPr>
        <w:t>执行有关业务，如果授权文件原件与基金托管人收到的扫描件不同，由此产生的责任由基金管理人承担。</w:t>
      </w:r>
    </w:p>
    <w:p w:rsidR="00132D73" w14:paraId="352CB22E" w14:textId="77777777">
      <w:pPr>
        <w:ind w:firstLine="480"/>
        <w:rPr>
          <w:lang w:eastAsia="zh-CN"/>
        </w:rPr>
      </w:pPr>
      <w:r>
        <w:rPr>
          <w:rFonts w:ascii="宋体" w:hAnsi="宋体" w:cs="宋体"/>
          <w:color w:val="000000"/>
          <w:sz w:val="24"/>
          <w:highlight w:val="white"/>
          <w:lang w:eastAsia="zh-CN"/>
        </w:rPr>
        <w:t>基金管理人更换被授权人、更改或终止对被授权人的授权、变更预留印鉴应按上述要求提供新的授权文件。在授权变更生效前，基金托管人仍应按原授权文件执行指令，基金管理人不得否认其效力。</w:t>
      </w:r>
    </w:p>
    <w:p w:rsidR="00132D73" w14:paraId="0EBC52AD" w14:textId="77777777">
      <w:pPr>
        <w:ind w:firstLine="480"/>
        <w:rPr>
          <w:lang w:eastAsia="zh-CN"/>
        </w:rPr>
      </w:pPr>
      <w:r>
        <w:rPr>
          <w:rFonts w:ascii="宋体" w:hAnsi="宋体" w:cs="宋体"/>
          <w:color w:val="000000"/>
          <w:sz w:val="24"/>
          <w:highlight w:val="white"/>
          <w:lang w:eastAsia="zh-CN"/>
        </w:rPr>
        <w:t>基金托管人更换接受基金管理人指令的传真号或邮箱地址，应提前通知基金管理人。基金管理人和基金托管人对授权文件负有保密义务，其内容不得向被授权人及相关操作人员以外的任何人泄露。但法律法规规定或有权机关要求的除外。</w:t>
      </w:r>
    </w:p>
    <w:p w:rsidR="00132D73" w14:paraId="69BC60A8" w14:textId="77777777">
      <w:pPr>
        <w:ind w:firstLine="480"/>
        <w:rPr>
          <w:lang w:eastAsia="zh-CN"/>
        </w:rPr>
      </w:pPr>
      <w:r>
        <w:rPr>
          <w:rFonts w:ascii="宋体" w:hAnsi="宋体" w:cs="宋体"/>
          <w:color w:val="000000"/>
          <w:sz w:val="24"/>
          <w:highlight w:val="white"/>
          <w:lang w:eastAsia="zh-CN"/>
        </w:rPr>
        <w:t>（二）指令的内容</w:t>
      </w:r>
    </w:p>
    <w:p w:rsidR="00132D73" w14:paraId="7AD4F481" w14:textId="77777777">
      <w:pPr>
        <w:ind w:firstLine="480"/>
        <w:rPr>
          <w:lang w:eastAsia="zh-CN"/>
        </w:rPr>
      </w:pPr>
      <w:r>
        <w:rPr>
          <w:rFonts w:ascii="宋体" w:hAnsi="宋体" w:cs="宋体"/>
          <w:color w:val="000000"/>
          <w:sz w:val="24"/>
          <w:highlight w:val="white"/>
          <w:lang w:eastAsia="zh-CN"/>
        </w:rPr>
        <w:t>1.指令包括付款指令以及其他资金划拨指令等。</w:t>
      </w:r>
    </w:p>
    <w:p w:rsidR="00132D73" w14:paraId="56B4F325" w14:textId="77777777">
      <w:pPr>
        <w:ind w:firstLine="480"/>
        <w:rPr>
          <w:lang w:eastAsia="zh-CN"/>
        </w:rPr>
      </w:pPr>
      <w:r>
        <w:rPr>
          <w:rFonts w:ascii="宋体" w:hAnsi="宋体" w:cs="宋体" w:hint="eastAsia"/>
          <w:color w:val="000000"/>
          <w:sz w:val="24"/>
          <w:highlight w:val="white"/>
          <w:lang w:eastAsia="zh-CN"/>
        </w:rPr>
        <w:t>2.基金管理人发给基金托管人的指令应写明款项事由、支付时间、到账时间、金额、收付款账户等，加盖预留印鉴并由被授权人签字。</w:t>
      </w:r>
    </w:p>
    <w:p w:rsidR="00132D73" w14:paraId="76E0BD10" w14:textId="77777777">
      <w:pPr>
        <w:ind w:firstLine="480"/>
        <w:rPr>
          <w:lang w:eastAsia="zh-CN"/>
        </w:rPr>
      </w:pPr>
      <w:r>
        <w:rPr>
          <w:rFonts w:ascii="宋体" w:hAnsi="宋体" w:cs="宋体"/>
          <w:color w:val="000000"/>
          <w:sz w:val="24"/>
          <w:highlight w:val="white"/>
          <w:lang w:eastAsia="zh-CN"/>
        </w:rPr>
        <w:t>（三）指令的发送、确认及执行的时间和程序</w:t>
      </w:r>
    </w:p>
    <w:p w:rsidR="00132D73" w14:paraId="26C1FADC" w14:textId="77777777">
      <w:pPr>
        <w:ind w:firstLine="480"/>
        <w:rPr>
          <w:lang w:eastAsia="zh-CN"/>
        </w:rPr>
      </w:pPr>
      <w:r>
        <w:rPr>
          <w:rFonts w:ascii="宋体" w:hAnsi="宋体" w:cs="宋体"/>
          <w:color w:val="000000"/>
          <w:sz w:val="24"/>
          <w:highlight w:val="white"/>
          <w:lang w:eastAsia="zh-CN"/>
        </w:rPr>
        <w:t>1.指令的发送</w:t>
      </w:r>
    </w:p>
    <w:p w:rsidR="00132D73" w14:paraId="7AC1A10F" w14:textId="77777777">
      <w:pPr>
        <w:ind w:firstLine="480"/>
        <w:rPr>
          <w:lang w:eastAsia="zh-CN"/>
        </w:rPr>
      </w:pPr>
      <w:r>
        <w:rPr>
          <w:rFonts w:ascii="宋体" w:hAnsi="宋体" w:cs="宋体" w:hint="eastAsia"/>
          <w:color w:val="000000"/>
          <w:sz w:val="24"/>
          <w:highlight w:val="white"/>
          <w:lang w:eastAsia="zh-CN"/>
        </w:rPr>
        <w:t>基金管理人发送指令应采用电子直连方式、传真方式或双方协商一致的其他方式。</w:t>
      </w:r>
    </w:p>
    <w:p w:rsidR="00132D73" w14:paraId="714CC62A" w14:textId="77777777">
      <w:pPr>
        <w:ind w:firstLine="480"/>
        <w:rPr>
          <w:rFonts w:ascii="宋体" w:hAnsi="宋体" w:cs="宋体" w:hint="eastAsia"/>
          <w:color w:val="000000"/>
          <w:sz w:val="24"/>
          <w:lang w:eastAsia="zh-CN"/>
        </w:rPr>
      </w:pPr>
      <w:r>
        <w:rPr>
          <w:rFonts w:ascii="宋体" w:hAnsi="宋体" w:cs="宋体"/>
          <w:color w:val="000000"/>
          <w:sz w:val="24"/>
          <w:highlight w:val="white"/>
          <w:lang w:eastAsia="zh-CN"/>
        </w:rPr>
        <w:t>基金管理人应按照法律法规和《基金合同》的规定，在其合法的经营权限和交易权限内发送指令；被授权人应严格按照其授权权限发送指令。对于被授权人依约定程序发出的指令，基金管理人不得否认其效力。但如果基金管理人已经撤销或更改对被授权人的授权，并且基金托管人根据本协议确认后，则对于此后该被授权人无权发送的指令，或超权限发送的指令，基金管理人不承担责任，授权已更改但未经基金托管人确认的情况除外。</w:t>
      </w:r>
    </w:p>
    <w:p w:rsidR="00132D73" w14:paraId="295B3411" w14:textId="77777777">
      <w:pPr>
        <w:ind w:firstLine="480"/>
        <w:rPr>
          <w:rFonts w:ascii="宋体" w:hAnsi="宋体" w:cs="宋体" w:hint="eastAsia"/>
          <w:color w:val="000000"/>
          <w:sz w:val="24"/>
          <w:lang w:eastAsia="zh-CN"/>
        </w:rPr>
      </w:pPr>
      <w:r>
        <w:rPr>
          <w:rFonts w:ascii="宋体" w:hAnsi="宋体" w:cs="宋体" w:hint="eastAsia"/>
          <w:color w:val="000000"/>
          <w:sz w:val="24"/>
          <w:highlight w:val="white"/>
          <w:lang w:eastAsia="zh-CN"/>
        </w:rPr>
        <w:t>指令发出后，基金管理人应及时通过电话或者其他双方认可的方式向基金托管人确认。</w:t>
      </w:r>
    </w:p>
    <w:p w:rsidR="00132D73" w14:paraId="2AE93EED" w14:textId="77777777">
      <w:pPr>
        <w:ind w:firstLine="480"/>
        <w:rPr>
          <w:lang w:eastAsia="zh-CN"/>
        </w:rPr>
      </w:pPr>
      <w:r>
        <w:rPr>
          <w:rFonts w:ascii="宋体" w:hAnsi="宋体" w:cs="宋体"/>
          <w:color w:val="000000"/>
          <w:sz w:val="24"/>
          <w:highlight w:val="white"/>
          <w:lang w:eastAsia="zh-CN"/>
        </w:rPr>
        <w:t>基金管理人应在银行间交易成交后，及时将通知单、相关文件及划款指令加盖印章后发至基金托管人并电话确认，由基金托管人完成后台交易匹配及资金交收事宜。如果银行间结算系统已经生成的交易需要取消或终止，基金管理人要书面通知基金托管人。</w:t>
      </w:r>
    </w:p>
    <w:p w:rsidR="00132D73" w14:paraId="511FE044" w14:textId="77777777">
      <w:pPr>
        <w:ind w:firstLine="480"/>
        <w:rPr>
          <w:lang w:eastAsia="zh-CN"/>
        </w:rPr>
      </w:pPr>
      <w:r>
        <w:rPr>
          <w:rFonts w:ascii="宋体" w:hAnsi="宋体" w:cs="宋体"/>
          <w:color w:val="000000"/>
          <w:sz w:val="24"/>
          <w:highlight w:val="white"/>
          <w:lang w:eastAsia="zh-CN"/>
        </w:rPr>
        <w:t>2.指令的确认</w:t>
      </w:r>
    </w:p>
    <w:p w:rsidR="00132D73" w14:paraId="4EEB6632" w14:textId="77777777">
      <w:pPr>
        <w:ind w:firstLine="480"/>
        <w:rPr>
          <w:lang w:eastAsia="zh-CN"/>
        </w:rPr>
      </w:pPr>
      <w:r>
        <w:rPr>
          <w:rFonts w:ascii="宋体" w:hAnsi="宋体" w:cs="宋体"/>
          <w:color w:val="000000"/>
          <w:sz w:val="24"/>
          <w:highlight w:val="white"/>
          <w:lang w:eastAsia="zh-CN"/>
        </w:rPr>
        <w:t>基金托管人应指定专人接收基金管理人的指令，预先通知基金管理人其名单，并与基金管理人商定指令发送和接收方式。指令到达基金托管人后，基金托管人应指定专人立即审慎验证指令的要素是否齐全，并将指令所载签字和印鉴与授权文件进行表面真实性及权限范围核对，复核无误后应在规定期限内执行，不得延误，如有疑问必须及时通知基金管理人。</w:t>
      </w:r>
    </w:p>
    <w:p w:rsidR="00132D73" w14:paraId="37BC6FAB" w14:textId="77777777">
      <w:pPr>
        <w:ind w:firstLine="480"/>
        <w:rPr>
          <w:lang w:eastAsia="zh-CN"/>
        </w:rPr>
      </w:pPr>
      <w:r>
        <w:rPr>
          <w:rFonts w:ascii="宋体" w:hAnsi="宋体" w:cs="宋体"/>
          <w:color w:val="000000"/>
          <w:sz w:val="24"/>
          <w:highlight w:val="white"/>
          <w:lang w:eastAsia="zh-CN"/>
        </w:rPr>
        <w:t>3.指令的时间和执行</w:t>
      </w:r>
    </w:p>
    <w:p w:rsidR="00132D73" w14:paraId="5314D55A" w14:textId="77777777">
      <w:pPr>
        <w:ind w:firstLine="480"/>
        <w:rPr>
          <w:lang w:eastAsia="zh-CN"/>
        </w:rPr>
      </w:pPr>
      <w:r>
        <w:rPr>
          <w:rFonts w:ascii="宋体" w:hAnsi="宋体" w:cs="宋体" w:hint="eastAsia"/>
          <w:color w:val="000000"/>
          <w:sz w:val="24"/>
          <w:highlight w:val="white"/>
          <w:lang w:eastAsia="zh-CN"/>
        </w:rPr>
        <w:t>基金管理人尽量于划款前1个工作日向基金托管人发送指令并确认。对于要求当天到账的指令，必须在当天15:30前向基金托管人发送，15:30之后发送的，基金托管人尽力执行，但不能保证划账成功。如果要求当天某一时点到账的指令，则指令需要提前2个工作小时发送，并保证相关付款条件已经具备。基金托管人将视付款条件具备时为指令送达时间。对新股申购网下发行业务，基金管理人应在网下申购缴款日(T日)的前一工作日下班前将指令发送给基金托管人，指令发送时间最迟不应晚于T日上午10:00。基金管理人应确保基金托管人在执行指令时，基金托管资金账户有足够的资金余额，在基金资金头寸充足的情况下，基金托管人对基金管理人符合法律法规、《基金合同》、本协议的指令不得拖延或拒绝执行。</w:t>
      </w:r>
    </w:p>
    <w:p w:rsidR="00132D73" w14:paraId="6149BC8E" w14:textId="77777777">
      <w:pPr>
        <w:ind w:firstLine="480"/>
        <w:rPr>
          <w:rFonts w:ascii="宋体" w:hAnsi="宋体" w:cs="宋体" w:hint="eastAsia"/>
          <w:color w:val="000000"/>
          <w:sz w:val="24"/>
          <w:lang w:eastAsia="zh-CN"/>
        </w:rPr>
      </w:pPr>
      <w:r>
        <w:rPr>
          <w:rFonts w:ascii="宋体" w:hAnsi="宋体" w:cs="宋体" w:hint="eastAsia"/>
          <w:color w:val="000000"/>
          <w:sz w:val="24"/>
          <w:highlight w:val="white"/>
          <w:lang w:eastAsia="zh-CN"/>
        </w:rPr>
        <w:t>（四）基金管理人发送错误指令的情形和处理程序</w:t>
      </w:r>
    </w:p>
    <w:p w:rsidR="00132D73" w14:paraId="64D36BC6" w14:textId="77777777">
      <w:pPr>
        <w:ind w:firstLine="480"/>
        <w:rPr>
          <w:rFonts w:ascii="宋体" w:hAnsi="宋体" w:cs="宋体" w:hint="eastAsia"/>
          <w:color w:val="000000"/>
          <w:sz w:val="24"/>
          <w:lang w:eastAsia="zh-CN"/>
        </w:rPr>
      </w:pPr>
      <w:r>
        <w:rPr>
          <w:rFonts w:ascii="宋体" w:hAnsi="宋体" w:cs="宋体" w:hint="eastAsia"/>
          <w:color w:val="000000"/>
          <w:sz w:val="24"/>
          <w:highlight w:val="white"/>
          <w:lang w:eastAsia="zh-CN"/>
        </w:rPr>
        <w:t>基金管理人发送错误指令的情形包括指令违反法律法规、监管规定、《基金合同》或本协议的约定，或指令发送人员无权或超越权限发送指令。</w:t>
      </w:r>
    </w:p>
    <w:p w:rsidR="00132D73" w14:paraId="1DDA831E" w14:textId="77777777">
      <w:pPr>
        <w:ind w:firstLine="480"/>
        <w:rPr>
          <w:rFonts w:ascii="宋体" w:hAnsi="宋体" w:cs="宋体" w:hint="eastAsia"/>
          <w:color w:val="000000"/>
          <w:sz w:val="24"/>
          <w:lang w:eastAsia="zh-CN"/>
        </w:rPr>
      </w:pPr>
      <w:r>
        <w:rPr>
          <w:rFonts w:ascii="宋体" w:hAnsi="宋体" w:cs="宋体" w:hint="eastAsia"/>
          <w:color w:val="000000"/>
          <w:sz w:val="24"/>
          <w:highlight w:val="white"/>
          <w:lang w:eastAsia="zh-CN"/>
        </w:rPr>
        <w:t>基金托管人发现基金管理人的指令错误时，有权拒绝执行，并及时通知基金管理人改正。如需托管人撤销尚未执行的指令，基金管理人应出具作废指令或作废说明，并电话通知托管人。</w:t>
      </w:r>
    </w:p>
    <w:p w:rsidR="00132D73" w14:paraId="62E4D6DC" w14:textId="77777777">
      <w:pPr>
        <w:ind w:firstLine="480"/>
        <w:rPr>
          <w:rFonts w:ascii="宋体" w:hAnsi="宋体" w:cs="宋体" w:hint="eastAsia"/>
          <w:color w:val="000000"/>
          <w:sz w:val="24"/>
          <w:lang w:eastAsia="zh-CN"/>
        </w:rPr>
      </w:pPr>
      <w:r>
        <w:rPr>
          <w:rFonts w:ascii="宋体" w:hAnsi="宋体" w:cs="宋体" w:hint="eastAsia"/>
          <w:color w:val="000000"/>
          <w:sz w:val="24"/>
          <w:highlight w:val="white"/>
          <w:lang w:eastAsia="zh-CN"/>
        </w:rPr>
        <w:t>（五）基金托管人未按照基金管理人指令执行的处理方法</w:t>
      </w:r>
    </w:p>
    <w:p w:rsidR="00132D73" w14:paraId="0013A246" w14:textId="77777777">
      <w:pPr>
        <w:ind w:firstLine="480"/>
        <w:rPr>
          <w:rFonts w:ascii="宋体" w:hAnsi="宋体" w:cs="宋体" w:hint="eastAsia"/>
          <w:color w:val="000000"/>
          <w:sz w:val="24"/>
          <w:lang w:eastAsia="zh-CN"/>
        </w:rPr>
      </w:pPr>
      <w:r>
        <w:rPr>
          <w:rFonts w:ascii="宋体" w:hAnsi="宋体" w:cs="宋体" w:hint="eastAsia"/>
          <w:color w:val="000000"/>
          <w:sz w:val="24"/>
          <w:highlight w:val="white"/>
          <w:lang w:eastAsia="zh-CN"/>
        </w:rPr>
        <w:t>基金托管人由于自身过错，未按照基金管理人发送的符合法律法规、监管规定、《基金合同》和本协议约定的指令执行并对基金财产或投资人造成的直接损失，由基金托管人赔偿由此造成的直接损失。</w:t>
      </w:r>
    </w:p>
    <w:p w:rsidR="00132D73" w14:paraId="0C44FD92" w14:textId="77777777">
      <w:pPr>
        <w:ind w:firstLine="480"/>
        <w:rPr>
          <w:rFonts w:ascii="宋体" w:hAnsi="宋体" w:cs="宋体" w:hint="eastAsia"/>
          <w:color w:val="000000"/>
          <w:sz w:val="24"/>
          <w:lang w:eastAsia="zh-CN"/>
        </w:rPr>
      </w:pPr>
      <w:r>
        <w:rPr>
          <w:rFonts w:ascii="宋体" w:hAnsi="宋体" w:cs="宋体" w:hint="eastAsia"/>
          <w:color w:val="000000"/>
          <w:sz w:val="24"/>
          <w:highlight w:val="white"/>
          <w:lang w:eastAsia="zh-CN"/>
        </w:rPr>
        <w:t>（六）其他事项</w:t>
      </w:r>
    </w:p>
    <w:p w:rsidR="00132D73" w14:paraId="4DC08EF9" w14:textId="77777777">
      <w:pPr>
        <w:ind w:firstLine="480"/>
        <w:rPr>
          <w:rFonts w:ascii="宋体" w:hAnsi="宋体" w:cs="宋体" w:hint="eastAsia"/>
          <w:color w:val="000000"/>
          <w:sz w:val="24"/>
          <w:lang w:eastAsia="zh-CN"/>
        </w:rPr>
      </w:pPr>
      <w:r>
        <w:rPr>
          <w:rFonts w:ascii="宋体" w:hAnsi="宋体" w:cs="宋体" w:hint="eastAsia"/>
          <w:color w:val="000000"/>
          <w:sz w:val="24"/>
          <w:highlight w:val="white"/>
          <w:lang w:eastAsia="zh-CN"/>
        </w:rPr>
        <w:t>基金托管人在接收指令时，应对指令的要素是否齐全、印鉴与被授权人是否与预留的授权文件内容表面相符进行检查，如发现问题，应及时报告基金管理人，基金托管人对执行基金管理人的有效指令对基金财产造成的损失不承担赔偿责任。</w:t>
      </w:r>
    </w:p>
    <w:p w:rsidR="00132D73" w14:paraId="6F39D225" w14:textId="77777777">
      <w:pPr>
        <w:ind w:firstLine="480"/>
        <w:rPr>
          <w:lang w:eastAsia="zh-CN"/>
        </w:rPr>
      </w:pPr>
      <w:r>
        <w:rPr>
          <w:rFonts w:ascii="宋体" w:hAnsi="宋体" w:cs="宋体"/>
          <w:color w:val="000000"/>
          <w:sz w:val="24"/>
          <w:highlight w:val="white"/>
          <w:lang w:eastAsia="zh-CN"/>
        </w:rPr>
        <w:t>基金参与认购未上市债券时，基金管理人应代表本基金与对手方签署相关合同或协议，明确约定债券过户具体事宜。否则，基金管理人需对所认购债券的过户事宜承担相应责任。</w:t>
      </w:r>
    </w:p>
    <w:p w:rsidR="00132D73" w14:paraId="183FCE74" w14:textId="77777777">
      <w:pPr>
        <w:snapToGrid w:val="0"/>
        <w:ind w:firstLine="480"/>
        <w:rPr>
          <w:rFonts w:ascii="宋体" w:hAnsi="宋体" w:cs="宋体" w:hint="eastAsia"/>
          <w:sz w:val="24"/>
          <w:lang w:eastAsia="zh-CN"/>
        </w:rPr>
      </w:pPr>
    </w:p>
    <w:p w:rsidR="00132D73" w14:paraId="62DFF91A" w14:textId="77777777">
      <w:pPr>
        <w:snapToGrid w:val="0"/>
        <w:rPr>
          <w:rFonts w:ascii="宋体" w:hAnsi="宋体" w:cs="宋体" w:hint="eastAsia"/>
          <w:sz w:val="24"/>
          <w:lang w:eastAsia="zh-CN"/>
        </w:rPr>
      </w:pPr>
    </w:p>
    <w:p w:rsidR="00132D73" w14:paraId="456446CB" w14:textId="77777777">
      <w:pPr>
        <w:pStyle w:val="21"/>
        <w:jc w:val="center"/>
        <w:rPr>
          <w:rFonts w:ascii="宋体" w:eastAsia="宋体" w:hAnsi="宋体" w:cs="宋体" w:hint="eastAsia"/>
          <w:sz w:val="30"/>
        </w:rPr>
      </w:pPr>
      <w:bookmarkStart w:id="64" w:name="_Toc84234437"/>
      <w:bookmarkStart w:id="65" w:name="_Toc84234390"/>
      <w:bookmarkStart w:id="66" w:name="_Toc108512361"/>
      <w:bookmarkStart w:id="67" w:name="_Toc86223245"/>
      <w:bookmarkStart w:id="68" w:name="_Toc110761799"/>
      <w:bookmarkStart w:id="69" w:name="_Toc110765663"/>
      <w:bookmarkStart w:id="70" w:name="_Toc86225294"/>
      <w:bookmarkStart w:id="71" w:name="_Toc86649725"/>
      <w:bookmarkStart w:id="72" w:name="_Toc89163371"/>
      <w:bookmarkStart w:id="73" w:name="_Toc118774806"/>
      <w:bookmarkStart w:id="74" w:name="_Toc118212953"/>
      <w:bookmarkStart w:id="75" w:name="_Toc118972651"/>
      <w:bookmarkStart w:id="76" w:name="_Toc119402713"/>
      <w:bookmarkStart w:id="77" w:name="_Toc120435786"/>
      <w:bookmarkStart w:id="78" w:name="_Toc110830495"/>
      <w:bookmarkStart w:id="79" w:name="_Toc84133788"/>
      <w:bookmarkStart w:id="80" w:name="_Toc86726442"/>
      <w:bookmarkStart w:id="81" w:name="_Toc86737932"/>
      <w:bookmarkStart w:id="82" w:name="_Toc68875909"/>
      <w:bookmarkStart w:id="83" w:name="_Toc86204791"/>
      <w:bookmarkStart w:id="84" w:name="_Toc86727358"/>
      <w:r>
        <w:rPr>
          <w:rFonts w:ascii="宋体" w:eastAsia="宋体" w:hAnsi="宋体" w:cs="宋体" w:hint="eastAsia"/>
          <w:sz w:val="30"/>
          <w:highlight w:val="white"/>
        </w:rPr>
        <w:t>七、交易及清算交收安排</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rsidR="00132D73" w14:paraId="32FCA640" w14:textId="77777777">
      <w:pPr>
        <w:ind w:firstLine="480"/>
        <w:rPr>
          <w:rFonts w:ascii="宋体" w:hAnsi="宋体" w:cs="宋体" w:hint="eastAsia"/>
          <w:color w:val="000000"/>
          <w:sz w:val="24"/>
          <w:lang w:eastAsia="zh-CN"/>
        </w:rPr>
      </w:pPr>
    </w:p>
    <w:p w:rsidR="00132D73" w14:paraId="2182AA30" w14:textId="77777777">
      <w:pPr>
        <w:ind w:firstLine="480"/>
        <w:rPr>
          <w:lang w:eastAsia="zh-CN"/>
        </w:rPr>
      </w:pPr>
      <w:r>
        <w:rPr>
          <w:rFonts w:ascii="宋体" w:hAnsi="宋体" w:cs="宋体"/>
          <w:color w:val="000000"/>
          <w:sz w:val="24"/>
          <w:highlight w:val="white"/>
          <w:lang w:eastAsia="zh-CN"/>
        </w:rPr>
        <w:t>（一）选择证券买卖的经纪经营机构</w:t>
      </w:r>
    </w:p>
    <w:p w:rsidR="00132D73" w14:paraId="2CC7AB1C" w14:textId="77777777">
      <w:pPr>
        <w:ind w:firstLine="480"/>
        <w:rPr>
          <w:rFonts w:ascii="宋体" w:hAnsi="宋体" w:cs="宋体" w:hint="eastAsia"/>
          <w:color w:val="000000"/>
          <w:sz w:val="24"/>
          <w:lang w:eastAsia="zh-CN"/>
        </w:rPr>
      </w:pPr>
      <w:r>
        <w:rPr>
          <w:rFonts w:ascii="宋体" w:hAnsi="宋体" w:cs="宋体"/>
          <w:color w:val="000000"/>
          <w:sz w:val="24"/>
          <w:highlight w:val="white"/>
          <w:lang w:eastAsia="zh-CN"/>
        </w:rPr>
        <w:t>基金管理人应设计选择证券买卖的证券经纪机构的标准和程序。基金管理人应代表基金与被选择的证券经纪机构签订证券经纪合同或其他约定的形式。基金管理人、基金托管人和证券经纪机构就本基金参与证券交易的具体事项另行签订证券经纪服务协议，明确三方在本基金参与场内证券买卖中的各类证券交易、证券交收及相关资金交</w:t>
      </w:r>
      <w:r>
        <w:rPr>
          <w:rFonts w:ascii="宋体" w:hAnsi="宋体" w:cs="宋体"/>
          <w:color w:val="000000"/>
          <w:sz w:val="24"/>
          <w:highlight w:val="white"/>
          <w:lang w:eastAsia="zh-CN"/>
        </w:rPr>
        <w:t>收过程</w:t>
      </w:r>
      <w:r>
        <w:rPr>
          <w:rFonts w:ascii="宋体" w:hAnsi="宋体" w:cs="宋体"/>
          <w:color w:val="000000"/>
          <w:sz w:val="24"/>
          <w:highlight w:val="white"/>
          <w:lang w:eastAsia="zh-CN"/>
        </w:rPr>
        <w:t>中的职责和义务。基金管理人应及时将基金佣金费率等基本信息以及变更情况以书面形式通知基金托管人</w:t>
      </w:r>
      <w:r>
        <w:rPr>
          <w:rFonts w:ascii="宋体" w:hAnsi="宋体" w:cs="宋体" w:hint="eastAsia"/>
          <w:color w:val="000000"/>
          <w:sz w:val="24"/>
          <w:highlight w:val="white"/>
          <w:lang w:eastAsia="zh-CN"/>
        </w:rPr>
        <w:t>，</w:t>
      </w:r>
      <w:r>
        <w:rPr>
          <w:rFonts w:ascii="宋体" w:hAnsi="宋体" w:cs="宋体"/>
          <w:color w:val="000000"/>
          <w:sz w:val="24"/>
          <w:highlight w:val="white"/>
          <w:lang w:eastAsia="zh-CN"/>
        </w:rPr>
        <w:t>并按法规要求披露关于选择证券公司的标准和程序等信息。</w:t>
      </w:r>
    </w:p>
    <w:p w:rsidR="00132D73" w14:paraId="02FC2971" w14:textId="77777777">
      <w:pPr>
        <w:ind w:firstLine="480"/>
        <w:rPr>
          <w:rFonts w:ascii="宋体" w:hAnsi="宋体" w:cs="宋体" w:hint="eastAsia"/>
          <w:color w:val="000000"/>
          <w:sz w:val="24"/>
          <w:lang w:eastAsia="zh-CN"/>
        </w:rPr>
      </w:pPr>
      <w:r>
        <w:rPr>
          <w:rFonts w:ascii="宋体" w:hAnsi="宋体" w:cs="宋体" w:hint="eastAsia"/>
          <w:color w:val="000000"/>
          <w:sz w:val="24"/>
          <w:highlight w:val="white"/>
          <w:lang w:eastAsia="zh-CN"/>
        </w:rPr>
        <w:t>本基金在开始进行期货投资之前，应与基金托管人、期货公司三方</w:t>
      </w:r>
      <w:r>
        <w:rPr>
          <w:rFonts w:ascii="宋体" w:hAnsi="宋体" w:cs="宋体" w:hint="eastAsia"/>
          <w:color w:val="000000"/>
          <w:sz w:val="24"/>
          <w:highlight w:val="white"/>
          <w:lang w:eastAsia="zh-CN"/>
        </w:rPr>
        <w:t>一同就</w:t>
      </w:r>
      <w:r>
        <w:rPr>
          <w:rFonts w:ascii="宋体" w:hAnsi="宋体" w:cs="宋体" w:hint="eastAsia"/>
          <w:color w:val="000000"/>
          <w:sz w:val="24"/>
          <w:highlight w:val="white"/>
          <w:lang w:eastAsia="zh-CN"/>
        </w:rPr>
        <w:t>期货开户、清算、估值、交收等事宜另行签署《期货投资托管操作三方备忘录》。</w:t>
      </w:r>
    </w:p>
    <w:p w:rsidR="00132D73" w14:paraId="1ECE867B" w14:textId="77777777">
      <w:pPr>
        <w:ind w:firstLine="480"/>
        <w:rPr>
          <w:lang w:eastAsia="zh-CN"/>
        </w:rPr>
      </w:pPr>
      <w:r>
        <w:rPr>
          <w:rFonts w:ascii="宋体" w:hAnsi="宋体" w:cs="宋体" w:hint="eastAsia"/>
          <w:color w:val="000000"/>
          <w:sz w:val="24"/>
          <w:highlight w:val="white"/>
          <w:lang w:eastAsia="zh-CN"/>
        </w:rPr>
        <w:t>本基金参加期权交易前，应当按照现有证券账户开立方式向中国证券登记结算有限责任公司申请新开立一个普通证券账户，基金管理人负责将该证券账户指定交易在证券公司或期货公司，由相应证券公司（或期货公司）为本产品开立衍生品合约账户后，再通过该证券公司（或期货公司）参与期权交易。</w:t>
      </w:r>
    </w:p>
    <w:p w:rsidR="00132D73" w14:paraId="7409D986" w14:textId="77777777">
      <w:pPr>
        <w:ind w:firstLine="480"/>
        <w:rPr>
          <w:lang w:eastAsia="zh-CN"/>
        </w:rPr>
      </w:pPr>
      <w:r>
        <w:rPr>
          <w:rFonts w:ascii="宋体" w:hAnsi="宋体" w:cs="宋体"/>
          <w:color w:val="000000"/>
          <w:sz w:val="24"/>
          <w:highlight w:val="white"/>
          <w:lang w:eastAsia="zh-CN"/>
        </w:rPr>
        <w:t>（二）基金投资证券后的清算交收安排</w:t>
      </w:r>
    </w:p>
    <w:p w:rsidR="00132D73" w14:paraId="38EAED68" w14:textId="77777777">
      <w:pPr>
        <w:ind w:firstLine="480"/>
        <w:rPr>
          <w:rFonts w:ascii="宋体" w:hAnsi="宋体" w:cs="宋体" w:hint="eastAsia"/>
          <w:color w:val="000000"/>
          <w:sz w:val="24"/>
          <w:lang w:eastAsia="zh-CN"/>
        </w:rPr>
      </w:pPr>
      <w:r>
        <w:rPr>
          <w:rFonts w:ascii="宋体" w:hAnsi="宋体" w:cs="宋体"/>
          <w:color w:val="000000"/>
          <w:sz w:val="24"/>
          <w:highlight w:val="white"/>
          <w:lang w:eastAsia="zh-CN"/>
        </w:rPr>
        <w:t>1.清算与交割</w:t>
      </w:r>
    </w:p>
    <w:p w:rsidR="00132D73" w14:paraId="27A26ED9" w14:textId="77777777">
      <w:pPr>
        <w:ind w:firstLine="480"/>
        <w:rPr>
          <w:lang w:eastAsia="zh-CN"/>
        </w:rPr>
      </w:pPr>
      <w:r>
        <w:rPr>
          <w:rFonts w:ascii="宋体" w:hAnsi="宋体" w:cs="宋体"/>
          <w:color w:val="000000"/>
          <w:sz w:val="24"/>
          <w:highlight w:val="white"/>
          <w:lang w:eastAsia="zh-CN"/>
        </w:rPr>
        <w:t>基金通过证券经纪机构进行的交易由证券经纪机构作为结算参与人代理本基金进行结算，本基金通过期货经纪机构进行的交易由期货经纪机构作为结算参与人代理本基金进行结算。本基金其它证券交易由基金托管人或相关机构负责结算，场外资金汇划由基金托管人根据基金管理人的场外交易划款指令具体办理。</w:t>
      </w:r>
    </w:p>
    <w:p w:rsidR="00132D73" w14:paraId="1D8339ED" w14:textId="77777777">
      <w:pPr>
        <w:ind w:firstLine="480"/>
        <w:rPr>
          <w:lang w:eastAsia="zh-CN"/>
        </w:rPr>
      </w:pPr>
      <w:r>
        <w:rPr>
          <w:rFonts w:ascii="宋体" w:hAnsi="宋体" w:cs="宋体"/>
          <w:color w:val="000000"/>
          <w:sz w:val="24"/>
          <w:highlight w:val="white"/>
          <w:lang w:eastAsia="zh-CN"/>
        </w:rPr>
        <w:t>证券经纪机构代理本基金财产与中国证券登记结算有限责任公司完成证券交易及</w:t>
      </w:r>
      <w:r>
        <w:rPr>
          <w:rFonts w:ascii="宋体" w:hAnsi="宋体" w:cs="宋体"/>
          <w:color w:val="000000"/>
          <w:sz w:val="24"/>
          <w:highlight w:val="white"/>
          <w:lang w:eastAsia="zh-CN"/>
        </w:rPr>
        <w:t>非交易</w:t>
      </w:r>
      <w:r>
        <w:rPr>
          <w:rFonts w:ascii="宋体" w:hAnsi="宋体" w:cs="宋体"/>
          <w:color w:val="000000"/>
          <w:sz w:val="24"/>
          <w:highlight w:val="white"/>
          <w:lang w:eastAsia="zh-CN"/>
        </w:rPr>
        <w:t>涉及的证券资金结算业务，并承担由证券经纪机构原因造成的正常结算、交收业务无法完成的责任；若由于基金管理人过错造成的正常结算业务无法完成，责任由基金管理人承担。</w:t>
      </w:r>
    </w:p>
    <w:p w:rsidR="00132D73" w14:paraId="4E51EA53" w14:textId="77777777">
      <w:pPr>
        <w:ind w:firstLine="480"/>
        <w:rPr>
          <w:lang w:eastAsia="zh-CN"/>
        </w:rPr>
      </w:pPr>
      <w:r>
        <w:rPr>
          <w:rFonts w:ascii="宋体" w:hAnsi="宋体" w:cs="宋体"/>
          <w:color w:val="000000"/>
          <w:sz w:val="24"/>
          <w:highlight w:val="white"/>
          <w:lang w:eastAsia="zh-CN"/>
        </w:rPr>
        <w:t>对于任何原因发生的证券资金交收违约事件，相关各方应当及时协商解决。由于相关方过错在清算上造成基金财产的直接损失，应由过错方承担相应责任。</w:t>
      </w:r>
    </w:p>
    <w:p w:rsidR="00132D73" w14:paraId="379758F4" w14:textId="77777777">
      <w:pPr>
        <w:ind w:firstLine="480"/>
        <w:rPr>
          <w:lang w:eastAsia="zh-CN"/>
        </w:rPr>
      </w:pPr>
      <w:r>
        <w:rPr>
          <w:rFonts w:ascii="宋体" w:hAnsi="宋体" w:cs="宋体"/>
          <w:color w:val="000000"/>
          <w:sz w:val="24"/>
          <w:highlight w:val="white"/>
          <w:lang w:eastAsia="zh-CN"/>
        </w:rPr>
        <w:t>2.交易记录、资金和证券/期货账目核对的时间和方式</w:t>
      </w:r>
    </w:p>
    <w:p w:rsidR="00132D73" w14:paraId="443C6A92" w14:textId="77777777">
      <w:pPr>
        <w:ind w:firstLine="480"/>
        <w:rPr>
          <w:lang w:eastAsia="zh-CN"/>
        </w:rPr>
      </w:pPr>
      <w:r>
        <w:rPr>
          <w:rFonts w:ascii="宋体" w:hAnsi="宋体" w:cs="宋体"/>
          <w:color w:val="000000"/>
          <w:sz w:val="24"/>
          <w:highlight w:val="white"/>
          <w:lang w:eastAsia="zh-CN"/>
        </w:rPr>
        <w:t>（1）交易记录的核对</w:t>
      </w:r>
    </w:p>
    <w:p w:rsidR="00132D73" w14:paraId="5CD14C63" w14:textId="77777777">
      <w:pPr>
        <w:ind w:firstLine="480"/>
        <w:rPr>
          <w:lang w:eastAsia="zh-CN"/>
        </w:rPr>
      </w:pPr>
      <w:r>
        <w:rPr>
          <w:rFonts w:ascii="宋体" w:hAnsi="宋体" w:cs="宋体"/>
          <w:color w:val="000000"/>
          <w:sz w:val="24"/>
          <w:highlight w:val="white"/>
          <w:lang w:eastAsia="zh-CN"/>
        </w:rPr>
        <w:t>基金管理人按日进行交易记录的核对。每日对外披露净值之前，必须保证当天所有实际交易记录与基金会计账簿上的交易记录完全一致。如果因基金管理</w:t>
      </w:r>
      <w:r>
        <w:rPr>
          <w:rFonts w:ascii="宋体" w:hAnsi="宋体" w:cs="宋体"/>
          <w:color w:val="000000"/>
          <w:sz w:val="24"/>
          <w:highlight w:val="white"/>
          <w:lang w:eastAsia="zh-CN"/>
        </w:rPr>
        <w:t>人原因</w:t>
      </w:r>
      <w:r>
        <w:rPr>
          <w:rFonts w:ascii="宋体" w:hAnsi="宋体" w:cs="宋体"/>
          <w:color w:val="000000"/>
          <w:sz w:val="24"/>
          <w:highlight w:val="white"/>
          <w:lang w:eastAsia="zh-CN"/>
        </w:rPr>
        <w:t>导致实际交易记录与会计账簿记录不一致，造成基金会计核算不完整或不真实，由此导致的损失由基金管理人承担。</w:t>
      </w:r>
    </w:p>
    <w:p w:rsidR="00132D73" w14:paraId="646C5AA3" w14:textId="77777777">
      <w:pPr>
        <w:ind w:firstLine="480"/>
        <w:rPr>
          <w:lang w:eastAsia="zh-CN"/>
        </w:rPr>
      </w:pPr>
      <w:r>
        <w:rPr>
          <w:rFonts w:ascii="宋体" w:hAnsi="宋体" w:cs="宋体"/>
          <w:color w:val="000000"/>
          <w:sz w:val="24"/>
          <w:highlight w:val="white"/>
          <w:lang w:eastAsia="zh-CN"/>
        </w:rPr>
        <w:t>（2）资金账目的核对</w:t>
      </w:r>
    </w:p>
    <w:p w:rsidR="00132D73" w14:paraId="2BDE15E7" w14:textId="77777777">
      <w:pPr>
        <w:ind w:firstLine="480"/>
        <w:rPr>
          <w:lang w:eastAsia="zh-CN"/>
        </w:rPr>
      </w:pPr>
      <w:r>
        <w:rPr>
          <w:rFonts w:ascii="宋体" w:hAnsi="宋体" w:cs="宋体"/>
          <w:color w:val="000000"/>
          <w:sz w:val="24"/>
          <w:highlight w:val="white"/>
          <w:lang w:eastAsia="zh-CN"/>
        </w:rPr>
        <w:t>基金管理人和基金托管人资金账目按日核实。</w:t>
      </w:r>
    </w:p>
    <w:p w:rsidR="00132D73" w14:paraId="01FB0DF9" w14:textId="77777777">
      <w:pPr>
        <w:ind w:firstLine="480"/>
        <w:rPr>
          <w:lang w:eastAsia="zh-CN"/>
        </w:rPr>
      </w:pPr>
      <w:r>
        <w:rPr>
          <w:rFonts w:ascii="宋体" w:hAnsi="宋体" w:cs="宋体"/>
          <w:color w:val="000000"/>
          <w:sz w:val="24"/>
          <w:highlight w:val="white"/>
          <w:lang w:eastAsia="zh-CN"/>
        </w:rPr>
        <w:t>（3）证券/期货账目的核对</w:t>
      </w:r>
    </w:p>
    <w:p w:rsidR="00132D73" w14:paraId="1753AEC6" w14:textId="77777777">
      <w:pPr>
        <w:ind w:firstLine="480"/>
        <w:rPr>
          <w:lang w:eastAsia="zh-CN"/>
        </w:rPr>
      </w:pPr>
      <w:r>
        <w:rPr>
          <w:rFonts w:ascii="宋体" w:hAnsi="宋体" w:cs="宋体"/>
          <w:color w:val="000000"/>
          <w:sz w:val="24"/>
          <w:highlight w:val="white"/>
          <w:lang w:eastAsia="zh-CN"/>
        </w:rPr>
        <w:t>基金管理人和基金托管人每交易日结束后核对基金证券/期货账目，确保双方账目相符。</w:t>
      </w:r>
    </w:p>
    <w:p w:rsidR="00132D73" w14:paraId="0064A6F2" w14:textId="77777777">
      <w:pPr>
        <w:ind w:firstLine="480"/>
        <w:rPr>
          <w:lang w:eastAsia="zh-CN"/>
        </w:rPr>
      </w:pPr>
      <w:r>
        <w:rPr>
          <w:rFonts w:ascii="宋体" w:hAnsi="宋体" w:cs="宋体"/>
          <w:color w:val="000000"/>
          <w:sz w:val="24"/>
          <w:highlight w:val="white"/>
          <w:lang w:eastAsia="zh-CN"/>
        </w:rPr>
        <w:t>（三）</w:t>
      </w:r>
      <w:r>
        <w:rPr>
          <w:rFonts w:ascii="宋体" w:hAnsi="宋体" w:cs="宋体"/>
          <w:color w:val="000000"/>
          <w:sz w:val="24"/>
          <w:highlight w:val="white"/>
          <w:lang w:eastAsia="zh-CN"/>
        </w:rPr>
        <w:t>申赎结算</w:t>
      </w:r>
    </w:p>
    <w:p w:rsidR="00132D73" w14:paraId="30654132" w14:textId="77777777">
      <w:pPr>
        <w:ind w:firstLine="480"/>
        <w:rPr>
          <w:rFonts w:ascii="宋体" w:hAnsi="宋体" w:cs="宋体" w:hint="eastAsia"/>
          <w:color w:val="000000"/>
          <w:sz w:val="24"/>
          <w:lang w:eastAsia="zh-CN"/>
        </w:rPr>
      </w:pPr>
      <w:r>
        <w:rPr>
          <w:rFonts w:ascii="宋体" w:hAnsi="宋体" w:cs="宋体" w:hint="eastAsia"/>
          <w:color w:val="000000"/>
          <w:sz w:val="24"/>
          <w:highlight w:val="white"/>
          <w:lang w:eastAsia="zh-CN"/>
        </w:rPr>
        <w:t>本基金申购、赎回过程中涉及的基金份额、组合证券、现金替代、现金差额及其他对价的清算交</w:t>
      </w:r>
      <w:r>
        <w:rPr>
          <w:rFonts w:ascii="宋体" w:hAnsi="宋体" w:cs="宋体" w:hint="eastAsia"/>
          <w:color w:val="000000"/>
          <w:sz w:val="24"/>
          <w:highlight w:val="white"/>
          <w:lang w:eastAsia="zh-CN"/>
        </w:rPr>
        <w:t>收依据</w:t>
      </w:r>
      <w:r>
        <w:rPr>
          <w:rFonts w:ascii="宋体" w:hAnsi="宋体" w:cs="宋体" w:hint="eastAsia"/>
          <w:color w:val="000000"/>
          <w:sz w:val="24"/>
          <w:highlight w:val="white"/>
          <w:lang w:eastAsia="zh-CN"/>
        </w:rPr>
        <w:t>交易所相关业务规则、参与各方相关协议及招募说明书的有关规定办理。如遇特殊情况，双方协商处理。</w:t>
      </w:r>
    </w:p>
    <w:p w:rsidR="00132D73" w14:paraId="3782E63F" w14:textId="77777777">
      <w:pPr>
        <w:ind w:firstLine="480"/>
        <w:rPr>
          <w:lang w:eastAsia="zh-CN"/>
        </w:rPr>
      </w:pPr>
      <w:r>
        <w:rPr>
          <w:rFonts w:ascii="宋体" w:hAnsi="宋体" w:cs="宋体" w:hint="eastAsia"/>
          <w:color w:val="000000"/>
          <w:sz w:val="24"/>
          <w:highlight w:val="white"/>
          <w:lang w:eastAsia="zh-CN"/>
        </w:rPr>
        <w:t>如果登记结算机构相关的结算交收业务规则发生变更，则按最新规则办理。基金管理人和基金托管人也可经协商一致后，在法律法规规定和《基金合同》约定的范围内，采取其他可行的交收方式。</w:t>
      </w:r>
    </w:p>
    <w:p w:rsidR="00132D73" w14:paraId="33C7C0E6" w14:textId="77777777">
      <w:pPr>
        <w:ind w:firstLine="480"/>
        <w:rPr>
          <w:lang w:eastAsia="zh-CN"/>
        </w:rPr>
      </w:pPr>
      <w:r>
        <w:rPr>
          <w:rFonts w:ascii="宋体" w:hAnsi="宋体" w:cs="宋体"/>
          <w:color w:val="000000"/>
          <w:sz w:val="24"/>
          <w:highlight w:val="white"/>
          <w:lang w:eastAsia="zh-CN"/>
        </w:rPr>
        <w:t>（四）基金现金分红</w:t>
      </w:r>
    </w:p>
    <w:p w:rsidR="00132D73" w14:paraId="1140125F" w14:textId="77777777">
      <w:pPr>
        <w:ind w:firstLine="480"/>
        <w:rPr>
          <w:lang w:eastAsia="zh-CN"/>
        </w:rPr>
      </w:pPr>
      <w:r>
        <w:rPr>
          <w:rFonts w:ascii="宋体" w:hAnsi="宋体" w:cs="宋体"/>
          <w:color w:val="000000"/>
          <w:sz w:val="24"/>
          <w:highlight w:val="white"/>
          <w:lang w:eastAsia="zh-CN"/>
        </w:rPr>
        <w:t>1.基金管理人确定分红方案通知基金托管人，双方核定后依照《信息披露办法》的有关规定在规定媒介上公告。</w:t>
      </w:r>
    </w:p>
    <w:p w:rsidR="00132D73" w14:paraId="620D7FAE" w14:textId="77777777">
      <w:pPr>
        <w:ind w:firstLine="480"/>
        <w:rPr>
          <w:lang w:eastAsia="zh-CN"/>
        </w:rPr>
      </w:pPr>
      <w:r>
        <w:rPr>
          <w:rFonts w:ascii="宋体" w:hAnsi="宋体" w:cs="宋体"/>
          <w:color w:val="000000"/>
          <w:sz w:val="24"/>
          <w:highlight w:val="white"/>
          <w:lang w:eastAsia="zh-CN"/>
        </w:rPr>
        <w:t>2.基金托管人和基金管理人对基金分红进行账务处理并核对后，基金管理人向基金托管人发送现金红利的划款指令，基金托管人应及时将资金划入专用账户。</w:t>
      </w:r>
    </w:p>
    <w:p w:rsidR="00132D73" w14:paraId="3AE826C1" w14:textId="77777777">
      <w:pPr>
        <w:ind w:firstLine="480"/>
        <w:rPr>
          <w:lang w:eastAsia="zh-CN"/>
        </w:rPr>
      </w:pPr>
      <w:r>
        <w:rPr>
          <w:rFonts w:ascii="宋体" w:hAnsi="宋体" w:cs="宋体"/>
          <w:color w:val="000000"/>
          <w:sz w:val="24"/>
          <w:highlight w:val="white"/>
          <w:lang w:eastAsia="zh-CN"/>
        </w:rPr>
        <w:t>3.基金管理人在下达指令时，应给基金托管人留出必需的划款时间。</w:t>
      </w:r>
    </w:p>
    <w:p w:rsidR="00132D73" w14:paraId="77238D35" w14:textId="77777777">
      <w:pPr>
        <w:ind w:firstLine="480"/>
        <w:rPr>
          <w:lang w:eastAsia="zh-CN"/>
        </w:rPr>
      </w:pPr>
      <w:r>
        <w:rPr>
          <w:rFonts w:ascii="宋体" w:hAnsi="宋体" w:cs="宋体"/>
          <w:color w:val="000000"/>
          <w:sz w:val="24"/>
          <w:highlight w:val="white"/>
          <w:lang w:eastAsia="zh-CN"/>
        </w:rPr>
        <w:t>（五）投资银行存款的特别约定</w:t>
      </w:r>
    </w:p>
    <w:p w:rsidR="00132D73" w14:paraId="29ED14F4" w14:textId="77777777">
      <w:pPr>
        <w:ind w:firstLine="480"/>
        <w:rPr>
          <w:lang w:eastAsia="zh-CN"/>
        </w:rPr>
      </w:pPr>
      <w:r>
        <w:rPr>
          <w:rFonts w:ascii="宋体" w:hAnsi="宋体" w:cs="宋体"/>
          <w:color w:val="000000"/>
          <w:sz w:val="24"/>
          <w:highlight w:val="white"/>
          <w:lang w:eastAsia="zh-CN"/>
        </w:rPr>
        <w:t>1.本基金投资银行存款前，基金管理人应与存款银行签订具体存款协议，包括但不限于以下内容：</w:t>
      </w:r>
    </w:p>
    <w:p w:rsidR="00132D73" w14:paraId="0749A14C" w14:textId="77777777">
      <w:pPr>
        <w:ind w:firstLine="480"/>
        <w:rPr>
          <w:lang w:eastAsia="zh-CN"/>
        </w:rPr>
      </w:pPr>
      <w:r>
        <w:rPr>
          <w:rFonts w:ascii="宋体" w:hAnsi="宋体" w:cs="宋体" w:hint="eastAsia"/>
          <w:color w:val="000000"/>
          <w:sz w:val="24"/>
          <w:highlight w:val="white"/>
          <w:lang w:eastAsia="zh-CN"/>
        </w:rPr>
        <w:t>（1）存款账户必须以本基金名义开立，并将基金托管人为本基金开立的基金托管资金账户指定为唯一回款账户，任何情况下，存款银行都不得将存款投资</w:t>
      </w:r>
      <w:r>
        <w:rPr>
          <w:rFonts w:ascii="宋体" w:hAnsi="宋体" w:cs="宋体" w:hint="eastAsia"/>
          <w:color w:val="000000"/>
          <w:sz w:val="24"/>
          <w:highlight w:val="white"/>
          <w:lang w:eastAsia="zh-CN"/>
        </w:rPr>
        <w:t>本息划往任何</w:t>
      </w:r>
      <w:r>
        <w:rPr>
          <w:rFonts w:ascii="宋体" w:hAnsi="宋体" w:cs="宋体" w:hint="eastAsia"/>
          <w:color w:val="000000"/>
          <w:sz w:val="24"/>
          <w:highlight w:val="white"/>
          <w:lang w:eastAsia="zh-CN"/>
        </w:rPr>
        <w:t>其他账户。</w:t>
      </w:r>
    </w:p>
    <w:p w:rsidR="00132D73" w14:paraId="2EBD8D1E" w14:textId="77777777">
      <w:pPr>
        <w:ind w:firstLine="480"/>
        <w:rPr>
          <w:lang w:eastAsia="zh-CN"/>
        </w:rPr>
      </w:pPr>
      <w:r>
        <w:rPr>
          <w:rFonts w:ascii="宋体" w:hAnsi="宋体" w:cs="宋体"/>
          <w:color w:val="000000"/>
          <w:sz w:val="24"/>
          <w:highlight w:val="white"/>
          <w:lang w:eastAsia="zh-CN"/>
        </w:rPr>
        <w:t>（2）存款银行不得接受基金管理人或基金托管人任何一方单方面提出的对存款进行更名、转让、挂失、质押、担保、撤销、变更印鉴及回款账户信息等可能导致财产转移的操作申请。</w:t>
      </w:r>
    </w:p>
    <w:p w:rsidR="00132D73" w14:paraId="38DB8DB1" w14:textId="77777777">
      <w:pPr>
        <w:ind w:firstLine="480"/>
        <w:rPr>
          <w:lang w:eastAsia="zh-CN"/>
        </w:rPr>
      </w:pPr>
      <w:r>
        <w:rPr>
          <w:rFonts w:ascii="宋体" w:hAnsi="宋体" w:cs="宋体"/>
          <w:color w:val="000000"/>
          <w:sz w:val="24"/>
          <w:highlight w:val="white"/>
          <w:lang w:eastAsia="zh-CN"/>
        </w:rPr>
        <w:t>（3）约定存款证实书的具体传递交接方式及交接期限。</w:t>
      </w:r>
    </w:p>
    <w:p w:rsidR="00132D73" w14:paraId="59D79850" w14:textId="77777777">
      <w:pPr>
        <w:ind w:firstLine="480"/>
        <w:rPr>
          <w:lang w:eastAsia="zh-CN"/>
        </w:rPr>
      </w:pPr>
      <w:r>
        <w:rPr>
          <w:rFonts w:ascii="宋体" w:hAnsi="宋体" w:cs="宋体"/>
          <w:color w:val="000000"/>
          <w:sz w:val="24"/>
          <w:highlight w:val="white"/>
          <w:lang w:eastAsia="zh-CN"/>
        </w:rPr>
        <w:t>（4）资金划转过程中需要使用存款银行过渡账户的，存款银行须保证资金在过渡账户中不出现滞留，不被挪用。</w:t>
      </w:r>
    </w:p>
    <w:p w:rsidR="00132D73" w14:paraId="3EFB2D2C" w14:textId="77777777">
      <w:pPr>
        <w:ind w:firstLine="480"/>
        <w:rPr>
          <w:lang w:eastAsia="zh-CN"/>
        </w:rPr>
      </w:pPr>
      <w:r>
        <w:rPr>
          <w:rFonts w:ascii="宋体" w:hAnsi="宋体" w:cs="宋体"/>
          <w:color w:val="000000"/>
          <w:sz w:val="24"/>
          <w:highlight w:val="white"/>
          <w:lang w:eastAsia="zh-CN"/>
        </w:rPr>
        <w:t>2.本基金投资银行存款，必须采用双方认可的方式办理。基金托管人负责依据基金管理人提供的银行存款投资合同/协议/成交单、投资指令、支取通知等有关文件办理资金的支付以及存款证实书的接收、保管与交付，切实履行托管职责。基金托管人负责对存款开户证实书进行保管，不负责对存款开户证实书真伪的辨别，不承担存款开户证实书对应存款的本金及收益的安全。</w:t>
      </w:r>
    </w:p>
    <w:p w:rsidR="00132D73" w14:paraId="4500D158" w14:textId="77777777">
      <w:pPr>
        <w:ind w:firstLine="480"/>
        <w:rPr>
          <w:lang w:eastAsia="zh-CN"/>
        </w:rPr>
      </w:pPr>
      <w:r>
        <w:rPr>
          <w:rFonts w:ascii="宋体" w:hAnsi="宋体" w:cs="宋体"/>
          <w:color w:val="000000"/>
          <w:sz w:val="24"/>
          <w:highlight w:val="white"/>
          <w:lang w:eastAsia="zh-CN"/>
        </w:rPr>
        <w:t>3.基金管理人投资银行存款或办理存款支取时，应提前书面通知基金托管人，以便基金托管人有足够的时间履行相应的业务操作程序。因发生逾期支取、提前支取或部分提前支取，托管银行不承担相应利息损失及逾期支取手续费。</w:t>
      </w:r>
    </w:p>
    <w:p w:rsidR="00132D73" w14:paraId="4B6BE713" w14:textId="77777777">
      <w:pPr>
        <w:ind w:firstLine="480"/>
        <w:rPr>
          <w:lang w:eastAsia="zh-CN"/>
        </w:rPr>
      </w:pPr>
      <w:r>
        <w:rPr>
          <w:rFonts w:ascii="宋体" w:hAnsi="宋体" w:cs="宋体" w:hint="eastAsia"/>
          <w:color w:val="000000"/>
          <w:sz w:val="24"/>
          <w:highlight w:val="white"/>
          <w:lang w:eastAsia="zh-CN"/>
        </w:rPr>
        <w:t>4.对于已移交托管人保管的存款开户证实书等实物凭证，托管人应确保安全保管；对未按约定将存款开户证实书等实物凭证移交托管人保管的，托管人应向管理人进行必要的催缴和风险提示；提示后仍不将相关实物凭证送达托管人保管的，出于托管履职和尽责，托管人可视情况采取必要的风险控制措施：（1）建立风险预警机制，对于实物凭证未送达集中度较高的存款银行，主动发</w:t>
      </w:r>
      <w:r>
        <w:rPr>
          <w:rFonts w:ascii="宋体" w:hAnsi="宋体" w:cs="宋体" w:hint="eastAsia"/>
          <w:color w:val="000000"/>
          <w:sz w:val="24"/>
          <w:highlight w:val="white"/>
          <w:lang w:eastAsia="zh-CN"/>
        </w:rPr>
        <w:t>函管</w:t>
      </w:r>
      <w:r>
        <w:rPr>
          <w:rFonts w:ascii="宋体" w:hAnsi="宋体" w:cs="宋体" w:hint="eastAsia"/>
          <w:color w:val="000000"/>
          <w:sz w:val="24"/>
          <w:highlight w:val="white"/>
          <w:lang w:eastAsia="zh-CN"/>
        </w:rPr>
        <w:t>理人尽量避免在此类银行进行存款投资；（2）在定期报告中，对未按约定送达托管人保管的实物凭证信息进行规定范围信息披露；（3）未送达实物凭证超过送单截止日后30个工作日，且累计超过3笔（含）以上的，部分或全部暂停配合管理人办理后续新增存款投资业务，直至实物凭证送达托管人保管后解除。实物凭证未送达但存款本息已安全划回托管资金账户的，以及因发生特殊情况由管理人提供相关书面说明并重新承诺送单截止时间的，可剔除不计。</w:t>
      </w:r>
    </w:p>
    <w:p w:rsidR="00132D73" w14:paraId="058C9009" w14:textId="77777777">
      <w:pPr>
        <w:rPr>
          <w:rFonts w:ascii="宋体" w:hAnsi="宋体" w:cs="宋体" w:hint="eastAsia"/>
          <w:sz w:val="24"/>
          <w:lang w:eastAsia="zh-CN"/>
        </w:rPr>
      </w:pPr>
    </w:p>
    <w:p w:rsidR="00132D73" w14:paraId="7C7E4B5C" w14:textId="77777777">
      <w:pPr>
        <w:snapToGrid w:val="0"/>
        <w:ind w:firstLine="480"/>
        <w:rPr>
          <w:rFonts w:ascii="宋体" w:hAnsi="宋体" w:cs="宋体" w:hint="eastAsia"/>
          <w:sz w:val="24"/>
          <w:lang w:eastAsia="zh-CN"/>
        </w:rPr>
      </w:pPr>
    </w:p>
    <w:p w:rsidR="00132D73" w14:paraId="141DFB11" w14:textId="77777777">
      <w:pPr>
        <w:pStyle w:val="21"/>
        <w:jc w:val="center"/>
        <w:rPr>
          <w:rFonts w:ascii="宋体" w:eastAsia="宋体" w:hAnsi="宋体" w:cs="宋体" w:hint="eastAsia"/>
          <w:sz w:val="30"/>
          <w:lang w:eastAsia="zh-CN"/>
        </w:rPr>
      </w:pPr>
      <w:r>
        <w:rPr>
          <w:rFonts w:ascii="宋体" w:eastAsia="宋体" w:hAnsi="宋体" w:cs="宋体" w:hint="eastAsia"/>
          <w:sz w:val="30"/>
          <w:highlight w:val="white"/>
          <w:lang w:eastAsia="zh-CN"/>
        </w:rPr>
        <w:t xml:space="preserve"> </w:t>
      </w:r>
      <w:bookmarkStart w:id="85" w:name="_Toc68875910"/>
      <w:r>
        <w:rPr>
          <w:rFonts w:ascii="宋体" w:eastAsia="宋体" w:hAnsi="宋体" w:cs="宋体" w:hint="eastAsia"/>
          <w:sz w:val="30"/>
          <w:highlight w:val="white"/>
          <w:lang w:eastAsia="zh-CN"/>
        </w:rPr>
        <w:t>八、基金资产净值计算和会计核算</w:t>
      </w:r>
      <w:bookmarkEnd w:id="85"/>
    </w:p>
    <w:p w:rsidR="00132D73" w14:paraId="5D356B5A"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（一）基金资产净值的计算、复核与完成的时间及程序</w:t>
      </w:r>
    </w:p>
    <w:p w:rsidR="00132D73" w14:paraId="65645407"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1.基金资产净值是指基金资产总值减去负债后的金额。基金份额净值是按照每个估值日闭市后，基金资产净值除以当日基金份额的余额数量计算，均精确到0.0001元，小数点后第五位四舍五入。国家另有规定的，从其规定。</w:t>
      </w:r>
    </w:p>
    <w:p w:rsidR="00132D73" w14:paraId="54F885CE"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每个估值日计算基金资产净值及基金份额净值，并按规定公告。</w:t>
      </w:r>
    </w:p>
    <w:p w:rsidR="00132D73" w14:paraId="5D3213F0"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2.基金管理人</w:t>
      </w:r>
      <w:r>
        <w:rPr>
          <w:rFonts w:ascii="宋体" w:hAnsi="宋体" w:cs="宋体" w:hint="eastAsia"/>
          <w:sz w:val="24"/>
          <w:highlight w:val="white"/>
          <w:lang w:eastAsia="zh-CN"/>
        </w:rPr>
        <w:t>应每个</w:t>
      </w:r>
      <w:r>
        <w:rPr>
          <w:rFonts w:ascii="宋体" w:hAnsi="宋体" w:cs="宋体" w:hint="eastAsia"/>
          <w:sz w:val="24"/>
          <w:highlight w:val="white"/>
          <w:lang w:eastAsia="zh-CN"/>
        </w:rPr>
        <w:t>估值日对基金资产估值。但基金管理人根据法律法规或《基金合同》的规定暂停估值时除外。基金管理人每个估值日对基金资产估值后，经基金托管人复核无误后，由基金管理人按规定对外公布。</w:t>
      </w:r>
    </w:p>
    <w:p w:rsidR="00132D73" w14:paraId="6533D1CD"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（二）基金资产估值方法和特殊情形的处理</w:t>
      </w:r>
    </w:p>
    <w:p w:rsidR="00132D73" w14:paraId="100489BB"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1.估值对象</w:t>
      </w:r>
    </w:p>
    <w:p w:rsidR="00132D73" w14:paraId="19247FC3" w14:textId="77777777">
      <w:pPr>
        <w:snapToGrid w:val="0"/>
        <w:ind w:firstLine="480"/>
        <w:rPr>
          <w:rFonts w:ascii="宋体" w:hAnsi="宋体" w:cs="宋体" w:hint="eastAsia"/>
          <w:sz w:val="24"/>
          <w:lang w:eastAsia="zh-CN"/>
        </w:rPr>
      </w:pPr>
      <w:r>
        <w:rPr>
          <w:rFonts w:ascii="宋体" w:hAnsi="宋体" w:cs="宋体"/>
          <w:sz w:val="24"/>
          <w:highlight w:val="white"/>
          <w:lang w:eastAsia="zh-CN"/>
        </w:rPr>
        <w:t>基金所拥有的股票、债券和银行存款本息、应收款项、其它投资等资产及负债。</w:t>
      </w:r>
    </w:p>
    <w:p w:rsidR="00132D73" w14:paraId="2846117E"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2.估值方法</w:t>
      </w:r>
    </w:p>
    <w:p w:rsidR="00132D73" w14:paraId="2319C459"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本基金所持有的投资品种，按如下原则进行估值：</w:t>
      </w:r>
    </w:p>
    <w:p w:rsidR="00132D73" w14:paraId="2E8E5F4D" w14:textId="77777777">
      <w:pPr>
        <w:snapToGrid w:val="0"/>
        <w:ind w:firstLine="480"/>
        <w:rPr>
          <w:rFonts w:ascii="宋体" w:hAnsi="宋体" w:cs="宋体" w:hint="eastAsia"/>
          <w:sz w:val="24"/>
          <w:highlight w:val="magenta"/>
          <w:lang w:eastAsia="zh-CN"/>
        </w:rPr>
      </w:pPr>
      <w:r>
        <w:rPr>
          <w:rFonts w:ascii="宋体" w:hAnsi="宋体" w:cs="宋体"/>
          <w:sz w:val="24"/>
          <w:highlight w:val="white"/>
          <w:lang w:eastAsia="zh-CN"/>
        </w:rPr>
        <w:t>（1）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rsidR="00132D73" w14:paraId="26EAE610" w14:textId="77777777">
      <w:pPr>
        <w:ind w:firstLine="480"/>
        <w:rPr>
          <w:lang w:eastAsia="zh-CN"/>
        </w:rPr>
      </w:pPr>
      <w:r>
        <w:rPr>
          <w:rFonts w:ascii="宋体" w:hAnsi="宋体" w:cs="宋体"/>
          <w:sz w:val="24"/>
          <w:highlight w:val="white"/>
          <w:lang w:eastAsia="zh-CN"/>
        </w:rPr>
        <w:t>（2）处于未上市期间的有价证券应区分如下情况处理：</w:t>
      </w:r>
    </w:p>
    <w:p w:rsidR="00132D73" w14:paraId="1C88CC88" w14:textId="77777777">
      <w:pPr>
        <w:ind w:firstLine="480"/>
        <w:rPr>
          <w:lang w:eastAsia="zh-CN"/>
        </w:rPr>
      </w:pPr>
      <w:r>
        <w:rPr>
          <w:rFonts w:ascii="宋体" w:hAnsi="宋体" w:cs="宋体"/>
          <w:sz w:val="24"/>
          <w:highlight w:val="white"/>
          <w:lang w:eastAsia="zh-CN"/>
        </w:rPr>
        <w:t>1）送股、转增股、配股和公开增发的新股，按估值日在证券交易所挂牌的同一股票的估值方法估值；该日无交易的，以最近一日的市价（收盘价）估值；</w:t>
      </w:r>
    </w:p>
    <w:p w:rsidR="00132D73" w14:paraId="471B3348" w14:textId="77777777">
      <w:pPr>
        <w:ind w:firstLine="480"/>
        <w:rPr>
          <w:lang w:eastAsia="zh-CN"/>
        </w:rPr>
      </w:pPr>
      <w:r>
        <w:rPr>
          <w:rFonts w:ascii="宋体" w:hAnsi="宋体" w:cs="宋体"/>
          <w:sz w:val="24"/>
          <w:highlight w:val="white"/>
          <w:lang w:eastAsia="zh-CN"/>
        </w:rPr>
        <w:t>2）首次公开发行未上市的股票，采用估值技术确定公允价值；</w:t>
      </w:r>
    </w:p>
    <w:p w:rsidR="00132D73" w14:paraId="798B1BA2" w14:textId="77777777">
      <w:pPr>
        <w:ind w:firstLine="480"/>
        <w:rPr>
          <w:lang w:eastAsia="zh-CN"/>
        </w:rPr>
      </w:pPr>
      <w:r>
        <w:rPr>
          <w:rFonts w:ascii="宋体" w:hAnsi="宋体" w:cs="宋体"/>
          <w:sz w:val="24"/>
          <w:highlight w:val="white"/>
          <w:lang w:eastAsia="zh-CN"/>
        </w:rPr>
        <w:t>3）在发行时明确一定期限限售期的股票，包括但不限于非公开发行股票、首次公开发行股票时公司股东公开发售股份、通过大宗交易取得的带限售期的股票等，不包括停牌、新发行未上市、回购交易中的质押</w:t>
      </w:r>
      <w:r>
        <w:rPr>
          <w:rFonts w:ascii="宋体" w:hAnsi="宋体" w:cs="宋体"/>
          <w:sz w:val="24"/>
          <w:highlight w:val="white"/>
          <w:lang w:eastAsia="zh-CN"/>
        </w:rPr>
        <w:t>券</w:t>
      </w:r>
      <w:r>
        <w:rPr>
          <w:rFonts w:ascii="宋体" w:hAnsi="宋体" w:cs="宋体"/>
          <w:sz w:val="24"/>
          <w:highlight w:val="white"/>
          <w:lang w:eastAsia="zh-CN"/>
        </w:rPr>
        <w:t>等流通受限股票，按监管机构或行业协会有关规定确定公允价值。</w:t>
      </w:r>
    </w:p>
    <w:p w:rsidR="00132D73" w14:paraId="68B004D1" w14:textId="77777777">
      <w:pPr>
        <w:ind w:firstLine="480"/>
        <w:rPr>
          <w:lang w:eastAsia="zh-CN"/>
        </w:rPr>
      </w:pPr>
      <w:r>
        <w:rPr>
          <w:rFonts w:ascii="宋体" w:hAnsi="宋体" w:cs="宋体"/>
          <w:sz w:val="24"/>
          <w:highlight w:val="white"/>
          <w:lang w:eastAsia="zh-CN"/>
        </w:rPr>
        <w:t>（3）对于已上市或已挂牌转让的不含</w:t>
      </w:r>
      <w:r>
        <w:rPr>
          <w:rFonts w:ascii="宋体" w:hAnsi="宋体" w:cs="宋体"/>
          <w:sz w:val="24"/>
          <w:highlight w:val="white"/>
          <w:lang w:eastAsia="zh-CN"/>
        </w:rPr>
        <w:t>权固定</w:t>
      </w:r>
      <w:r>
        <w:rPr>
          <w:rFonts w:ascii="宋体" w:hAnsi="宋体" w:cs="宋体"/>
          <w:sz w:val="24"/>
          <w:highlight w:val="white"/>
          <w:lang w:eastAsia="zh-CN"/>
        </w:rPr>
        <w:t>收益品种，选取估值日第三方估值基准服务机构提供的相应品种当日的估值全价进行估值。</w:t>
      </w:r>
    </w:p>
    <w:p w:rsidR="00132D73" w14:paraId="43B5C694" w14:textId="77777777">
      <w:pPr>
        <w:ind w:firstLine="480"/>
        <w:rPr>
          <w:lang w:eastAsia="zh-CN"/>
        </w:rPr>
      </w:pPr>
      <w:r>
        <w:rPr>
          <w:rFonts w:ascii="宋体" w:hAnsi="宋体" w:cs="宋体"/>
          <w:sz w:val="24"/>
          <w:highlight w:val="white"/>
          <w:lang w:eastAsia="zh-CN"/>
        </w:rPr>
        <w:t>（4）对于已上市或已挂牌转让的含</w:t>
      </w:r>
      <w:r>
        <w:rPr>
          <w:rFonts w:ascii="宋体" w:hAnsi="宋体" w:cs="宋体"/>
          <w:sz w:val="24"/>
          <w:highlight w:val="white"/>
          <w:lang w:eastAsia="zh-CN"/>
        </w:rPr>
        <w:t>权固定</w:t>
      </w:r>
      <w:r>
        <w:rPr>
          <w:rFonts w:ascii="宋体" w:hAnsi="宋体" w:cs="宋体"/>
          <w:sz w:val="24"/>
          <w:highlight w:val="white"/>
          <w:lang w:eastAsia="zh-CN"/>
        </w:rPr>
        <w:t>收益品种，选取估值日第三方估值基准服务机构提供的相应品种当日的唯一估值全价或推荐估值全价进行估值。</w:t>
      </w:r>
    </w:p>
    <w:p w:rsidR="00132D73" w14:paraId="2F8FF0E3" w14:textId="77777777">
      <w:pPr>
        <w:ind w:firstLine="480"/>
        <w:rPr>
          <w:lang w:eastAsia="zh-CN"/>
        </w:rPr>
      </w:pPr>
      <w:r>
        <w:rPr>
          <w:rFonts w:ascii="宋体" w:hAnsi="宋体" w:cs="宋体"/>
          <w:sz w:val="24"/>
          <w:highlight w:val="white"/>
          <w:lang w:eastAsia="zh-CN"/>
        </w:rPr>
        <w:t>对于含投资者回售权的固定收益品种，行使回售权的，在回售登记日至实际收款日期间选取第三方估值基准服务机构提供的相应品种的唯一估值全价或推荐估值全价进行估值。回售登记期截止日（含当日）后未行使回售权的按照长待偿期所对应的价格进行估值。</w:t>
      </w:r>
    </w:p>
    <w:p w:rsidR="00132D73" w14:paraId="4018F521" w14:textId="77777777">
      <w:pPr>
        <w:ind w:firstLine="480"/>
        <w:rPr>
          <w:lang w:eastAsia="zh-CN"/>
        </w:rPr>
      </w:pPr>
      <w:r>
        <w:rPr>
          <w:rFonts w:ascii="宋体" w:hAnsi="宋体" w:cs="宋体"/>
          <w:sz w:val="24"/>
          <w:highlight w:val="white"/>
          <w:lang w:eastAsia="zh-CN"/>
        </w:rPr>
        <w:t>（5）对于在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rsidR="00132D73" w14:paraId="1880C377" w14:textId="77777777">
      <w:pPr>
        <w:ind w:firstLine="480"/>
        <w:rPr>
          <w:lang w:eastAsia="zh-CN"/>
        </w:rPr>
      </w:pPr>
      <w:r>
        <w:rPr>
          <w:rFonts w:ascii="宋体" w:hAnsi="宋体" w:cs="宋体"/>
          <w:sz w:val="24"/>
          <w:highlight w:val="white"/>
          <w:lang w:eastAsia="zh-CN"/>
        </w:rPr>
        <w:t>（6）对于未上市或未挂牌转让且不存在活跃市场的固定收益品种，采用在当前情况下适用并且有足够可利用数据和其他信息支持的估值技术确定其公允价值。</w:t>
      </w:r>
    </w:p>
    <w:p w:rsidR="00132D73" w14:paraId="1ED762DB" w14:textId="77777777">
      <w:pPr>
        <w:ind w:firstLine="480"/>
        <w:rPr>
          <w:lang w:eastAsia="zh-CN"/>
        </w:rPr>
      </w:pPr>
      <w:r>
        <w:rPr>
          <w:rFonts w:ascii="宋体" w:hAnsi="宋体" w:cs="宋体"/>
          <w:sz w:val="24"/>
          <w:highlight w:val="white"/>
          <w:lang w:eastAsia="zh-CN"/>
        </w:rPr>
        <w:t>（7）期货合约以估值当日结算价进行估值，估值当日无结算价的，且最近交易日后经济环境未发生重大变化的，采用最近交易日结算价估值。</w:t>
      </w:r>
    </w:p>
    <w:p w:rsidR="00132D73" w14:paraId="47F82EFE" w14:textId="77777777">
      <w:pPr>
        <w:ind w:firstLine="480"/>
        <w:rPr>
          <w:lang w:eastAsia="zh-CN"/>
        </w:rPr>
      </w:pPr>
      <w:r>
        <w:rPr>
          <w:rFonts w:ascii="宋体" w:hAnsi="宋体" w:cs="宋体"/>
          <w:sz w:val="24"/>
          <w:highlight w:val="white"/>
          <w:lang w:eastAsia="zh-CN"/>
        </w:rPr>
        <w:t>（8）本基金投资期权，根据相关法律法规以及监管部门的规定估值。</w:t>
      </w:r>
    </w:p>
    <w:p w:rsidR="00132D73" w14:paraId="172FB266" w14:textId="77777777">
      <w:pPr>
        <w:ind w:firstLine="480"/>
        <w:rPr>
          <w:lang w:eastAsia="zh-CN"/>
        </w:rPr>
      </w:pPr>
      <w:r>
        <w:rPr>
          <w:rFonts w:ascii="宋体" w:hAnsi="宋体" w:cs="宋体"/>
          <w:sz w:val="24"/>
          <w:highlight w:val="white"/>
          <w:lang w:eastAsia="zh-CN"/>
        </w:rPr>
        <w:t>（9）本基金参与融资业务的，按照相关法律法规、监管部门和行业协会的相关规定进行估值。</w:t>
      </w:r>
    </w:p>
    <w:p w:rsidR="00132D73" w14:paraId="1BDBAAA7" w14:textId="77777777">
      <w:pPr>
        <w:ind w:firstLine="480"/>
        <w:rPr>
          <w:lang w:eastAsia="zh-CN"/>
        </w:rPr>
      </w:pPr>
      <w:r>
        <w:rPr>
          <w:rFonts w:ascii="宋体" w:hAnsi="宋体" w:cs="宋体"/>
          <w:sz w:val="24"/>
          <w:highlight w:val="white"/>
          <w:lang w:eastAsia="zh-CN"/>
        </w:rPr>
        <w:t>（10）本基金参与转融通证券出借业务的，按照相关法律法规和行业协会的相关规定进行估值。</w:t>
      </w:r>
    </w:p>
    <w:p w:rsidR="00132D73" w14:paraId="552E99F7" w14:textId="77777777">
      <w:pPr>
        <w:ind w:firstLine="480"/>
        <w:rPr>
          <w:lang w:eastAsia="zh-CN"/>
        </w:rPr>
      </w:pPr>
      <w:r>
        <w:rPr>
          <w:rFonts w:ascii="宋体" w:hAnsi="宋体" w:cs="宋体"/>
          <w:sz w:val="24"/>
          <w:highlight w:val="white"/>
          <w:lang w:eastAsia="zh-CN"/>
        </w:rPr>
        <w:t>（11）本基金投资存托凭证的估值核算，依照境内上市交易的股票执行。</w:t>
      </w:r>
    </w:p>
    <w:p w:rsidR="00132D73" w14:paraId="77D575A3" w14:textId="77777777">
      <w:pPr>
        <w:ind w:firstLine="480"/>
        <w:rPr>
          <w:lang w:eastAsia="zh-CN"/>
        </w:rPr>
      </w:pPr>
      <w:r>
        <w:rPr>
          <w:rFonts w:ascii="宋体" w:hAnsi="宋体" w:cs="宋体"/>
          <w:sz w:val="24"/>
          <w:highlight w:val="white"/>
          <w:lang w:eastAsia="zh-CN"/>
        </w:rPr>
        <w:t>（12）如有充分理由表明按上述方法进行估值不能客观反映其公允价值的，基金管理人可根据具体情况与基金托管人商定后，按最能反映公允价值的价格估值。</w:t>
      </w:r>
    </w:p>
    <w:p w:rsidR="00132D73" w14:paraId="530EF768" w14:textId="77777777">
      <w:pPr>
        <w:ind w:firstLine="480"/>
        <w:rPr>
          <w:lang w:eastAsia="zh-CN"/>
        </w:rPr>
      </w:pPr>
      <w:r>
        <w:rPr>
          <w:rFonts w:ascii="宋体" w:hAnsi="宋体" w:cs="宋体"/>
          <w:sz w:val="24"/>
          <w:highlight w:val="white"/>
          <w:lang w:eastAsia="zh-CN"/>
        </w:rPr>
        <w:t>（13）本基金可以采用第三方估值机构按照上述公允价值确定原则提供的估值价格数据。</w:t>
      </w:r>
    </w:p>
    <w:p w:rsidR="00132D73" w14:paraId="0036411A" w14:textId="77777777">
      <w:pPr>
        <w:ind w:firstLine="480"/>
        <w:rPr>
          <w:lang w:eastAsia="zh-CN"/>
        </w:rPr>
      </w:pPr>
      <w:r>
        <w:rPr>
          <w:rFonts w:ascii="宋体" w:hAnsi="宋体" w:cs="宋体"/>
          <w:sz w:val="24"/>
          <w:highlight w:val="white"/>
          <w:lang w:eastAsia="zh-CN"/>
        </w:rPr>
        <w:t>对于仅依赖管理人所提供数据且无法从其他渠道获取可靠数据进行会计核算的投资品种，管理人应对该估值数据的真实性、准确性、完整性、合</w:t>
      </w:r>
      <w:r>
        <w:rPr>
          <w:rFonts w:ascii="宋体" w:hAnsi="宋体" w:cs="宋体"/>
          <w:sz w:val="24"/>
          <w:highlight w:val="white"/>
          <w:lang w:eastAsia="zh-CN"/>
        </w:rPr>
        <w:t>规</w:t>
      </w:r>
      <w:r>
        <w:rPr>
          <w:rFonts w:ascii="宋体" w:hAnsi="宋体" w:cs="宋体"/>
          <w:sz w:val="24"/>
          <w:highlight w:val="white"/>
          <w:lang w:eastAsia="zh-CN"/>
        </w:rPr>
        <w:t>性负责，因上述估值数据错误导致估值结果的不真实、不准确、不完整、不合</w:t>
      </w:r>
      <w:r>
        <w:rPr>
          <w:rFonts w:ascii="宋体" w:hAnsi="宋体" w:cs="宋体"/>
          <w:sz w:val="24"/>
          <w:highlight w:val="white"/>
          <w:lang w:eastAsia="zh-CN"/>
        </w:rPr>
        <w:t>规</w:t>
      </w:r>
      <w:r>
        <w:rPr>
          <w:rFonts w:ascii="宋体" w:hAnsi="宋体" w:cs="宋体"/>
          <w:sz w:val="24"/>
          <w:highlight w:val="white"/>
          <w:lang w:eastAsia="zh-CN"/>
        </w:rPr>
        <w:t>，托管人不承担任何责任。</w:t>
      </w:r>
    </w:p>
    <w:p w:rsidR="00132D73" w14:paraId="3C6C40A3" w14:textId="77777777">
      <w:pPr>
        <w:ind w:firstLine="480"/>
        <w:rPr>
          <w:lang w:eastAsia="zh-CN"/>
        </w:rPr>
      </w:pPr>
      <w:r>
        <w:rPr>
          <w:rFonts w:ascii="宋体" w:hAnsi="宋体" w:cs="宋体"/>
          <w:sz w:val="24"/>
          <w:highlight w:val="white"/>
          <w:lang w:eastAsia="zh-CN"/>
        </w:rPr>
        <w:t>（14）相关法律法规以及监管部门有强制规定的，从其规定。如有新增事项，按国家最新规定估值。</w:t>
      </w:r>
    </w:p>
    <w:p w:rsidR="00132D73" w14:paraId="1FF87DEB" w14:textId="77777777">
      <w:pPr>
        <w:ind w:firstLine="480"/>
        <w:rPr>
          <w:lang w:eastAsia="zh-CN"/>
        </w:rPr>
      </w:pPr>
      <w:r>
        <w:rPr>
          <w:rFonts w:ascii="宋体" w:hAnsi="宋体" w:cs="宋体"/>
          <w:sz w:val="24"/>
          <w:highlight w:val="white"/>
          <w:lang w:eastAsia="zh-CN"/>
        </w:rPr>
        <w:t>如基金管理人或基金托管人发现基金估值违反基金合同订明的估值方法、程序及相关法律法规的规定或者未能充分维护基金份额持有人利益时，应立即通知对方，共同查明原因，双方协商解决。</w:t>
      </w:r>
    </w:p>
    <w:p w:rsidR="00132D73" w14:paraId="1B0353ED" w14:textId="77777777">
      <w:pPr>
        <w:ind w:firstLine="480"/>
        <w:rPr>
          <w:lang w:eastAsia="zh-CN"/>
        </w:rPr>
      </w:pPr>
      <w:r>
        <w:rPr>
          <w:rFonts w:ascii="宋体" w:hAnsi="宋体" w:cs="宋体"/>
          <w:sz w:val="24"/>
          <w:highlight w:val="white"/>
          <w:lang w:eastAsia="zh-CN"/>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基金管理人向基金托管人出具书面说明后，按照基金管理人对基金资产净值的计算结果对外予以公布。</w:t>
      </w:r>
    </w:p>
    <w:p w:rsidR="00132D73" w14:paraId="69B75D5F" w14:textId="77777777">
      <w:pPr>
        <w:ind w:firstLine="480"/>
        <w:rPr>
          <w:rStyle w:val="read"/>
          <w:rFonts w:ascii="宋体" w:hAnsi="宋体" w:cs="宋体" w:hint="eastAsia"/>
          <w:lang w:eastAsia="zh-CN"/>
        </w:rPr>
      </w:pPr>
      <w:r>
        <w:rPr>
          <w:rStyle w:val="read"/>
          <w:rFonts w:ascii="宋体" w:hAnsi="宋体" w:cs="宋体" w:hint="eastAsia"/>
          <w:sz w:val="24"/>
          <w:highlight w:val="white"/>
          <w:lang w:eastAsia="zh-CN"/>
        </w:rPr>
        <w:t>3.特殊情形的处理</w:t>
      </w:r>
    </w:p>
    <w:p w:rsidR="00132D73" w14:paraId="3A860125" w14:textId="77777777">
      <w:pPr>
        <w:snapToGrid w:val="0"/>
        <w:ind w:firstLine="480"/>
        <w:rPr>
          <w:rStyle w:val="read"/>
          <w:rFonts w:ascii="宋体" w:hAnsi="宋体" w:cs="宋体" w:hint="eastAsia"/>
          <w:sz w:val="24"/>
          <w:lang w:eastAsia="zh-CN"/>
        </w:rPr>
      </w:pPr>
      <w:r>
        <w:rPr>
          <w:rStyle w:val="read"/>
          <w:rFonts w:ascii="宋体" w:hAnsi="宋体" w:cs="宋体" w:hint="eastAsia"/>
          <w:sz w:val="24"/>
          <w:highlight w:val="white"/>
          <w:lang w:eastAsia="zh-CN"/>
        </w:rPr>
        <w:t>基金管理人、基金托管人按估值方法的第(12)项进行估值时，所造成的误差不作为基金份额净值错误处理。</w:t>
      </w:r>
    </w:p>
    <w:p w:rsidR="00132D73" w14:paraId="41E6B70B" w14:textId="77777777">
      <w:pPr>
        <w:snapToGrid w:val="0"/>
        <w:ind w:firstLine="480"/>
        <w:rPr>
          <w:rStyle w:val="read"/>
          <w:rFonts w:ascii="宋体" w:hAnsi="宋体" w:cs="宋体" w:hint="eastAsia"/>
          <w:sz w:val="24"/>
          <w:lang w:eastAsia="zh-CN"/>
        </w:rPr>
      </w:pPr>
      <w:r>
        <w:rPr>
          <w:rStyle w:val="read"/>
          <w:rFonts w:ascii="宋体" w:hAnsi="宋体" w:cs="宋体" w:hint="eastAsia"/>
          <w:sz w:val="24"/>
          <w:highlight w:val="white"/>
          <w:lang w:eastAsia="zh-CN"/>
        </w:rPr>
        <w:t>（三）基金份额净值错误的处理方式</w:t>
      </w:r>
    </w:p>
    <w:p w:rsidR="00132D73" w14:paraId="4B08E93A" w14:textId="77777777">
      <w:pPr>
        <w:snapToGrid w:val="0"/>
        <w:ind w:firstLine="480"/>
        <w:rPr>
          <w:rStyle w:val="read"/>
          <w:rFonts w:ascii="宋体" w:hAnsi="宋体" w:cs="宋体" w:hint="eastAsia"/>
          <w:sz w:val="24"/>
          <w:lang w:eastAsia="zh-CN"/>
        </w:rPr>
      </w:pPr>
      <w:r>
        <w:rPr>
          <w:rStyle w:val="read"/>
          <w:rFonts w:ascii="宋体" w:hAnsi="宋体" w:cs="宋体" w:hint="eastAsia"/>
          <w:sz w:val="24"/>
          <w:highlight w:val="white"/>
          <w:lang w:eastAsia="zh-CN"/>
        </w:rPr>
        <w:t>1.当基金份额净值小数点后4位以内(含第4位)发生差错时，视为基金份额净值错误；基金份额净值出现错误时，基金管理人应当立即予以纠正，通报基金托管人，并采取合理的措施防止</w:t>
      </w:r>
      <w:r>
        <w:rPr>
          <w:rStyle w:val="read"/>
          <w:rFonts w:ascii="宋体" w:hAnsi="宋体" w:cs="宋体"/>
          <w:sz w:val="24"/>
          <w:highlight w:val="white"/>
          <w:lang w:eastAsia="zh-CN"/>
        </w:rPr>
        <w:t>损失进一步扩大；错误偏差达到基金份额净值的0.25%时，基金管理人应当通报基金托管人并报中国证监会备案；错误偏差达到基金份额净值的0.5%时，基金管理人应当公告，并报中国证监会备案</w:t>
      </w:r>
      <w:r>
        <w:rPr>
          <w:rStyle w:val="read"/>
          <w:rFonts w:ascii="宋体" w:hAnsi="宋体" w:cs="宋体" w:hint="eastAsia"/>
          <w:sz w:val="24"/>
          <w:highlight w:val="white"/>
          <w:lang w:eastAsia="zh-CN"/>
        </w:rPr>
        <w:t>；当发生净值计算错误时，由基金管理人负责处理，由此给基金份额持有人和基金造</w:t>
      </w:r>
      <w:r>
        <w:rPr>
          <w:rStyle w:val="read"/>
          <w:rFonts w:ascii="宋体" w:hAnsi="宋体" w:cs="宋体"/>
          <w:sz w:val="24"/>
          <w:highlight w:val="white"/>
          <w:lang w:eastAsia="zh-CN"/>
        </w:rPr>
        <w:t>成损失的，应由基金管理人先行赔付，基金管理人按差错情形，有权向其他当事人追偿。</w:t>
      </w:r>
    </w:p>
    <w:p w:rsidR="00132D73" w14:paraId="2FE833CF" w14:textId="77777777">
      <w:pPr>
        <w:snapToGrid w:val="0"/>
        <w:ind w:firstLine="480"/>
        <w:rPr>
          <w:rStyle w:val="read"/>
          <w:rFonts w:ascii="宋体" w:hAnsi="宋体" w:cs="宋体" w:hint="eastAsia"/>
          <w:sz w:val="24"/>
          <w:lang w:eastAsia="zh-CN"/>
        </w:rPr>
      </w:pPr>
      <w:r>
        <w:rPr>
          <w:rStyle w:val="read"/>
          <w:rFonts w:ascii="宋体" w:hAnsi="宋体" w:cs="宋体" w:hint="eastAsia"/>
          <w:sz w:val="24"/>
          <w:highlight w:val="white"/>
          <w:lang w:eastAsia="zh-CN"/>
        </w:rPr>
        <w:t>2.当基金份额净值计算差错给基金和基金份额持有人造成损失需要进行赔偿时，基金管理人和基金托管人应根据实际情况界定双方承担的责任，经确认后按以下条款进行赔偿：</w:t>
      </w:r>
    </w:p>
    <w:p w:rsidR="00132D73" w14:paraId="7A184897" w14:textId="77777777">
      <w:pPr>
        <w:snapToGrid w:val="0"/>
        <w:ind w:firstLine="480"/>
        <w:rPr>
          <w:rFonts w:ascii="宋体" w:hAnsi="宋体" w:cs="宋体" w:hint="eastAsia"/>
          <w:lang w:eastAsia="zh-CN"/>
        </w:rPr>
      </w:pPr>
      <w:r>
        <w:rPr>
          <w:rStyle w:val="read"/>
          <w:rFonts w:ascii="宋体" w:hAnsi="宋体" w:cs="宋体" w:hint="eastAsia"/>
          <w:sz w:val="24"/>
          <w:highlight w:val="white"/>
          <w:lang w:eastAsia="zh-CN"/>
        </w:rPr>
        <w:t>(1)本基金的基金会计责任方由基金管理人担任，与本基金有关的会计问题，如经双方在平等基础上充分讨论后，尚不能达成一致时，按基金管理人的建议执行，由此给基金份额持有人和基金财产造成的</w:t>
      </w:r>
      <w:r>
        <w:rPr>
          <w:rFonts w:ascii="宋体" w:hAnsi="宋体" w:cs="宋体" w:hint="eastAsia"/>
          <w:sz w:val="24"/>
          <w:highlight w:val="white"/>
          <w:lang w:eastAsia="zh-CN"/>
        </w:rPr>
        <w:t>损失，由基金管理人负责赔付。</w:t>
      </w:r>
    </w:p>
    <w:p w:rsidR="00132D73" w14:paraId="10A5B222"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(2)</w:t>
      </w:r>
      <w:r>
        <w:rPr>
          <w:rFonts w:ascii="宋体" w:hAnsi="宋体" w:cs="宋体" w:hint="eastAsia"/>
          <w:sz w:val="24"/>
          <w:highlight w:val="white"/>
          <w:lang w:eastAsia="zh-CN"/>
        </w:rPr>
        <w:t>若基金</w:t>
      </w:r>
      <w:r>
        <w:rPr>
          <w:rFonts w:ascii="宋体" w:hAnsi="宋体" w:cs="宋体" w:hint="eastAsia"/>
          <w:sz w:val="24"/>
          <w:highlight w:val="white"/>
          <w:lang w:eastAsia="zh-CN"/>
        </w:rPr>
        <w:t>管理人计算的基金份额净值已由基金托管人复核确认后公告，而且基金托管人未对计算过程提出疑义或要求基金管理人书面说明，基金份额净值出错且造成基金份额持有人损失的，应根据法律法规的规定对投资者或基金支付赔偿金，就实际向投资者或基金支付的赔偿金额，基金管理人与基金托管人按照管理费和托管费的比例各自承担相应的责任。</w:t>
      </w:r>
    </w:p>
    <w:p w:rsidR="00132D73" w14:paraId="3FAF7DC5"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(3)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rsidR="00132D73" w14:paraId="4A78C9FB"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(4)由于基金管理人提供的信息错误，进而导致基金份额净值计算错误而引起的基金份额持有人和基金财产的损失，由基金管理人负责赔付。</w:t>
      </w:r>
    </w:p>
    <w:p w:rsidR="00132D73" w14:paraId="16E96CBD"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3.由于不可抗力，或证券交易所、登记结算机构、指数编制机构及存款银行等第三方机构发送的数据错误，或国家会计政策变更、市场规则变更等非基金管理人与基金托管人原因，基金管理人和基金托管人虽然已经采取必要、适当、合理的措施进行检查，但未能发现错误或因前述原因无法及时更正的，由此造成的基金资产估值错误，基金管理人和基金托管人免除赔偿责任。但基金管理人、基金托管人应当积极采取必要的措施消除或减轻由此造成的影响。</w:t>
      </w:r>
    </w:p>
    <w:p w:rsidR="00132D73" w14:paraId="13FD5E3D"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4.基金管理人和基金托管人由于各自技术系统设置而产生的净值计算尾差，以基金管理人计算结果为准。</w:t>
      </w:r>
    </w:p>
    <w:p w:rsidR="00132D73" w14:paraId="7A14F9E3"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5.前述内容如法律法规或者监管部门另有规定的，从其规定。如果行业另有通行做法，双方当事人应本着平等和保护基金份额持有人利益的原则进行协商。</w:t>
      </w:r>
    </w:p>
    <w:p w:rsidR="00132D73" w14:paraId="11C36E5B"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（四）暂停估值与公告基金份额净值的情形</w:t>
      </w:r>
    </w:p>
    <w:p w:rsidR="00132D73" w14:paraId="116D5A53"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1.基金投资所涉及的证券交易市场遇法定节假日或因其他原因暂停营业时；</w:t>
      </w:r>
    </w:p>
    <w:p w:rsidR="00132D73" w14:paraId="2B2EDDA6"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2.因不可抗力或其他情形致使基金管理人、基金托管人无法准确评估基金资产价值时；</w:t>
      </w:r>
    </w:p>
    <w:p w:rsidR="00132D73" w14:paraId="3FF9E553"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3.当前一估值日基金资产净值50%以上的资产出现无可参考的活跃市场价格且采用估值技术仍导致公允价值存在重大不确定性时，经与基金托管人协商确认后，基金管理人应当暂停估值；</w:t>
      </w:r>
    </w:p>
    <w:p w:rsidR="00132D73" w14:paraId="70DF6795"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4.法律法规规定、中国证监会和基金合同认定的其它情形。</w:t>
      </w:r>
    </w:p>
    <w:p w:rsidR="00132D73" w14:paraId="4595B571"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（五）基金会计制度</w:t>
      </w:r>
    </w:p>
    <w:p w:rsidR="00132D73" w14:paraId="1B5E82B3"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按国家有关部门规定的会计制度执行。</w:t>
      </w:r>
    </w:p>
    <w:p w:rsidR="00132D73" w14:paraId="13C8CDEB"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（六）基金账册的建立</w:t>
      </w:r>
    </w:p>
    <w:p w:rsidR="00132D73" w14:paraId="19906F63"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基金管理人进行基金会计核算并编制基金财务会计报告。基金管理人和基金托管人独立地设置、记录和保管本基金的全套账册。</w:t>
      </w:r>
      <w:r>
        <w:rPr>
          <w:rFonts w:ascii="宋体" w:hAnsi="宋体" w:cs="宋体" w:hint="eastAsia"/>
          <w:sz w:val="24"/>
          <w:highlight w:val="white"/>
          <w:lang w:eastAsia="zh-CN"/>
        </w:rPr>
        <w:t>若基金</w:t>
      </w:r>
      <w:r>
        <w:rPr>
          <w:rFonts w:ascii="宋体" w:hAnsi="宋体" w:cs="宋体" w:hint="eastAsia"/>
          <w:sz w:val="24"/>
          <w:highlight w:val="white"/>
          <w:lang w:eastAsia="zh-CN"/>
        </w:rPr>
        <w:t>管理人和基金托管人对会计处理方法存在分歧，应以基金管理人的处理方法为准。若当日核对不符，暂时无法查找到错账的原因而影响到基金净值信息的计算和公告的，以基金管理人的账册为准。</w:t>
      </w:r>
    </w:p>
    <w:p w:rsidR="00132D73" w14:paraId="550DF996"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（七）基金财务报表与报告的编制和复核</w:t>
      </w:r>
    </w:p>
    <w:p w:rsidR="00132D73" w14:paraId="142CDA6B"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1.财务报表的编制</w:t>
      </w:r>
    </w:p>
    <w:p w:rsidR="00132D73" w14:paraId="17C3F611"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基金财务报表由基金管理人编制，基金托管人复核。</w:t>
      </w:r>
    </w:p>
    <w:p w:rsidR="00132D73" w14:paraId="53C3B0AF"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2.报表复核</w:t>
      </w:r>
    </w:p>
    <w:p w:rsidR="00132D73" w14:paraId="155E007E"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基金托管人在收到基金管理人编制的基金财务报表后，进行独立的复核。核对不符时，应及时通知基金管理人共同查出原因，进行调整，直至双方数据完全一致。</w:t>
      </w:r>
    </w:p>
    <w:p w:rsidR="00132D73" w14:paraId="5245B039"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3.财务报表的编制与复核时间安排</w:t>
      </w:r>
    </w:p>
    <w:p w:rsidR="00132D73" w14:paraId="56865B5D"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(1)报表的编制</w:t>
      </w:r>
    </w:p>
    <w:p w:rsidR="00132D73" w14:paraId="7B6BE4C2"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基金管理人应当在每月结束后5个工作日内完成月度报表的编制；在每个季度结束之日起15个工作日内完成基金季度报告的编制；在上半年结束之日起2个月内完成基金中期报告的编制；在每年结束之日起3个月内完成基金年度报告的编制。基金年度报告的财务会计报告应当经过符合《证券法》规定的会计师事务所审计。《基金合同》生效不足两个月的，基金管理人可以不编制当期季度报告、中期报告或者年度报告。</w:t>
      </w:r>
    </w:p>
    <w:p w:rsidR="00132D73" w14:paraId="7533EED8" w14:textId="77777777">
      <w:pPr>
        <w:pStyle w:val="NormalIndent"/>
        <w:snapToGrid w:val="0"/>
        <w:ind w:firstLine="480"/>
        <w:rPr>
          <w:rFonts w:ascii="宋体" w:hAnsi="宋体" w:cs="宋体" w:hint="eastAsia"/>
          <w:sz w:val="24"/>
          <w:lang w:eastAsia="zh-CN"/>
        </w:rPr>
      </w:pPr>
      <w:r>
        <w:rPr>
          <w:rFonts w:ascii="宋体" w:hAnsi="宋体" w:cs="宋体" w:hint="eastAsia"/>
          <w:sz w:val="24"/>
          <w:highlight w:val="white"/>
          <w:lang w:eastAsia="zh-CN"/>
        </w:rPr>
        <w:t>(2)报表的复核</w:t>
      </w:r>
    </w:p>
    <w:p w:rsidR="00132D73" w14:paraId="645EC4C9" w14:textId="77777777">
      <w:pPr>
        <w:pStyle w:val="NormalIndent"/>
        <w:snapToGrid w:val="0"/>
        <w:ind w:firstLine="480"/>
        <w:rPr>
          <w:rFonts w:ascii="宋体" w:hAnsi="宋体" w:cs="宋体" w:hint="eastAsia"/>
          <w:sz w:val="24"/>
          <w:lang w:eastAsia="zh-CN"/>
        </w:rPr>
      </w:pPr>
      <w:r>
        <w:rPr>
          <w:rFonts w:ascii="宋体" w:hAnsi="宋体" w:cs="宋体" w:hint="eastAsia"/>
          <w:sz w:val="24"/>
          <w:highlight w:val="white"/>
          <w:lang w:eastAsia="zh-CN"/>
        </w:rPr>
        <w:t>基金管理人应及时完成报表编制，将有关报表提供基金托管人复核；基金托管人在复核过程中，发现双方的报表存在不符时，基金管理人和基金托管人应共同查明原因，进行调整，调整以国家有关规定为准。</w:t>
      </w:r>
    </w:p>
    <w:p w:rsidR="00132D73" w14:paraId="22B037A6" w14:textId="77777777">
      <w:pPr>
        <w:pStyle w:val="NormalIndent"/>
        <w:snapToGrid w:val="0"/>
        <w:ind w:firstLine="480"/>
        <w:rPr>
          <w:rFonts w:ascii="宋体" w:hAnsi="宋体" w:cs="宋体" w:hint="eastAsia"/>
          <w:sz w:val="24"/>
          <w:lang w:eastAsia="zh-CN"/>
        </w:rPr>
      </w:pPr>
      <w:r>
        <w:rPr>
          <w:rFonts w:ascii="宋体" w:hAnsi="宋体" w:cs="宋体" w:hint="eastAsia"/>
          <w:sz w:val="24"/>
          <w:highlight w:val="white"/>
          <w:lang w:eastAsia="zh-CN"/>
        </w:rPr>
        <w:t>基金管理人应留足充分的时间，便于基金托管人复核相关报表及报告。如果基金管理人与基金托管人不能</w:t>
      </w:r>
      <w:r>
        <w:rPr>
          <w:rFonts w:ascii="宋体" w:hAnsi="宋体" w:cs="宋体" w:hint="eastAsia"/>
          <w:sz w:val="24"/>
          <w:highlight w:val="white"/>
          <w:lang w:eastAsia="zh-CN"/>
        </w:rPr>
        <w:t>于应当</w:t>
      </w:r>
      <w:r>
        <w:rPr>
          <w:rFonts w:ascii="宋体" w:hAnsi="宋体" w:cs="宋体" w:hint="eastAsia"/>
          <w:sz w:val="24"/>
          <w:highlight w:val="white"/>
          <w:lang w:eastAsia="zh-CN"/>
        </w:rPr>
        <w:t>发布公告之日之前就相关报表达成一致，基金管理人按照其编制的报表对外发布公告，基金托管人有权就相关情况报中国证监会备案。</w:t>
      </w:r>
    </w:p>
    <w:p w:rsidR="00132D73" w14:paraId="5D53B2F8" w14:textId="77777777">
      <w:pPr>
        <w:pStyle w:val="NormalIndent"/>
        <w:snapToGrid w:val="0"/>
        <w:ind w:firstLine="480"/>
        <w:rPr>
          <w:rFonts w:ascii="宋体" w:hAnsi="宋体" w:cs="宋体" w:hint="eastAsia"/>
          <w:sz w:val="24"/>
          <w:lang w:eastAsia="zh-CN"/>
        </w:rPr>
      </w:pPr>
      <w:r>
        <w:rPr>
          <w:rFonts w:ascii="宋体" w:hAnsi="宋体" w:cs="宋体" w:hint="eastAsia"/>
          <w:sz w:val="24"/>
          <w:highlight w:val="white"/>
          <w:lang w:eastAsia="zh-CN"/>
        </w:rPr>
        <w:t>（八）基金管理人应在编制季度报告、中期报告或者年度报告之前及时向基金托管人提供基金业绩比较基准的基础数据和编制结果。</w:t>
      </w:r>
    </w:p>
    <w:p w:rsidR="00132D73" w14:paraId="6F05C1DC" w14:textId="77777777">
      <w:pPr>
        <w:pStyle w:val="NormalIndent"/>
        <w:snapToGrid w:val="0"/>
        <w:ind w:firstLine="480"/>
        <w:rPr>
          <w:rFonts w:ascii="宋体" w:hAnsi="宋体" w:cs="宋体" w:hint="eastAsia"/>
          <w:sz w:val="24"/>
          <w:lang w:eastAsia="zh-CN"/>
        </w:rPr>
      </w:pPr>
      <w:r>
        <w:rPr>
          <w:rFonts w:ascii="宋体" w:hAnsi="宋体" w:cs="宋体"/>
          <w:sz w:val="24"/>
          <w:highlight w:val="white"/>
          <w:lang w:eastAsia="zh-CN"/>
        </w:rPr>
        <w:tab/>
      </w:r>
    </w:p>
    <w:p w:rsidR="00132D73" w14:paraId="4AEB1918" w14:textId="77777777">
      <w:pPr>
        <w:pStyle w:val="21"/>
        <w:jc w:val="center"/>
        <w:rPr>
          <w:rFonts w:ascii="宋体" w:eastAsia="宋体" w:hAnsi="宋体" w:cs="宋体" w:hint="eastAsia"/>
          <w:sz w:val="30"/>
          <w:lang w:eastAsia="zh-CN"/>
        </w:rPr>
      </w:pPr>
      <w:bookmarkStart w:id="86" w:name="_Toc68875911"/>
      <w:r>
        <w:rPr>
          <w:rFonts w:ascii="宋体" w:eastAsia="宋体" w:hAnsi="宋体" w:cs="宋体" w:hint="eastAsia"/>
          <w:sz w:val="30"/>
          <w:highlight w:val="white"/>
          <w:lang w:eastAsia="zh-CN"/>
        </w:rPr>
        <w:t>九、基金收益分配</w:t>
      </w:r>
      <w:bookmarkEnd w:id="86"/>
    </w:p>
    <w:p w:rsidR="00132D73" w14:paraId="382E9772"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（一）基金收益分配的原则</w:t>
      </w:r>
    </w:p>
    <w:p w:rsidR="00132D73" w14:paraId="6E74AF34"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基金收益分配应遵循下列原则：</w:t>
      </w:r>
    </w:p>
    <w:p w:rsidR="00132D73" w14:paraId="0D723FFA"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1.本基金收益分配方式采用现金分红；</w:t>
      </w:r>
    </w:p>
    <w:p w:rsidR="00132D73" w14:paraId="730D0474"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2.每一基金份额享有同等分配权；</w:t>
      </w:r>
    </w:p>
    <w:p w:rsidR="00132D73" w14:paraId="5570BD8A"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3.在符合以下有关基金分红条件的情形下，基金管理人可以根据实际情况进行收益分配，具体分配方案以届时的公告为准：</w:t>
      </w:r>
    </w:p>
    <w:p w:rsidR="00132D73" w14:paraId="61244A72"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（1）本基金可每季度对基金相对业绩比较基准的超额收益率以及基金的可供分配利润进行评价，收益</w:t>
      </w:r>
      <w:r>
        <w:rPr>
          <w:rFonts w:ascii="宋体" w:hAnsi="宋体" w:cs="宋体" w:hint="eastAsia"/>
          <w:sz w:val="24"/>
          <w:highlight w:val="white"/>
          <w:lang w:eastAsia="zh-CN"/>
        </w:rPr>
        <w:t>评价日核定</w:t>
      </w:r>
      <w:r>
        <w:rPr>
          <w:rFonts w:ascii="宋体" w:hAnsi="宋体" w:cs="宋体" w:hint="eastAsia"/>
          <w:sz w:val="24"/>
          <w:highlight w:val="white"/>
          <w:lang w:eastAsia="zh-CN"/>
        </w:rPr>
        <w:t>的基金累计报酬率超过业绩比较基准同期累计报酬</w:t>
      </w:r>
      <w:r>
        <w:rPr>
          <w:rFonts w:ascii="宋体" w:hAnsi="宋体" w:cs="宋体" w:hint="eastAsia"/>
          <w:sz w:val="24"/>
          <w:highlight w:val="white"/>
          <w:lang w:eastAsia="zh-CN"/>
        </w:rPr>
        <w:t>率或者</w:t>
      </w:r>
      <w:r>
        <w:rPr>
          <w:rFonts w:ascii="宋体" w:hAnsi="宋体" w:cs="宋体" w:hint="eastAsia"/>
          <w:sz w:val="24"/>
          <w:highlight w:val="white"/>
          <w:lang w:eastAsia="zh-CN"/>
        </w:rPr>
        <w:t>基金可供分配利润金额大于0元时，基金管理人可进行收益分配，累计报酬率计算方式详见招募说明书；若《基金合同》生效不满3个月可不进行收益分配；</w:t>
      </w:r>
    </w:p>
    <w:p w:rsidR="00132D73" w14:paraId="4848E628"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2）当基金收益分配根据基金相对业绩比较基准的超额收益率决定时，基于本基金的特点，本基金收益分配无需以弥补亏损为前提，收益分配后基金份额净值有可能低于面值；当基金收益分配根据基金可供分配利润金额决定时，本基金收益分配后基金份额净值不能低于面值，即基金收益分配基准日的基金份额净值减去每单位基金份额收益分配金额后不能低于面值；</w:t>
      </w:r>
    </w:p>
    <w:p w:rsidR="00132D73" w14:paraId="2FB27834" w14:textId="77777777">
      <w:pPr>
        <w:ind w:firstLine="480"/>
        <w:rPr>
          <w:lang w:eastAsia="zh-CN"/>
        </w:rPr>
      </w:pPr>
      <w:r>
        <w:rPr>
          <w:rFonts w:ascii="宋体" w:hAnsi="宋体" w:cs="宋体" w:hint="eastAsia"/>
          <w:sz w:val="24"/>
          <w:highlight w:val="white"/>
          <w:lang w:eastAsia="zh-CN"/>
        </w:rPr>
        <w:t xml:space="preserve">4.在符合上述基金分红条件的前提下，本基金可每季度进行1次收益分配； </w:t>
      </w:r>
    </w:p>
    <w:p w:rsidR="00132D73" w14:paraId="6CBA3D67" w14:textId="77777777">
      <w:pPr>
        <w:ind w:firstLine="480"/>
        <w:rPr>
          <w:lang w:eastAsia="zh-CN"/>
        </w:rPr>
      </w:pPr>
      <w:r>
        <w:rPr>
          <w:rFonts w:ascii="宋体" w:hAnsi="宋体" w:cs="宋体" w:hint="eastAsia"/>
          <w:sz w:val="24"/>
          <w:highlight w:val="white"/>
          <w:lang w:eastAsia="zh-CN"/>
        </w:rPr>
        <w:t>5.本基金可以根据实际情况在其他日期进行收益评价，在符合上述有关基金分红条件的情形下，本基金可进行收益分配；</w:t>
      </w:r>
    </w:p>
    <w:p w:rsidR="00132D73" w14:paraId="3FD28271"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6.在对基金份额持有人利益无实质不利影响的前提下，基金管理人经与基金托管人协商一致并履行适当程序后，可调整基金收益的分配原则；</w:t>
      </w:r>
    </w:p>
    <w:p w:rsidR="00132D73" w14:paraId="09E303CB"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7.法律法规或监管机关另有规定的，从其规定。证券交易所或基金登记结算机构对收益分配另有规定的，从其规定。</w:t>
      </w:r>
    </w:p>
    <w:p w:rsidR="00132D73" w14:paraId="651534F2"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（二）基金收益分配的时间和程序</w:t>
      </w:r>
    </w:p>
    <w:p w:rsidR="00132D73" w14:paraId="799D1C93"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本基金收益分配方案由基金管理人拟定，并由基金托管人复核，在2日内在规定媒介公告。基金收益分配方案公告后(依据具体方案的规定)，基金管理人就支付的现金红利向基金托管人发送划款指令，基金托管人按照基金管理人的指令及时进行分红资金的划付。</w:t>
      </w:r>
    </w:p>
    <w:p w:rsidR="00132D73" w14:paraId="1B5E2C7D"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基金收益分配时所发生的银行转账或其他手续费用由投资者自行承担。</w:t>
      </w:r>
    </w:p>
    <w:p w:rsidR="00132D73" w14:paraId="06DD7F45" w14:textId="77777777">
      <w:pPr>
        <w:snapToGrid w:val="0"/>
        <w:ind w:firstLine="480"/>
        <w:rPr>
          <w:rFonts w:ascii="宋体" w:hAnsi="宋体" w:cs="宋体" w:hint="eastAsia"/>
          <w:sz w:val="24"/>
          <w:lang w:eastAsia="zh-CN"/>
        </w:rPr>
      </w:pPr>
    </w:p>
    <w:p w:rsidR="00132D73" w14:paraId="7A6834F5" w14:textId="77777777">
      <w:pPr>
        <w:snapToGrid w:val="0"/>
        <w:ind w:firstLine="480"/>
        <w:rPr>
          <w:rFonts w:ascii="宋体" w:hAnsi="宋体" w:cs="宋体" w:hint="eastAsia"/>
          <w:sz w:val="24"/>
          <w:lang w:eastAsia="zh-CN"/>
        </w:rPr>
      </w:pPr>
    </w:p>
    <w:p w:rsidR="00132D73" w14:paraId="0AC4925E" w14:textId="77777777">
      <w:pPr>
        <w:snapToGrid w:val="0"/>
        <w:rPr>
          <w:rFonts w:ascii="宋体" w:hAnsi="宋体" w:cs="宋体" w:hint="eastAsia"/>
          <w:sz w:val="24"/>
          <w:lang w:eastAsia="zh-CN"/>
        </w:rPr>
      </w:pPr>
    </w:p>
    <w:p w:rsidR="00132D73" w14:paraId="322FE143" w14:textId="77777777">
      <w:pPr>
        <w:pStyle w:val="21"/>
        <w:jc w:val="center"/>
        <w:rPr>
          <w:rFonts w:ascii="宋体" w:eastAsia="宋体" w:hAnsi="宋体" w:cs="宋体" w:hint="eastAsia"/>
          <w:sz w:val="30"/>
          <w:lang w:eastAsia="zh-CN"/>
        </w:rPr>
      </w:pPr>
      <w:bookmarkStart w:id="87" w:name="_Toc68875912"/>
      <w:r>
        <w:rPr>
          <w:rFonts w:ascii="宋体" w:eastAsia="宋体" w:hAnsi="宋体" w:cs="宋体" w:hint="eastAsia"/>
          <w:sz w:val="30"/>
          <w:highlight w:val="white"/>
          <w:lang w:eastAsia="zh-CN"/>
        </w:rPr>
        <w:t>十、基金信息披露</w:t>
      </w:r>
      <w:bookmarkEnd w:id="87"/>
    </w:p>
    <w:p w:rsidR="00132D73" w14:paraId="71E19B42"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（一）保密义务</w:t>
      </w:r>
    </w:p>
    <w:p w:rsidR="00132D73" w14:paraId="770E1D99"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基金托管人和基金管理人应按法律法规、《基金合同》的有关规定进行信息披露，拟公开披露的信息在公开披露之前应予保密。除按《基金法》、《基金合同》、《信息披露办法》、《流动性风险管理规定》及其他有关规定进行信息披露外，基金管理人和基金托管人对基金运作中产生的信息以及从对方获得的业务信息应予保密。但是，如下情况不应视为基金管理人或基金托管人违反保密义务：</w:t>
      </w:r>
    </w:p>
    <w:p w:rsidR="00132D73" w14:paraId="739262B3"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1.非因基金管理人和基金托管人的原因导致保密信息被披露、泄露或公开；</w:t>
      </w:r>
    </w:p>
    <w:p w:rsidR="00132D73" w14:paraId="51E1716D"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2.基金管理人和基金托管人为遵守和服从法院判决或裁定、仲裁裁决或中国证监会等监管机构的命令、决定所做出的信息披露或公开。</w:t>
      </w:r>
    </w:p>
    <w:p w:rsidR="00132D73" w14:paraId="50C93AF0"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（二）信息披露的内容</w:t>
      </w:r>
    </w:p>
    <w:p w:rsidR="00132D73" w14:paraId="52E6E8F2"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基金的信息披露内容主要包括基金招募说明书、《基金合同》、托管协议、基金产品资料概要、基金份额发售公告、基金募集情况、《基金合同》生效公告、基金份额折算日公告、基金份额折算结果公告、基金份额上市交易公告书、基金净值信息、基金份额申购、赎回对价、基金份额申购赎回清单公告、基金定期报告（包括基金年度报告、基金中期报告和基金季度报告）、临时报告、澄清公告、清算报告、基金份额持有人大会决议、</w:t>
      </w:r>
      <w:r>
        <w:rPr>
          <w:rFonts w:ascii="宋体" w:hAnsi="宋体" w:cs="宋体"/>
          <w:sz w:val="24"/>
          <w:highlight w:val="white"/>
          <w:lang w:eastAsia="zh-CN"/>
        </w:rPr>
        <w:t>中国证监会规定的</w:t>
      </w:r>
      <w:r>
        <w:rPr>
          <w:rFonts w:ascii="宋体" w:hAnsi="宋体" w:cs="宋体" w:hint="eastAsia"/>
          <w:sz w:val="24"/>
          <w:highlight w:val="white"/>
          <w:lang w:eastAsia="zh-CN"/>
        </w:rPr>
        <w:t>其他信息。基金年度报告中的财务会计报告需</w:t>
      </w:r>
      <w:r>
        <w:rPr>
          <w:rFonts w:ascii="宋体" w:hAnsi="宋体" w:cs="宋体" w:hint="eastAsia"/>
          <w:sz w:val="24"/>
          <w:highlight w:val="white"/>
          <w:lang w:eastAsia="zh-CN"/>
        </w:rPr>
        <w:t>经符合</w:t>
      </w:r>
      <w:r>
        <w:rPr>
          <w:rFonts w:ascii="宋体" w:hAnsi="宋体" w:cs="宋体" w:hint="eastAsia"/>
          <w:sz w:val="24"/>
          <w:highlight w:val="white"/>
          <w:lang w:eastAsia="zh-CN"/>
        </w:rPr>
        <w:t>《证券法》规定的会计师事务所审计后，方可披露。</w:t>
      </w:r>
    </w:p>
    <w:p w:rsidR="00132D73" w14:paraId="7F836AFF"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（三）基金托管人和基金管理人在信息披露中的职责和信息披露程序</w:t>
      </w:r>
    </w:p>
    <w:p w:rsidR="00132D73" w14:paraId="6FACA5BB"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1.职责</w:t>
      </w:r>
    </w:p>
    <w:p w:rsidR="00132D73" w14:paraId="4D5EE2C1"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基金托管人和基金管理人在信息披露过程中应以保护基金份额持有人利益为宗旨，诚实信用，严守秘密。基金管理人负责办理与基金有关的信息披露事宜，基金托管人应当按照相关法律法规和《基金合同》的约定，对于上一款规定的应由基金托管人复核的事项进行复核，基金托管人复核无误后，由基金管理人予以公布。基金管理人在信息披露时，应说明基金托管人所复核的数据和信息。对于基金托管人复核结果与基金管理人无法达成一致的，基金管理人应按照有关法律法规进行信息披露。</w:t>
      </w:r>
    </w:p>
    <w:p w:rsidR="00132D73" w14:paraId="4C2DEEA3"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对于不需要基金托管人复核的信息，基金管理人在公告前应告知基金托管人。</w:t>
      </w:r>
    </w:p>
    <w:p w:rsidR="00132D73" w14:paraId="1928CBF8"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基金管理人和基金托管人应积极配合、互相监督，保证其履行按照法定方式和限时披露的义务。</w:t>
      </w:r>
    </w:p>
    <w:p w:rsidR="00132D73" w14:paraId="4D259A05"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基金管理人、基金托管人应当在中国证监会规定的时间内，将应予披露的基金信息通过规定媒介披露。</w:t>
      </w:r>
    </w:p>
    <w:p w:rsidR="00132D73" w14:paraId="3692A31C"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当出现下述情况时，基金管理人和基金托管人可暂停或延迟披露基金相关信息：</w:t>
      </w:r>
    </w:p>
    <w:p w:rsidR="00132D73" w14:paraId="3288353A"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(1)不可抗力；</w:t>
      </w:r>
    </w:p>
    <w:p w:rsidR="00132D73" w14:paraId="2E6EB38F"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(2)基金投资所涉及的证券交易市场遇法定节假日或因其他原因暂停营业时；</w:t>
      </w:r>
    </w:p>
    <w:p w:rsidR="00132D73" w14:paraId="67EB4558"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(3)出现基金管理人认为属于会导致基金管理人不能出售或评估基金资产的紧急事故的任何情况；</w:t>
      </w:r>
    </w:p>
    <w:p w:rsidR="00132D73" w14:paraId="47D03D59"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(4)法律法规、《基金合同》或中国证监会规定的情况。</w:t>
      </w:r>
    </w:p>
    <w:p w:rsidR="00132D73" w14:paraId="1ACE6D41"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2.程序</w:t>
      </w:r>
    </w:p>
    <w:p w:rsidR="00132D73" w14:paraId="7C421BFE"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按有关规定须经基金托管人复核的信息披露文件，由基金管理人起草、并经基金托管人复核后由基金管理人公告。发生《基金合同》中规定需要披露的事项时，按《基金合同》规定公布。</w:t>
      </w:r>
    </w:p>
    <w:p w:rsidR="00132D73" w14:paraId="0F38E71F"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3.信息文本的存放</w:t>
      </w:r>
    </w:p>
    <w:p w:rsidR="00132D73" w14:paraId="15074FE1"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予以披露的信息文本，存放在基金管理人/基金托管人办公场所，投资者可以免费查阅。在支付工本费后可在合理时间获得上述文件的复制件或复印件。基金管理人和基金托管人应保证文本的内容与所公告的内容完全一致。</w:t>
      </w:r>
    </w:p>
    <w:p w:rsidR="00132D73" w14:paraId="54902661"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相关法律法规关于信息披露的规定发生变化时，本基金从其最新规定。</w:t>
      </w:r>
    </w:p>
    <w:p w:rsidR="00132D73" w14:paraId="391D478E"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（四）法律法规或监管部门对适用于本基金的信息披露另有规定的，从其规定。如规定发生变化的，从其最新规定。</w:t>
      </w:r>
    </w:p>
    <w:p w:rsidR="00132D73" w14:paraId="334EF724" w14:textId="77777777">
      <w:pPr>
        <w:pStyle w:val="NormalIndent"/>
        <w:ind w:firstLine="0"/>
        <w:rPr>
          <w:rFonts w:ascii="宋体" w:hAnsi="宋体" w:cs="宋体" w:hint="eastAsia"/>
          <w:sz w:val="24"/>
          <w:lang w:eastAsia="zh-CN"/>
        </w:rPr>
      </w:pPr>
    </w:p>
    <w:p w:rsidR="00132D73" w14:paraId="776BF0C6" w14:textId="77777777">
      <w:pPr>
        <w:pStyle w:val="21"/>
        <w:jc w:val="center"/>
        <w:rPr>
          <w:rFonts w:ascii="宋体" w:eastAsia="宋体" w:hAnsi="宋体" w:cs="宋体" w:hint="eastAsia"/>
          <w:sz w:val="30"/>
          <w:lang w:eastAsia="zh-CN"/>
        </w:rPr>
      </w:pPr>
      <w:bookmarkStart w:id="88" w:name="_Toc68875913"/>
      <w:r>
        <w:rPr>
          <w:rFonts w:ascii="宋体" w:eastAsia="宋体" w:hAnsi="宋体" w:cs="宋体" w:hint="eastAsia"/>
          <w:sz w:val="30"/>
          <w:highlight w:val="white"/>
          <w:lang w:eastAsia="zh-CN"/>
        </w:rPr>
        <w:t>十一、基金费用</w:t>
      </w:r>
      <w:bookmarkEnd w:id="88"/>
    </w:p>
    <w:p w:rsidR="00132D73" w14:paraId="0300CDD3"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（一）基金管理费的计提比例和计提方法</w:t>
      </w:r>
    </w:p>
    <w:p w:rsidR="00132D73" w14:paraId="50E4CEB9"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本基金的管理费按前一日基金资产净值的0.15%年费率计提。管理费的计算方法如下：</w:t>
      </w:r>
    </w:p>
    <w:p w:rsidR="00132D73" w14:paraId="74DB7C74"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H＝E×0.15%÷当年天数</w:t>
      </w:r>
    </w:p>
    <w:p w:rsidR="00132D73" w14:paraId="2342588A"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H为每日应计提的基金管理费</w:t>
      </w:r>
    </w:p>
    <w:p w:rsidR="00132D73" w14:paraId="434B7D46"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E为前一日的基金资产净值</w:t>
      </w:r>
    </w:p>
    <w:p w:rsidR="00132D73" w14:paraId="4211C9C9"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（二）基金托管费的计提比例和计提方法</w:t>
      </w:r>
    </w:p>
    <w:p w:rsidR="00132D73" w14:paraId="3F76F850"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本基金的托管费按前一日基金资产净值的0.05%年费率计提。托管费的计算方法如下：</w:t>
      </w:r>
    </w:p>
    <w:p w:rsidR="00132D73" w14:paraId="5220FC2A"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H＝E×0.05%÷当年天数</w:t>
      </w:r>
    </w:p>
    <w:p w:rsidR="00132D73" w14:paraId="5676AEB3"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H为每日应计提的基金托管费</w:t>
      </w:r>
    </w:p>
    <w:p w:rsidR="00132D73" w14:paraId="2218E1E5"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E为前一日的基金资产净值</w:t>
      </w:r>
    </w:p>
    <w:p w:rsidR="00132D73" w14:paraId="2F9ED201"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三）基金上市初费及年费、登记结算费用、IOPV计算与发布费用、基金相关账户开户费用、证券/期货交易费用、基金的银行汇划费用、银行账户维护费用、收益分配中发生的费用、《基金合同》生效后与基金相关的信息披露费用（但法律法规、中国证监会另有规定的除外）、基金份额持有人大会费用、《基金合同》生效后与基金有关的会计师费、律师费、诉讼费和仲裁费等根据有关法律法规、《基金合同》及相应协议的规定，列入当期基金费用。</w:t>
      </w:r>
    </w:p>
    <w:p w:rsidR="00132D73" w14:paraId="7AEB3299"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（四）不列入基金费用的项目</w:t>
      </w:r>
    </w:p>
    <w:p w:rsidR="00132D73" w14:paraId="2C01074D"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基金合同》生效前的律师费、会计师费和信息披露费用不得从基金财产中列支；基金管理人和基金托管人因未履行或未完全履行义务导致的费用支出或基金财产的损失，处理与基金运作无关的事项发生的费用，标的指数许可使用费及其他根据相关法律法规及中国证监会的有关规定不得列入基金费用的项目等不列入基金费用。</w:t>
      </w:r>
    </w:p>
    <w:p w:rsidR="00132D73" w14:paraId="3E81E838"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（五）基金管理费、基金托管费的复核程序、支付方式和时间</w:t>
      </w:r>
    </w:p>
    <w:p w:rsidR="00132D73" w14:paraId="18B67E9E"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1.复核程序</w:t>
      </w:r>
    </w:p>
    <w:p w:rsidR="00132D73" w14:paraId="2C2437CF"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基金托管人对基金管理人计提的基金管理费、基金托管费等，根据本托管协议和《基金合同》的有关规定进行复核。</w:t>
      </w:r>
    </w:p>
    <w:p w:rsidR="00132D73" w14:paraId="047DD3D3"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2.支付方式和时间</w:t>
      </w:r>
    </w:p>
    <w:p w:rsidR="00132D73" w14:paraId="6A33EE09"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基金管理费、基金托管费</w:t>
      </w:r>
      <w:r>
        <w:rPr>
          <w:rFonts w:ascii="宋体" w:hAnsi="宋体" w:cs="宋体"/>
          <w:sz w:val="24"/>
          <w:highlight w:val="white"/>
          <w:lang w:eastAsia="zh-CN"/>
        </w:rPr>
        <w:t>每日计提，逐日累</w:t>
      </w:r>
      <w:r>
        <w:rPr>
          <w:rFonts w:ascii="宋体" w:hAnsi="宋体" w:cs="宋体" w:hint="eastAsia"/>
          <w:sz w:val="24"/>
          <w:highlight w:val="white"/>
          <w:lang w:eastAsia="zh-CN"/>
        </w:rPr>
        <w:t>计至每月月末，</w:t>
      </w:r>
      <w:r>
        <w:rPr>
          <w:rFonts w:ascii="宋体" w:hAnsi="宋体" w:cs="宋体"/>
          <w:sz w:val="24"/>
          <w:highlight w:val="white"/>
          <w:lang w:eastAsia="zh-CN"/>
        </w:rPr>
        <w:t>按月支付，由基金托管人根据与基金管理人核对一致的财务数据，自动在次月前5个工作日内、按照指定的账户路径进行资金支付，基金管理人无需再出具资金划拨指令。若遇法定节假日、公休日等，支付日期顺延。</w:t>
      </w:r>
      <w:r>
        <w:rPr>
          <w:rFonts w:ascii="宋体" w:hAnsi="宋体" w:cs="宋体" w:hint="eastAsia"/>
          <w:sz w:val="24"/>
          <w:highlight w:val="white"/>
          <w:lang w:eastAsia="zh-CN"/>
        </w:rPr>
        <w:t>费用自动扣划后，基金管理人应进行核对，如发现数据不符，及时联系基金托管人协商解决。</w:t>
      </w:r>
    </w:p>
    <w:p w:rsidR="00132D73" w14:paraId="653FCBCC"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在首期支付基金管理费前，基金管理人应向基金托管人出具正式函件指定基金管理费的收款账户。基金管理人如需要</w:t>
      </w:r>
      <w:r>
        <w:rPr>
          <w:rFonts w:ascii="宋体" w:hAnsi="宋体" w:cs="宋体" w:hint="eastAsia"/>
          <w:sz w:val="24"/>
          <w:highlight w:val="white"/>
          <w:lang w:eastAsia="zh-CN"/>
        </w:rPr>
        <w:t>变更此</w:t>
      </w:r>
      <w:r>
        <w:rPr>
          <w:rFonts w:ascii="宋体" w:hAnsi="宋体" w:cs="宋体" w:hint="eastAsia"/>
          <w:sz w:val="24"/>
          <w:highlight w:val="white"/>
          <w:lang w:eastAsia="zh-CN"/>
        </w:rPr>
        <w:t>账户，应提前5个工作日向基金托管人出具书面的收款账户变更通知。</w:t>
      </w:r>
    </w:p>
    <w:p w:rsidR="00132D73" w14:paraId="5B7A4CF7" w14:textId="77777777">
      <w:pPr>
        <w:ind w:firstLine="480"/>
        <w:rPr>
          <w:rFonts w:ascii="宋体" w:hAnsi="宋体" w:cs="宋体" w:hint="eastAsia"/>
          <w:sz w:val="24"/>
          <w:lang w:eastAsia="zh-CN"/>
        </w:rPr>
      </w:pPr>
      <w:r>
        <w:rPr>
          <w:rFonts w:ascii="宋体" w:hAnsi="宋体" w:cs="宋体" w:hint="eastAsia"/>
          <w:sz w:val="24"/>
          <w:highlight w:val="white"/>
          <w:lang w:eastAsia="zh-CN"/>
        </w:rPr>
        <w:t>（六）违规处理方式</w:t>
      </w:r>
    </w:p>
    <w:p w:rsidR="00132D73" w14:paraId="7DE7833B"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基金托管人发现基金管理人违反《基金法》、《基金合同》、《运作办法》及其他有关规定从基金财产中列支费用时，基金托管人可要求基金管理人予以说明解释，如基金管理人无正当理由，基金托管人可拒绝支付。</w:t>
      </w:r>
    </w:p>
    <w:p w:rsidR="00132D73" w14:paraId="35A27707" w14:textId="77777777">
      <w:pPr>
        <w:snapToGrid w:val="0"/>
        <w:ind w:firstLine="480"/>
        <w:rPr>
          <w:rFonts w:ascii="宋体" w:hAnsi="宋体" w:cs="宋体" w:hint="eastAsia"/>
          <w:sz w:val="24"/>
          <w:lang w:eastAsia="zh-CN"/>
        </w:rPr>
      </w:pPr>
    </w:p>
    <w:p w:rsidR="00132D73" w14:paraId="34BD267A" w14:textId="77777777">
      <w:pPr>
        <w:snapToGrid w:val="0"/>
        <w:rPr>
          <w:rFonts w:ascii="宋体" w:hAnsi="宋体" w:cs="宋体" w:hint="eastAsia"/>
          <w:sz w:val="24"/>
          <w:lang w:eastAsia="zh-CN"/>
        </w:rPr>
      </w:pPr>
    </w:p>
    <w:p w:rsidR="00132D73" w14:paraId="5779F57A" w14:textId="77777777">
      <w:pPr>
        <w:pStyle w:val="21"/>
        <w:jc w:val="center"/>
        <w:rPr>
          <w:rFonts w:ascii="宋体" w:eastAsia="宋体" w:hAnsi="宋体" w:cs="宋体" w:hint="eastAsia"/>
          <w:sz w:val="30"/>
          <w:lang w:eastAsia="zh-CN"/>
        </w:rPr>
      </w:pPr>
      <w:bookmarkStart w:id="89" w:name="_Toc68875914"/>
      <w:r>
        <w:rPr>
          <w:rFonts w:ascii="宋体" w:eastAsia="宋体" w:hAnsi="宋体" w:cs="宋体" w:hint="eastAsia"/>
          <w:sz w:val="30"/>
          <w:highlight w:val="white"/>
          <w:lang w:eastAsia="zh-CN"/>
        </w:rPr>
        <w:t>十二、基金份额持有人名册的保管</w:t>
      </w:r>
      <w:bookmarkEnd w:id="89"/>
    </w:p>
    <w:p w:rsidR="00132D73" w14:paraId="7CCB3D61"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基金份额持有人名册至少应包括基金份额持有人的名称和持有的基金份额。基金份额持有人名册由登记结算机构根据基金管理人的指令编制和保管，基金管理人和基金托管人应分别保管基金份额持有人名册，</w:t>
      </w:r>
      <w:r>
        <w:rPr>
          <w:rFonts w:ascii="宋体" w:hAnsi="宋体" w:cs="宋体"/>
          <w:color w:val="000000"/>
          <w:sz w:val="24"/>
          <w:highlight w:val="white"/>
          <w:lang w:eastAsia="zh-CN"/>
        </w:rPr>
        <w:t>保存期限按照法律法规的规定执行</w:t>
      </w:r>
      <w:r>
        <w:rPr>
          <w:rFonts w:ascii="宋体" w:hAnsi="宋体" w:cs="宋体" w:hint="eastAsia"/>
          <w:sz w:val="24"/>
          <w:highlight w:val="white"/>
          <w:lang w:eastAsia="zh-CN"/>
        </w:rPr>
        <w:t>。如不能妥善保管，则按相关法规承担责任。</w:t>
      </w:r>
    </w:p>
    <w:p w:rsidR="00132D73" w14:paraId="1BFEC04E" w14:textId="77777777">
      <w:pPr>
        <w:snapToGrid w:val="0"/>
        <w:ind w:firstLine="480"/>
        <w:rPr>
          <w:rFonts w:ascii="宋体" w:hAnsi="宋体" w:cs="宋体" w:hint="eastAsia"/>
          <w:sz w:val="24"/>
          <w:lang w:eastAsia="zh-CN"/>
        </w:rPr>
      </w:pPr>
      <w:r>
        <w:rPr>
          <w:rFonts w:ascii="宋体" w:hAnsi="宋体" w:cs="宋体"/>
          <w:sz w:val="24"/>
          <w:highlight w:val="white"/>
          <w:lang w:eastAsia="zh-CN"/>
        </w:rPr>
        <w:t>在基金托管人要求或编制中期报告和年度报告前，基金管理人应将有关资料送交基金托管人，不得无故拒绝或延误提供，并保证其真实性、准确性和完整性。基金托管人不得将所保管的基金份额持有人名册用于基金托管业务以外的其他用途，并应遵守保密义务。</w:t>
      </w:r>
    </w:p>
    <w:p w:rsidR="00132D73" w14:paraId="172432CD" w14:textId="77777777">
      <w:pPr>
        <w:snapToGrid w:val="0"/>
        <w:ind w:firstLine="480"/>
        <w:rPr>
          <w:rFonts w:ascii="宋体" w:hAnsi="宋体" w:cs="宋体" w:hint="eastAsia"/>
          <w:sz w:val="24"/>
          <w:lang w:eastAsia="zh-CN"/>
        </w:rPr>
      </w:pPr>
    </w:p>
    <w:p w:rsidR="00132D73" w14:paraId="62BD9A5E" w14:textId="77777777">
      <w:pPr>
        <w:pStyle w:val="21"/>
        <w:jc w:val="center"/>
        <w:rPr>
          <w:rFonts w:ascii="宋体" w:eastAsia="宋体" w:hAnsi="宋体" w:cs="宋体" w:hint="eastAsia"/>
          <w:sz w:val="30"/>
          <w:lang w:eastAsia="zh-CN"/>
        </w:rPr>
      </w:pPr>
      <w:bookmarkStart w:id="90" w:name="_Toc68875915"/>
      <w:r>
        <w:rPr>
          <w:rFonts w:ascii="宋体" w:eastAsia="宋体" w:hAnsi="宋体" w:cs="宋体" w:hint="eastAsia"/>
          <w:sz w:val="30"/>
          <w:highlight w:val="white"/>
          <w:lang w:eastAsia="zh-CN"/>
        </w:rPr>
        <w:t>十三、基金有关文件档案的保存</w:t>
      </w:r>
      <w:bookmarkEnd w:id="90"/>
    </w:p>
    <w:p w:rsidR="00132D73" w14:paraId="1ED7F552"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（一）档案保存</w:t>
      </w:r>
    </w:p>
    <w:p w:rsidR="00132D73" w14:paraId="5DEB1737"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基金管理人应保存基金财产管理业务活动的记录、账册、报表和其他相关资料。基金托管人应保存基金托管业务活动的记录、账册、报表和其他相关资料。基金管理人和基金托管人都应当按法律法规规定的期限保管。</w:t>
      </w:r>
    </w:p>
    <w:p w:rsidR="00132D73" w14:paraId="1EE67D50"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（二）合同档案的建立</w:t>
      </w:r>
    </w:p>
    <w:p w:rsidR="00132D73" w14:paraId="0B6221DC"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1.基金管理人签署重大合同文本后，应及时将合同文本正本送达基金托管人处。</w:t>
      </w:r>
    </w:p>
    <w:p w:rsidR="00132D73" w14:paraId="4EB9A673"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2.基金管理人应及时将与本基金账务处理、资金划拨等有关的合同、协议传真基金托管人。</w:t>
      </w:r>
    </w:p>
    <w:p w:rsidR="00132D73" w14:paraId="43336617"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（三）变更与协助</w:t>
      </w:r>
    </w:p>
    <w:p w:rsidR="00132D73" w14:paraId="25E051CE"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若基金</w:t>
      </w:r>
      <w:r>
        <w:rPr>
          <w:rFonts w:ascii="宋体" w:hAnsi="宋体" w:cs="宋体" w:hint="eastAsia"/>
          <w:sz w:val="24"/>
          <w:highlight w:val="white"/>
          <w:lang w:eastAsia="zh-CN"/>
        </w:rPr>
        <w:t>管理人/基金托管人发生变更，未变更的一方有义务协助变更后的接任人接收相应文件。</w:t>
      </w:r>
    </w:p>
    <w:p w:rsidR="00132D73" w14:paraId="29AF1052" w14:textId="77777777">
      <w:pPr>
        <w:snapToGrid w:val="0"/>
        <w:rPr>
          <w:rFonts w:ascii="宋体" w:hAnsi="宋体" w:cs="宋体" w:hint="eastAsia"/>
          <w:sz w:val="30"/>
          <w:szCs w:val="30"/>
          <w:lang w:eastAsia="zh-CN"/>
        </w:rPr>
      </w:pPr>
    </w:p>
    <w:p w:rsidR="00132D73" w14:paraId="3C11F461" w14:textId="77777777">
      <w:pPr>
        <w:pStyle w:val="21"/>
        <w:jc w:val="center"/>
        <w:rPr>
          <w:rFonts w:ascii="宋体" w:eastAsia="宋体" w:hAnsi="宋体" w:cs="宋体" w:hint="eastAsia"/>
          <w:sz w:val="30"/>
          <w:lang w:eastAsia="zh-CN"/>
        </w:rPr>
      </w:pPr>
      <w:bookmarkStart w:id="91" w:name="_Toc68875916"/>
      <w:r>
        <w:rPr>
          <w:rFonts w:ascii="宋体" w:eastAsia="宋体" w:hAnsi="宋体" w:cs="宋体" w:hint="eastAsia"/>
          <w:sz w:val="30"/>
          <w:highlight w:val="white"/>
          <w:lang w:eastAsia="zh-CN"/>
        </w:rPr>
        <w:t>十四、基金管理人和基金托管人的更换</w:t>
      </w:r>
      <w:bookmarkEnd w:id="91"/>
    </w:p>
    <w:p w:rsidR="00132D73" w14:paraId="17D8F7DF"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（一）基金管理人职责终止的情形</w:t>
      </w:r>
    </w:p>
    <w:p w:rsidR="00132D73" w14:paraId="79A9D630"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1.基金管理人职责终止的情形</w:t>
      </w:r>
    </w:p>
    <w:p w:rsidR="00132D73" w14:paraId="038AE7C7"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有下列情形之一的，基金管理人职责终止：</w:t>
      </w:r>
    </w:p>
    <w:p w:rsidR="00132D73" w14:paraId="02EA65FC" w14:textId="77777777">
      <w:pPr>
        <w:ind w:firstLine="480"/>
        <w:rPr>
          <w:lang w:eastAsia="zh-CN"/>
        </w:rPr>
      </w:pPr>
      <w:r>
        <w:rPr>
          <w:rFonts w:ascii="宋体" w:hAnsi="宋体" w:cs="宋体"/>
          <w:sz w:val="24"/>
          <w:highlight w:val="white"/>
          <w:lang w:eastAsia="zh-CN"/>
        </w:rPr>
        <w:t>（1）被依法取消基金管理资格；</w:t>
      </w:r>
    </w:p>
    <w:p w:rsidR="00132D73" w14:paraId="755719DC" w14:textId="77777777">
      <w:pPr>
        <w:ind w:firstLine="480"/>
        <w:rPr>
          <w:lang w:eastAsia="zh-CN"/>
        </w:rPr>
      </w:pPr>
      <w:r>
        <w:rPr>
          <w:rFonts w:ascii="宋体" w:hAnsi="宋体" w:cs="宋体"/>
          <w:sz w:val="24"/>
          <w:highlight w:val="white"/>
          <w:lang w:eastAsia="zh-CN"/>
        </w:rPr>
        <w:t>（2）被基金份额持有人大会解任；</w:t>
      </w:r>
    </w:p>
    <w:p w:rsidR="00132D73" w14:paraId="2987F84C" w14:textId="77777777">
      <w:pPr>
        <w:ind w:firstLine="480"/>
        <w:rPr>
          <w:lang w:eastAsia="zh-CN"/>
        </w:rPr>
      </w:pPr>
      <w:r>
        <w:rPr>
          <w:rFonts w:ascii="宋体" w:hAnsi="宋体" w:cs="宋体"/>
          <w:sz w:val="24"/>
          <w:highlight w:val="white"/>
          <w:lang w:eastAsia="zh-CN"/>
        </w:rPr>
        <w:t>（3）依法解散、被依法撤销或被依法宣告破产；</w:t>
      </w:r>
    </w:p>
    <w:p w:rsidR="00132D73" w14:paraId="604D5140" w14:textId="77777777">
      <w:pPr>
        <w:ind w:firstLine="480"/>
        <w:rPr>
          <w:lang w:eastAsia="zh-CN"/>
        </w:rPr>
      </w:pPr>
      <w:r>
        <w:rPr>
          <w:rFonts w:ascii="宋体" w:hAnsi="宋体" w:cs="宋体"/>
          <w:sz w:val="24"/>
          <w:highlight w:val="white"/>
          <w:lang w:eastAsia="zh-CN"/>
        </w:rPr>
        <w:t>（4）法律法规及中国证监会规定的和《基金合同》约定的其他情形。</w:t>
      </w:r>
    </w:p>
    <w:p w:rsidR="00132D73" w14:paraId="1132F5B2" w14:textId="77777777">
      <w:pPr>
        <w:snapToGrid w:val="0"/>
        <w:ind w:firstLine="480"/>
        <w:rPr>
          <w:rFonts w:ascii="宋体" w:hAnsi="宋体" w:cs="宋体" w:hint="eastAsia"/>
          <w:sz w:val="24"/>
          <w:lang w:eastAsia="zh-CN"/>
        </w:rPr>
      </w:pPr>
    </w:p>
    <w:p w:rsidR="00132D73" w14:paraId="6B08614A"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2.基金管理人的更换程序</w:t>
      </w:r>
    </w:p>
    <w:p w:rsidR="00132D73" w14:paraId="3B89337E"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更换基金管理人必须依照如下程序进行：</w:t>
      </w:r>
    </w:p>
    <w:p w:rsidR="00132D73" w14:paraId="198939EC" w14:textId="77777777">
      <w:pPr>
        <w:ind w:firstLine="480"/>
        <w:rPr>
          <w:lang w:eastAsia="zh-CN"/>
        </w:rPr>
      </w:pPr>
      <w:r>
        <w:rPr>
          <w:rFonts w:ascii="宋体" w:hAnsi="宋体" w:cs="宋体"/>
          <w:sz w:val="24"/>
          <w:highlight w:val="white"/>
          <w:lang w:eastAsia="zh-CN"/>
        </w:rPr>
        <w:t>（1）提名：新任基金管理人由基金托管人或由单独或合计持有10%以上（含10%）基金份额的基金份额持有人提名；</w:t>
      </w:r>
    </w:p>
    <w:p w:rsidR="00132D73" w14:paraId="407FE1B6" w14:textId="77777777">
      <w:pPr>
        <w:ind w:firstLine="480"/>
        <w:rPr>
          <w:lang w:eastAsia="zh-CN"/>
        </w:rPr>
      </w:pPr>
      <w:r>
        <w:rPr>
          <w:rFonts w:ascii="宋体" w:hAnsi="宋体" w:cs="宋体"/>
          <w:sz w:val="24"/>
          <w:highlight w:val="white"/>
          <w:lang w:eastAsia="zh-CN"/>
        </w:rPr>
        <w:t>（2）决议：基金份额持有人大会在基金管理人职责终止后6个月内对被提名的基金管理人形成决议，该决议需经参加大会的基金份额持有人所持表决权的三分之二以上（含三分之二）表决通过，决议自表决通过之日起生效；</w:t>
      </w:r>
    </w:p>
    <w:p w:rsidR="00132D73" w14:paraId="0502C7D5" w14:textId="77777777">
      <w:pPr>
        <w:ind w:firstLine="480"/>
        <w:rPr>
          <w:lang w:eastAsia="zh-CN"/>
        </w:rPr>
      </w:pPr>
      <w:r>
        <w:rPr>
          <w:rFonts w:ascii="宋体" w:hAnsi="宋体" w:cs="宋体"/>
          <w:sz w:val="24"/>
          <w:highlight w:val="white"/>
          <w:lang w:eastAsia="zh-CN"/>
        </w:rPr>
        <w:t>（3）临时基金管理人：新任基金管理人产生之前，由中国证监会指定临时基金管理人；</w:t>
      </w:r>
    </w:p>
    <w:p w:rsidR="00132D73" w14:paraId="56B8D925" w14:textId="77777777">
      <w:pPr>
        <w:ind w:firstLine="480"/>
        <w:rPr>
          <w:lang w:eastAsia="zh-CN"/>
        </w:rPr>
      </w:pPr>
      <w:r>
        <w:rPr>
          <w:rFonts w:ascii="宋体" w:hAnsi="宋体" w:cs="宋体"/>
          <w:sz w:val="24"/>
          <w:highlight w:val="white"/>
          <w:lang w:eastAsia="zh-CN"/>
        </w:rPr>
        <w:t>（4）备案：基金份额持有人大会更换基金管理人的决议须报中国证监会备案；</w:t>
      </w:r>
    </w:p>
    <w:p w:rsidR="00132D73" w14:paraId="0C6F4513" w14:textId="77777777">
      <w:pPr>
        <w:ind w:firstLine="480"/>
        <w:rPr>
          <w:lang w:eastAsia="zh-CN"/>
        </w:rPr>
      </w:pPr>
      <w:r>
        <w:rPr>
          <w:rFonts w:ascii="宋体" w:hAnsi="宋体" w:cs="宋体"/>
          <w:sz w:val="24"/>
          <w:highlight w:val="white"/>
          <w:lang w:eastAsia="zh-CN"/>
        </w:rPr>
        <w:t>（5）公告：基金管理人更换后，由基金托管人在更换基金管理人的基金份额持有人大会决议生效后2日内在规定媒介公告；</w:t>
      </w:r>
    </w:p>
    <w:p w:rsidR="00132D73" w14:paraId="23B99B35" w14:textId="77777777">
      <w:pPr>
        <w:ind w:firstLine="480"/>
        <w:rPr>
          <w:lang w:eastAsia="zh-CN"/>
        </w:rPr>
      </w:pPr>
      <w:r>
        <w:rPr>
          <w:rFonts w:ascii="宋体" w:hAnsi="宋体" w:cs="宋体"/>
          <w:sz w:val="24"/>
          <w:highlight w:val="white"/>
          <w:lang w:eastAsia="zh-CN"/>
        </w:rPr>
        <w:t>（6）交接：基金管理人职责终止的，基金管理人应妥善保管基金管理业务资料，及时向临时基金管理人或新任基金管理人办理基金管理业务的移交手续，临时基金管理人或新任基金管理人应及时接收。</w:t>
      </w:r>
      <w:r>
        <w:rPr>
          <w:rFonts w:ascii="宋体" w:hAnsi="宋体" w:cs="宋体"/>
          <w:sz w:val="24"/>
          <w:highlight w:val="white"/>
          <w:lang w:eastAsia="zh-CN"/>
        </w:rPr>
        <w:t>新任基金</w:t>
      </w:r>
      <w:r>
        <w:rPr>
          <w:rFonts w:ascii="宋体" w:hAnsi="宋体" w:cs="宋体"/>
          <w:sz w:val="24"/>
          <w:highlight w:val="white"/>
          <w:lang w:eastAsia="zh-CN"/>
        </w:rPr>
        <w:t>管理人应与基金托管人核对基金资产总值；</w:t>
      </w:r>
    </w:p>
    <w:p w:rsidR="00132D73" w14:paraId="228407AA" w14:textId="77777777">
      <w:pPr>
        <w:ind w:firstLine="480"/>
        <w:rPr>
          <w:lang w:eastAsia="zh-CN"/>
        </w:rPr>
      </w:pPr>
      <w:r>
        <w:rPr>
          <w:rFonts w:ascii="宋体" w:hAnsi="宋体" w:cs="宋体"/>
          <w:sz w:val="24"/>
          <w:highlight w:val="white"/>
          <w:lang w:eastAsia="zh-CN"/>
        </w:rPr>
        <w:t>（7）审计：基金管理人职责终止的，应当按照法律法规规定聘请会计师事务所对基金财产进行审计，并将审计结果予以公告，同时报中国证监会备案。审计费用从基金财产中列支；</w:t>
      </w:r>
    </w:p>
    <w:p w:rsidR="00132D73" w14:paraId="3E26BC35" w14:textId="77777777">
      <w:pPr>
        <w:ind w:firstLine="480"/>
        <w:rPr>
          <w:lang w:eastAsia="zh-CN"/>
        </w:rPr>
      </w:pPr>
      <w:r>
        <w:rPr>
          <w:rFonts w:ascii="宋体" w:hAnsi="宋体" w:cs="宋体"/>
          <w:sz w:val="24"/>
          <w:highlight w:val="white"/>
          <w:lang w:eastAsia="zh-CN"/>
        </w:rPr>
        <w:t>（8）基金名称变更：基金管理人更换后，如果原任或新任基金管理人要求，应按其要求替换或删除基金名称中与原基金管理人有关的名称字样。</w:t>
      </w:r>
    </w:p>
    <w:p w:rsidR="00132D73" w14:paraId="6F0F009D" w14:textId="77777777">
      <w:pPr>
        <w:snapToGrid w:val="0"/>
        <w:ind w:firstLine="480"/>
        <w:rPr>
          <w:rFonts w:ascii="宋体" w:hAnsi="宋体" w:cs="宋体" w:hint="eastAsia"/>
          <w:sz w:val="24"/>
          <w:lang w:eastAsia="zh-CN"/>
        </w:rPr>
      </w:pPr>
    </w:p>
    <w:p w:rsidR="00132D73" w14:paraId="2D976C31"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（二）基金托管人职责终止的情形</w:t>
      </w:r>
    </w:p>
    <w:p w:rsidR="00132D73" w14:paraId="251E4FAC"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1.基金托管人职责终止的情形</w:t>
      </w:r>
    </w:p>
    <w:p w:rsidR="00132D73" w14:paraId="16E331FC"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有下列情形之一的，基金托管人职责终止：</w:t>
      </w:r>
    </w:p>
    <w:p w:rsidR="00132D73" w14:paraId="25014260" w14:textId="77777777">
      <w:pPr>
        <w:ind w:firstLine="480"/>
        <w:rPr>
          <w:lang w:eastAsia="zh-CN"/>
        </w:rPr>
      </w:pPr>
      <w:r>
        <w:rPr>
          <w:rFonts w:ascii="宋体" w:hAnsi="宋体" w:cs="宋体"/>
          <w:sz w:val="24"/>
          <w:highlight w:val="white"/>
          <w:lang w:eastAsia="zh-CN"/>
        </w:rPr>
        <w:t>（1）被依法取消基金托管资格；</w:t>
      </w:r>
    </w:p>
    <w:p w:rsidR="00132D73" w14:paraId="3C5C2EB2" w14:textId="77777777">
      <w:pPr>
        <w:ind w:firstLine="480"/>
        <w:rPr>
          <w:lang w:eastAsia="zh-CN"/>
        </w:rPr>
      </w:pPr>
      <w:r>
        <w:rPr>
          <w:rFonts w:ascii="宋体" w:hAnsi="宋体" w:cs="宋体"/>
          <w:sz w:val="24"/>
          <w:highlight w:val="white"/>
          <w:lang w:eastAsia="zh-CN"/>
        </w:rPr>
        <w:t>（2）被基金份额持有人大会解任；</w:t>
      </w:r>
    </w:p>
    <w:p w:rsidR="00132D73" w14:paraId="377849FE" w14:textId="77777777">
      <w:pPr>
        <w:ind w:firstLine="480"/>
        <w:rPr>
          <w:lang w:eastAsia="zh-CN"/>
        </w:rPr>
      </w:pPr>
      <w:r>
        <w:rPr>
          <w:rFonts w:ascii="宋体" w:hAnsi="宋体" w:cs="宋体"/>
          <w:sz w:val="24"/>
          <w:highlight w:val="white"/>
          <w:lang w:eastAsia="zh-CN"/>
        </w:rPr>
        <w:t>（3）依法解散、被依法撤销或被依法宣告破产；</w:t>
      </w:r>
    </w:p>
    <w:p w:rsidR="00132D73" w14:paraId="1CBB5B42" w14:textId="77777777">
      <w:pPr>
        <w:ind w:firstLine="480"/>
        <w:rPr>
          <w:lang w:eastAsia="zh-CN"/>
        </w:rPr>
      </w:pPr>
      <w:r>
        <w:rPr>
          <w:rFonts w:ascii="宋体" w:hAnsi="宋体" w:cs="宋体"/>
          <w:sz w:val="24"/>
          <w:highlight w:val="white"/>
          <w:lang w:eastAsia="zh-CN"/>
        </w:rPr>
        <w:t>（4）法律法规及中国证监会规定的和《基金合同》约定的其他情形。</w:t>
      </w:r>
    </w:p>
    <w:p w:rsidR="00132D73" w14:paraId="5AA8BF7A" w14:textId="77777777">
      <w:pPr>
        <w:snapToGrid w:val="0"/>
        <w:ind w:firstLine="480"/>
        <w:rPr>
          <w:rFonts w:ascii="宋体" w:hAnsi="宋体" w:cs="宋体" w:hint="eastAsia"/>
          <w:sz w:val="24"/>
          <w:lang w:eastAsia="zh-CN"/>
        </w:rPr>
      </w:pPr>
    </w:p>
    <w:p w:rsidR="00132D73" w14:paraId="16C6969F"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2.基金托管人的更换程序</w:t>
      </w:r>
    </w:p>
    <w:p w:rsidR="00132D73" w14:paraId="5B8D096F" w14:textId="77777777">
      <w:pPr>
        <w:ind w:firstLine="480"/>
        <w:rPr>
          <w:lang w:eastAsia="zh-CN"/>
        </w:rPr>
      </w:pPr>
      <w:r>
        <w:rPr>
          <w:rFonts w:ascii="宋体" w:hAnsi="宋体" w:cs="宋体"/>
          <w:sz w:val="24"/>
          <w:highlight w:val="white"/>
          <w:lang w:eastAsia="zh-CN"/>
        </w:rPr>
        <w:t>（1）提名：新任基金托管人由基金管理人或由单独或合计持有10%以上（含10%）基金份额的基金份额持有人提名；</w:t>
      </w:r>
    </w:p>
    <w:p w:rsidR="00132D73" w14:paraId="4CAFBF97" w14:textId="77777777">
      <w:pPr>
        <w:ind w:firstLine="480"/>
        <w:rPr>
          <w:lang w:eastAsia="zh-CN"/>
        </w:rPr>
      </w:pPr>
      <w:r>
        <w:rPr>
          <w:rFonts w:ascii="宋体" w:hAnsi="宋体" w:cs="宋体"/>
          <w:sz w:val="24"/>
          <w:highlight w:val="white"/>
          <w:lang w:eastAsia="zh-CN"/>
        </w:rPr>
        <w:t>（2）决议：基金份额持有人大会在基金托管人职责终止后6个月内对被提名的基金托管人形成决议，该决议需经参加大会的基金份额持有人所持表决权的三分之二以上（含三分之二）表决通过，决议自表决通过之日起生效；</w:t>
      </w:r>
    </w:p>
    <w:p w:rsidR="00132D73" w14:paraId="0D55DCA6" w14:textId="77777777">
      <w:pPr>
        <w:ind w:firstLine="480"/>
        <w:rPr>
          <w:lang w:eastAsia="zh-CN"/>
        </w:rPr>
      </w:pPr>
      <w:r>
        <w:rPr>
          <w:rFonts w:ascii="宋体" w:hAnsi="宋体" w:cs="宋体"/>
          <w:sz w:val="24"/>
          <w:highlight w:val="white"/>
          <w:lang w:eastAsia="zh-CN"/>
        </w:rPr>
        <w:t>（3）临时基金托管人：新任基金托管人产生之前，由中国证监会指定临时基金托管人；</w:t>
      </w:r>
    </w:p>
    <w:p w:rsidR="00132D73" w14:paraId="31FE8926" w14:textId="77777777">
      <w:pPr>
        <w:ind w:firstLine="480"/>
        <w:rPr>
          <w:lang w:eastAsia="zh-CN"/>
        </w:rPr>
      </w:pPr>
      <w:r>
        <w:rPr>
          <w:rFonts w:ascii="宋体" w:hAnsi="宋体" w:cs="宋体"/>
          <w:sz w:val="24"/>
          <w:highlight w:val="white"/>
          <w:lang w:eastAsia="zh-CN"/>
        </w:rPr>
        <w:t>（4）备案：基金份额持有人大会更换基金托管人的决议须报中国证监会备案；</w:t>
      </w:r>
    </w:p>
    <w:p w:rsidR="00132D73" w14:paraId="0CE03D2A" w14:textId="77777777">
      <w:pPr>
        <w:ind w:firstLine="480"/>
        <w:rPr>
          <w:lang w:eastAsia="zh-CN"/>
        </w:rPr>
      </w:pPr>
      <w:r>
        <w:rPr>
          <w:rFonts w:ascii="宋体" w:hAnsi="宋体" w:cs="宋体"/>
          <w:sz w:val="24"/>
          <w:highlight w:val="white"/>
          <w:lang w:eastAsia="zh-CN"/>
        </w:rPr>
        <w:t>（5）公告：基金托管人更换后，由基金管理人在更换基金托管人的基金份额持有人大会决议生效后2日内在规定媒介公告；</w:t>
      </w:r>
    </w:p>
    <w:p w:rsidR="00132D73" w14:paraId="11973D3E" w14:textId="77777777">
      <w:pPr>
        <w:ind w:firstLine="480"/>
        <w:rPr>
          <w:lang w:eastAsia="zh-CN"/>
        </w:rPr>
      </w:pPr>
      <w:r>
        <w:rPr>
          <w:rFonts w:ascii="宋体" w:hAnsi="宋体" w:cs="宋体"/>
          <w:sz w:val="24"/>
          <w:highlight w:val="white"/>
          <w:lang w:eastAsia="zh-CN"/>
        </w:rPr>
        <w:t>（6）交接：基金托管人职责终止的，应当妥善保管基金财产和基金托管业务资料，及时办理基金财产和基金托管业务的移交手续，新任基金托管人或者临时基金托管人应当及时接收。</w:t>
      </w:r>
      <w:r>
        <w:rPr>
          <w:rFonts w:ascii="宋体" w:hAnsi="宋体" w:cs="宋体"/>
          <w:sz w:val="24"/>
          <w:highlight w:val="white"/>
          <w:lang w:eastAsia="zh-CN"/>
        </w:rPr>
        <w:t>新任基金</w:t>
      </w:r>
      <w:r>
        <w:rPr>
          <w:rFonts w:ascii="宋体" w:hAnsi="宋体" w:cs="宋体"/>
          <w:sz w:val="24"/>
          <w:highlight w:val="white"/>
          <w:lang w:eastAsia="zh-CN"/>
        </w:rPr>
        <w:t>托管人与基金管理人核对基金资产总值；</w:t>
      </w:r>
    </w:p>
    <w:p w:rsidR="00132D73" w14:paraId="721523D9" w14:textId="77777777">
      <w:pPr>
        <w:ind w:firstLine="480"/>
        <w:rPr>
          <w:lang w:eastAsia="zh-CN"/>
        </w:rPr>
      </w:pPr>
      <w:r>
        <w:rPr>
          <w:rFonts w:ascii="宋体" w:hAnsi="宋体" w:cs="宋体"/>
          <w:sz w:val="24"/>
          <w:highlight w:val="white"/>
          <w:lang w:eastAsia="zh-CN"/>
        </w:rPr>
        <w:t>（7）审计：基金托管人职责终止的，应当按照法律法规规定聘请会计师事务所对基金财产进行审计，并将审计结果予以公告，同时报中国证监会备案。审计费用从基金财产中列支。</w:t>
      </w:r>
    </w:p>
    <w:p w:rsidR="00132D73" w14:paraId="300D421B"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（三）基金管理人与基金托管人同时更换的条件和程序</w:t>
      </w:r>
    </w:p>
    <w:p w:rsidR="00132D73" w14:paraId="07ADCC78" w14:textId="77777777">
      <w:pPr>
        <w:ind w:firstLine="480"/>
        <w:rPr>
          <w:lang w:eastAsia="zh-CN"/>
        </w:rPr>
      </w:pPr>
      <w:r>
        <w:rPr>
          <w:rFonts w:ascii="宋体" w:hAnsi="宋体" w:cs="宋体"/>
          <w:sz w:val="24"/>
          <w:highlight w:val="white"/>
          <w:lang w:eastAsia="zh-CN"/>
        </w:rPr>
        <w:t>1.提名：如果基金管理人和基金托管人同时更换，由单独或合计持有基金总份额10%以上（含10%）的基金份额持有人提名新的基金管理人和基金托管人；</w:t>
      </w:r>
    </w:p>
    <w:p w:rsidR="00132D73" w14:paraId="3189D616" w14:textId="77777777">
      <w:pPr>
        <w:ind w:firstLine="480"/>
        <w:rPr>
          <w:lang w:eastAsia="zh-CN"/>
        </w:rPr>
      </w:pPr>
      <w:r>
        <w:rPr>
          <w:rFonts w:ascii="宋体" w:hAnsi="宋体" w:cs="宋体"/>
          <w:sz w:val="24"/>
          <w:highlight w:val="white"/>
          <w:lang w:eastAsia="zh-CN"/>
        </w:rPr>
        <w:t>2.基金管理人和基金托管人的更换分别按上述程序进行；</w:t>
      </w:r>
    </w:p>
    <w:p w:rsidR="00132D73" w14:paraId="0FE6D034" w14:textId="77777777">
      <w:pPr>
        <w:ind w:firstLine="480"/>
        <w:rPr>
          <w:lang w:eastAsia="zh-CN"/>
        </w:rPr>
      </w:pPr>
      <w:r>
        <w:rPr>
          <w:rFonts w:ascii="宋体" w:hAnsi="宋体" w:cs="宋体"/>
          <w:sz w:val="24"/>
          <w:highlight w:val="white"/>
          <w:lang w:eastAsia="zh-CN"/>
        </w:rPr>
        <w:t>3.公告：新任基金管理人和新任基金托管人应在更换基金管理人和基金托管人的基金份额持有人大会决议生效后2日内在规定媒介上联合公告。</w:t>
      </w:r>
    </w:p>
    <w:p w:rsidR="00132D73" w14:paraId="24CE15F0"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（四）新任或临时基金管理人接收基金管理业务或新任或临时基金托管人接收基金财产和基金托管业务前，</w:t>
      </w:r>
      <w:r>
        <w:rPr>
          <w:rFonts w:ascii="宋体" w:hAnsi="宋体" w:cs="宋体" w:hint="eastAsia"/>
          <w:sz w:val="24"/>
          <w:highlight w:val="white"/>
          <w:lang w:eastAsia="zh-CN"/>
        </w:rPr>
        <w:t>原基金</w:t>
      </w:r>
      <w:r>
        <w:rPr>
          <w:rFonts w:ascii="宋体" w:hAnsi="宋体" w:cs="宋体" w:hint="eastAsia"/>
          <w:sz w:val="24"/>
          <w:highlight w:val="white"/>
          <w:lang w:eastAsia="zh-CN"/>
        </w:rPr>
        <w:t>管理人或</w:t>
      </w:r>
      <w:r>
        <w:rPr>
          <w:rFonts w:ascii="宋体" w:hAnsi="宋体" w:cs="宋体" w:hint="eastAsia"/>
          <w:sz w:val="24"/>
          <w:highlight w:val="white"/>
          <w:lang w:eastAsia="zh-CN"/>
        </w:rPr>
        <w:t>原基金</w:t>
      </w:r>
      <w:r>
        <w:rPr>
          <w:rFonts w:ascii="宋体" w:hAnsi="宋体" w:cs="宋体" w:hint="eastAsia"/>
          <w:sz w:val="24"/>
          <w:highlight w:val="white"/>
          <w:lang w:eastAsia="zh-CN"/>
        </w:rPr>
        <w:t>托管人应继续履行相关职责，并保证不做出对基金份额持有人的利益造成损害的行为。</w:t>
      </w:r>
    </w:p>
    <w:p w:rsidR="00132D73" w14:paraId="112C50C3" w14:textId="77777777">
      <w:pPr>
        <w:snapToGrid w:val="0"/>
        <w:rPr>
          <w:rFonts w:ascii="宋体" w:hAnsi="宋体" w:cs="宋体" w:hint="eastAsia"/>
          <w:sz w:val="24"/>
          <w:lang w:eastAsia="zh-CN"/>
        </w:rPr>
      </w:pPr>
    </w:p>
    <w:p w:rsidR="00132D73" w14:paraId="6C2301A2" w14:textId="77777777">
      <w:pPr>
        <w:pStyle w:val="21"/>
        <w:jc w:val="center"/>
        <w:rPr>
          <w:rFonts w:ascii="宋体" w:eastAsia="宋体" w:hAnsi="宋体" w:cs="宋体" w:hint="eastAsia"/>
          <w:sz w:val="30"/>
          <w:lang w:eastAsia="zh-CN"/>
        </w:rPr>
      </w:pPr>
      <w:bookmarkStart w:id="92" w:name="_Toc68875917"/>
      <w:r>
        <w:rPr>
          <w:rFonts w:ascii="宋体" w:eastAsia="宋体" w:hAnsi="宋体" w:cs="宋体" w:hint="eastAsia"/>
          <w:sz w:val="30"/>
          <w:highlight w:val="white"/>
          <w:lang w:eastAsia="zh-CN"/>
        </w:rPr>
        <w:t>十五、禁止行为</w:t>
      </w:r>
      <w:bookmarkEnd w:id="92"/>
    </w:p>
    <w:p w:rsidR="00132D73" w14:paraId="160297EB"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本协议当事人禁止从事的行为，包括但不限于：</w:t>
      </w:r>
    </w:p>
    <w:p w:rsidR="00132D73" w14:paraId="7C8AD3C8"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（一）基金管理人、基金托管人将其固有财产或者他人财产混同于基金财产从事证券投资。</w:t>
      </w:r>
    </w:p>
    <w:p w:rsidR="00132D73" w14:paraId="74EB8F72"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（二）基金管理人不公平地对待其管理的不同基金财产，基金托管人不公平地对待其托管的不同基金财产。</w:t>
      </w:r>
    </w:p>
    <w:p w:rsidR="00132D73" w14:paraId="0BEB08EB"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（三）基金管理人、基金托管人利用基金财产为基金份额持有人以外的第三人牟取利益。</w:t>
      </w:r>
    </w:p>
    <w:p w:rsidR="00132D73" w14:paraId="52C1E6A1"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（四）基金管理人、基金托管人向基金份额持有人违规承诺收益或者承担损失。</w:t>
      </w:r>
    </w:p>
    <w:p w:rsidR="00132D73" w14:paraId="73B97E5C"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（五）基金管理人、基金托管人对他人泄露基金运作和管理过程中任何尚未按法律法规规定的方式公开披露的信息。</w:t>
      </w:r>
    </w:p>
    <w:p w:rsidR="00132D73" w14:paraId="2E318164"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（六）基金管理人在没有充足资金的情况下向基金托管人发出投资指令和赎回、分红资金的划拨指令，或违规向基金托管人发出指令。</w:t>
      </w:r>
    </w:p>
    <w:p w:rsidR="00132D73" w14:paraId="3C3D9772"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（七）基金管理人、基金托管人在行政上、财务上不独立，其高级管理人员和其他从业人员相互兼职。</w:t>
      </w:r>
    </w:p>
    <w:p w:rsidR="00132D73" w14:paraId="21E7BA25"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（八）基金托管人私自动用或处分基金财产，根据基金管理人的合法指令、《基金合同》或托管协议的规定进行处分的除外。</w:t>
      </w:r>
    </w:p>
    <w:p w:rsidR="00132D73" w14:paraId="51DCED17"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（九）基金财产用于下列投资或者活动：</w:t>
      </w:r>
      <w:r>
        <w:rPr>
          <w:rFonts w:ascii="宋体" w:hAnsi="宋体" w:cs="宋体"/>
          <w:sz w:val="24"/>
          <w:highlight w:val="white"/>
          <w:lang w:eastAsia="zh-CN"/>
        </w:rPr>
        <w:t>（1）承销证券；（2）违反规定向他人贷款或者提供担保；（3）从事承担无限责任的投资；（4）向其基金管理人、基金托管人出资；（5）从事内幕交易、操纵证券交易价格及其他不正当的证券交易活动；（6）法律、行政法规和中国证监会规定禁止的其他活动。</w:t>
      </w:r>
      <w:r>
        <w:rPr>
          <w:rFonts w:ascii="宋体" w:hAnsi="宋体" w:cs="宋体" w:hint="eastAsia"/>
          <w:sz w:val="24"/>
          <w:highlight w:val="white"/>
          <w:lang w:eastAsia="zh-CN"/>
        </w:rPr>
        <w:t>法律法规或监管部门取消上述限制，则本基金投资不再受相关限制。</w:t>
      </w:r>
    </w:p>
    <w:p w:rsidR="00132D73" w14:paraId="2380686B"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（十）法律法规和《基金合同》禁止的其他行为，以及依照法律、行政法规有关规定，由中国证监会规定禁止基金管理人、基金托管人从事的其他行为。</w:t>
      </w:r>
    </w:p>
    <w:p w:rsidR="00132D73" w14:paraId="10329B47" w14:textId="77777777">
      <w:pPr>
        <w:snapToGrid w:val="0"/>
        <w:ind w:firstLine="480"/>
        <w:rPr>
          <w:rFonts w:ascii="宋体" w:hAnsi="宋体" w:cs="宋体" w:hint="eastAsia"/>
          <w:sz w:val="24"/>
          <w:lang w:eastAsia="zh-CN"/>
        </w:rPr>
      </w:pPr>
    </w:p>
    <w:p w:rsidR="00132D73" w14:paraId="007BB46F" w14:textId="77777777">
      <w:pPr>
        <w:pStyle w:val="21"/>
        <w:jc w:val="center"/>
        <w:rPr>
          <w:rFonts w:ascii="宋体" w:eastAsia="宋体" w:hAnsi="宋体" w:cs="宋体" w:hint="eastAsia"/>
          <w:sz w:val="30"/>
          <w:lang w:eastAsia="zh-CN"/>
        </w:rPr>
      </w:pPr>
      <w:bookmarkStart w:id="93" w:name="_Toc68875918"/>
      <w:r>
        <w:rPr>
          <w:rFonts w:ascii="宋体" w:eastAsia="宋体" w:hAnsi="宋体" w:cs="宋体" w:hint="eastAsia"/>
          <w:sz w:val="30"/>
          <w:highlight w:val="white"/>
          <w:lang w:eastAsia="zh-CN"/>
        </w:rPr>
        <w:t>十六、托管协议的变更、终止与基金财产的清算</w:t>
      </w:r>
      <w:bookmarkEnd w:id="93"/>
    </w:p>
    <w:p w:rsidR="00132D73" w14:paraId="24C5BE4C"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（一）托管协议的变更程序</w:t>
      </w:r>
    </w:p>
    <w:p w:rsidR="00132D73" w14:paraId="51223763"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本协议双方当事人经协商一致，可以对协议进行修改。修改后的新协议，其内容不得与《基金合同》的规定有任何冲突。</w:t>
      </w:r>
    </w:p>
    <w:p w:rsidR="00132D73" w14:paraId="28B3A4C6"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（二）托管协议终止的情形</w:t>
      </w:r>
    </w:p>
    <w:p w:rsidR="00132D73" w14:paraId="0EC50CF6"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1.《基金合同》终止；</w:t>
      </w:r>
    </w:p>
    <w:p w:rsidR="00132D73" w14:paraId="388EE25B"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2.基金托管人解散、依法被撤销、破产或由其他基金托管人接管基金资产；</w:t>
      </w:r>
    </w:p>
    <w:p w:rsidR="00132D73" w14:paraId="5C8E7E3F"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3.基金管理人解散、依法被撤销、破产或由其他基金管理人接管基金管理权；</w:t>
      </w:r>
    </w:p>
    <w:p w:rsidR="00132D73" w14:paraId="618E11C6"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4.发生法律法规、中国证监会或《基金合同》规定的终止事项。</w:t>
      </w:r>
    </w:p>
    <w:p w:rsidR="00132D73" w14:paraId="224CBF6F"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（三）基金财产的清算</w:t>
      </w:r>
    </w:p>
    <w:p w:rsidR="00132D73" w14:paraId="7558CB61"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1.基金财产清算小组：自出现《基金合同》终止事由之日起30个工作日内成立清算小组，基金管理人组织基金财产清算小组并在中国证监会的监督下进行基金清算。</w:t>
      </w:r>
    </w:p>
    <w:p w:rsidR="00132D73" w14:paraId="6A7F4212"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2.基金财产清算小组组成：基金财产清算小组成员由基金管理人、基金托管人、注册会计师、律师以及中国证监会指定的人员组成。基金财产清算小组可以聘用必要的工作人员。</w:t>
      </w:r>
    </w:p>
    <w:p w:rsidR="00132D73" w14:paraId="2F1693DE"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3.基金财产清算小组职责：基金财产清算小组负责基金财产的保管、清理、估价、变现和分配。基金财产清算小组可以依法进行必要的民事活动。</w:t>
      </w:r>
    </w:p>
    <w:p w:rsidR="00132D73" w14:paraId="103371A2"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4.基金财产清算程序：</w:t>
      </w:r>
    </w:p>
    <w:p w:rsidR="00132D73" w14:paraId="209B205B"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（1）《基金合同》终止情形出现时，由基金财产清算小组统一接管基金；</w:t>
      </w:r>
    </w:p>
    <w:p w:rsidR="00132D73" w14:paraId="7A3507FD"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（2）对基金财产和债权债务进行清理和确认；</w:t>
      </w:r>
    </w:p>
    <w:p w:rsidR="00132D73" w14:paraId="5F80794F"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（3）对基金财产进行估值和变现；</w:t>
      </w:r>
    </w:p>
    <w:p w:rsidR="00132D73" w14:paraId="5EBAA40A"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（4）制作清算报告；</w:t>
      </w:r>
    </w:p>
    <w:p w:rsidR="00132D73" w14:paraId="3933F364"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（5）聘请会计师事务所对清算报告进行外部审计，聘请律师事务所对清算报告出具法律意见书；</w:t>
      </w:r>
    </w:p>
    <w:p w:rsidR="00132D73" w14:paraId="190D226A"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（6）将清算报告报中国证监会备案并公告；</w:t>
      </w:r>
    </w:p>
    <w:p w:rsidR="00132D73" w14:paraId="27EE033E"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（7）对基金剩余财产进行分配。</w:t>
      </w:r>
    </w:p>
    <w:p w:rsidR="00132D73" w14:paraId="70FF26FB"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5.基金财产清算的期限为6个月，但因本基金所持证券的流动性受到限制而不能及时变现的，清算期限相应顺延。</w:t>
      </w:r>
    </w:p>
    <w:p w:rsidR="00132D73" w14:paraId="078753A3"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6.清算费用</w:t>
      </w:r>
    </w:p>
    <w:p w:rsidR="00132D73" w14:paraId="6DA04FC8"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清算费用是指基金财产清算小组在进行基金清算过程中发生的所有合理费用，清算费用由基金财产清算小组优先从基金财产中支付。</w:t>
      </w:r>
    </w:p>
    <w:p w:rsidR="00132D73" w14:paraId="3A219502"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7.基金财产清算剩余资产的分配</w:t>
      </w:r>
    </w:p>
    <w:p w:rsidR="00132D73" w14:paraId="355E3030"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依据基金财产清算的分配方案，将基金财产清算后的全部剩余资产扣除基金财产清算费用、交纳所欠税款并清偿基金债务后，按基金份额持有人持有的基金份额比例进行分配。</w:t>
      </w:r>
    </w:p>
    <w:p w:rsidR="00132D73" w14:paraId="796B7FB2"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8.基金财产清算的公告</w:t>
      </w:r>
    </w:p>
    <w:p w:rsidR="00132D73" w14:paraId="2C0EBCD6"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清算过程中的有关重大事项须及时公告；基金财产清算报告经符合《证券法》规定的会计师事务所审计并由律师事务所出具法律意见书后报中国证监会备案并公告。基金财产清算公告于基金财产清算报告报中国证监会备案后5个工作日内由基金财产清算小组进行公告。</w:t>
      </w:r>
    </w:p>
    <w:p w:rsidR="00132D73" w14:paraId="4C6F2A3E"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9.基金财产清算账册及文件的保存</w:t>
      </w:r>
    </w:p>
    <w:p w:rsidR="00132D73" w14:paraId="5FB477D2"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基金财产清算账册及有关文件由基金托管人保存，保存期限按照法律法规的规定执行。</w:t>
      </w:r>
    </w:p>
    <w:p w:rsidR="00132D73" w14:paraId="29659153" w14:textId="77777777">
      <w:pPr>
        <w:ind w:firstLine="480"/>
        <w:rPr>
          <w:rFonts w:ascii="宋体" w:hAnsi="宋体" w:cs="宋体" w:hint="eastAsia"/>
          <w:sz w:val="24"/>
          <w:lang w:eastAsia="zh-CN"/>
        </w:rPr>
      </w:pPr>
    </w:p>
    <w:p w:rsidR="00132D73" w14:paraId="3884F56B" w14:textId="77777777">
      <w:pPr>
        <w:ind w:firstLine="480"/>
        <w:rPr>
          <w:rFonts w:ascii="宋体" w:hAnsi="宋体" w:cs="宋体" w:hint="eastAsia"/>
          <w:sz w:val="24"/>
          <w:lang w:eastAsia="zh-CN"/>
        </w:rPr>
      </w:pPr>
    </w:p>
    <w:p w:rsidR="00132D73" w14:paraId="5FC7E2A9" w14:textId="77777777">
      <w:pPr>
        <w:ind w:firstLine="480"/>
        <w:rPr>
          <w:rFonts w:ascii="宋体" w:hAnsi="宋体" w:cs="宋体" w:hint="eastAsia"/>
          <w:sz w:val="24"/>
          <w:lang w:eastAsia="zh-CN"/>
        </w:rPr>
      </w:pPr>
    </w:p>
    <w:p w:rsidR="00132D73" w14:paraId="124F509A" w14:textId="77777777">
      <w:pPr>
        <w:snapToGrid w:val="0"/>
        <w:ind w:firstLine="480"/>
        <w:rPr>
          <w:rFonts w:ascii="宋体" w:hAnsi="宋体" w:cs="宋体" w:hint="eastAsia"/>
          <w:sz w:val="24"/>
          <w:lang w:eastAsia="zh-CN"/>
        </w:rPr>
      </w:pPr>
    </w:p>
    <w:p w:rsidR="00132D73" w14:paraId="07D3EA4F" w14:textId="77777777">
      <w:pPr>
        <w:pStyle w:val="21"/>
        <w:jc w:val="center"/>
        <w:rPr>
          <w:rFonts w:ascii="宋体" w:eastAsia="宋体" w:hAnsi="宋体" w:cs="宋体" w:hint="eastAsia"/>
          <w:sz w:val="30"/>
          <w:lang w:eastAsia="zh-CN"/>
        </w:rPr>
      </w:pPr>
      <w:bookmarkStart w:id="94" w:name="_Toc68875919"/>
      <w:r>
        <w:rPr>
          <w:rFonts w:ascii="宋体" w:eastAsia="宋体" w:hAnsi="宋体" w:cs="宋体" w:hint="eastAsia"/>
          <w:sz w:val="30"/>
          <w:highlight w:val="white"/>
          <w:lang w:eastAsia="zh-CN"/>
        </w:rPr>
        <w:t>十七、违约责任</w:t>
      </w:r>
      <w:bookmarkEnd w:id="94"/>
    </w:p>
    <w:p w:rsidR="00132D73" w14:paraId="67D07B50"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（一）基金管理人、基金托管人不履行本协议或履行本协议不符合约定的，应当承担违约责任。</w:t>
      </w:r>
    </w:p>
    <w:p w:rsidR="00132D73" w14:paraId="4417A91E"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二）基金管理人、基金托管人在履行各自职责的过程中，违反《基金法》或者《基金合同》和本托管协议约定，给基金财产或者基金份额持有人造成损害的，应当分别对各自的行为依法承担赔偿责任；因共同行为给基金财产或者基金份额持有人造成损害的，应当承担连带赔偿责任，对损失的赔偿，仅限于直接损失。</w:t>
      </w:r>
    </w:p>
    <w:p w:rsidR="00132D73" w14:paraId="5ABFC3CE"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三）一方当事人违约，给另一方当事人造成损失的，应就直接损失进行赔偿；给基金财产造成损失的，应就直接损失进行赔偿，另一方当事人有权利及义务代表基金向违约方追偿。但是如发生下列情况，当事人免责：</w:t>
      </w:r>
    </w:p>
    <w:p w:rsidR="00132D73" w14:paraId="09C7A2DC"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1.不可抗力；</w:t>
      </w:r>
    </w:p>
    <w:p w:rsidR="00132D73" w14:paraId="4ABF9069"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2.基金管理人和/或基金托管人按照当时有效的法律法规或中国证监会的规定作为或不作为而造成的损失等；</w:t>
      </w:r>
    </w:p>
    <w:p w:rsidR="00132D73" w14:paraId="3213F8B8"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3.在没有过错的情况下，基金管理人由于按照基金合同规定的投资原则投资或不投资造成的直接损失或潜在损失等；</w:t>
      </w:r>
    </w:p>
    <w:p w:rsidR="00132D73" w14:paraId="433965E3" w14:textId="77777777">
      <w:pPr>
        <w:snapToGrid w:val="0"/>
        <w:ind w:firstLine="480"/>
        <w:rPr>
          <w:rFonts w:ascii="宋体" w:hAnsi="宋体" w:cs="宋体" w:hint="eastAsia"/>
          <w:sz w:val="24"/>
          <w:lang w:eastAsia="zh-CN"/>
        </w:rPr>
      </w:pPr>
    </w:p>
    <w:p w:rsidR="00132D73" w14:paraId="0C069467" w14:textId="77777777">
      <w:pPr>
        <w:snapToGrid w:val="0"/>
        <w:ind w:firstLine="480"/>
        <w:rPr>
          <w:rFonts w:ascii="宋体" w:hAnsi="宋体" w:cs="宋体" w:hint="eastAsia"/>
          <w:sz w:val="24"/>
          <w:lang w:eastAsia="zh-CN"/>
        </w:rPr>
      </w:pPr>
      <w:r>
        <w:rPr>
          <w:rFonts w:ascii="宋体" w:hAnsi="宋体" w:cs="宋体"/>
          <w:sz w:val="24"/>
          <w:highlight w:val="white"/>
          <w:lang w:eastAsia="zh-CN"/>
        </w:rPr>
        <w:t>4</w:t>
      </w:r>
      <w:r>
        <w:rPr>
          <w:rFonts w:ascii="宋体" w:hAnsi="宋体" w:cs="宋体" w:hint="eastAsia"/>
          <w:sz w:val="24"/>
          <w:highlight w:val="white"/>
          <w:lang w:eastAsia="zh-CN"/>
        </w:rPr>
        <w:t>.非因基金管理人、基金托管人的故意或重大过失造成的计算机系统故障、网络故障、通讯故障、电力故障、计算机病毒攻击及其它意外事故所导致的损失等。</w:t>
      </w:r>
    </w:p>
    <w:p w:rsidR="00132D73" w14:paraId="7377EC36"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四）一方当事人违约，另一方当事人在职责范围内有义务及时采取必要的措施，尽力防止损失的扩大。没有采取适当措施致使损失进一步扩大的，不得就扩大的损失要求赔偿。非违约方因防止损失扩大而支出的合理费用由违约方承担。</w:t>
      </w:r>
    </w:p>
    <w:p w:rsidR="00132D73" w14:paraId="5AADC7AE"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（五）违约行为虽已发生，但本托管协议能够继续履行的，在最大限度地保护基金份额持有人利益的前提下，基金管理人和基金托管人应当继续履行本协议。</w:t>
      </w:r>
    </w:p>
    <w:p w:rsidR="00132D73" w14:paraId="57D245FC" w14:textId="77777777">
      <w:pPr>
        <w:snapToGrid w:val="0"/>
        <w:ind w:firstLine="480"/>
        <w:rPr>
          <w:lang w:eastAsia="zh-CN"/>
        </w:rPr>
      </w:pPr>
      <w:r>
        <w:rPr>
          <w:rFonts w:ascii="宋体" w:hAnsi="宋体" w:cs="宋体" w:hint="eastAsia"/>
          <w:sz w:val="24"/>
          <w:highlight w:val="white"/>
          <w:lang w:eastAsia="zh-CN"/>
        </w:rPr>
        <w:t>（六）由于基金管理人、基金托管人不可控制的因素导致业务出现差错，基金管理人和基金托管人虽然已经采取必要、适当、合理的措施进行检查，但是未能发现错误或因上述原因未能及时更正的，由此造成基金财产或投资人损失，基金管理人和基金托管人免除赔偿责任。但是基金管理人和基金托管人应积极采取必要的措施减轻或消除由此造成的影响。</w:t>
      </w:r>
    </w:p>
    <w:p w:rsidR="00132D73" w14:paraId="38D3C457" w14:textId="77777777">
      <w:pPr>
        <w:snapToGrid w:val="0"/>
        <w:ind w:firstLine="480"/>
        <w:rPr>
          <w:rFonts w:ascii="宋体" w:hAnsi="宋体" w:cs="宋体" w:hint="eastAsia"/>
          <w:sz w:val="24"/>
          <w:lang w:eastAsia="zh-CN"/>
        </w:rPr>
      </w:pPr>
    </w:p>
    <w:p w:rsidR="00132D73" w14:paraId="2F2017BF" w14:textId="77777777">
      <w:pPr>
        <w:pStyle w:val="21"/>
        <w:jc w:val="center"/>
        <w:rPr>
          <w:rFonts w:ascii="宋体" w:eastAsia="宋体" w:hAnsi="宋体" w:cs="宋体" w:hint="eastAsia"/>
          <w:sz w:val="30"/>
          <w:lang w:eastAsia="zh-CN"/>
        </w:rPr>
      </w:pPr>
      <w:bookmarkStart w:id="95" w:name="_Toc68875920"/>
      <w:r>
        <w:rPr>
          <w:rFonts w:ascii="宋体" w:eastAsia="宋体" w:hAnsi="宋体" w:cs="宋体" w:hint="eastAsia"/>
          <w:sz w:val="30"/>
          <w:highlight w:val="white"/>
          <w:lang w:eastAsia="zh-CN"/>
        </w:rPr>
        <w:t>十八、争议解决方式</w:t>
      </w:r>
      <w:bookmarkEnd w:id="95"/>
    </w:p>
    <w:p w:rsidR="00132D73" w14:paraId="7D3BC191"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因本协议产生或与之相关的争议，双方当事人应通过协商、调解解决，协商、调解不能解决的，任何一方均有权将争议提交中国国际经济贸易仲裁委员会，仲裁地点为北京市，按照中国国际经济贸易仲裁委员会届时有效的仲裁规则进行仲裁。仲裁裁决是终局的，对当事人均有约束力，除非仲裁裁决另有决定，仲裁费用由败诉方承担。</w:t>
      </w:r>
    </w:p>
    <w:p w:rsidR="00132D73" w14:paraId="787DC6F1"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争议处理期间，双方当事人应恪守基金管理人和基金托管人职责，各自继续忠实、勤勉、尽责地履行《基金合同》和本托管协议规定的义务，维护基金份额持有人的合法权益。</w:t>
      </w:r>
    </w:p>
    <w:p w:rsidR="00132D73" w14:paraId="0C4601B7"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本协议受中国法律管辖。</w:t>
      </w:r>
    </w:p>
    <w:p w:rsidR="00132D73" w14:paraId="74BC8E30" w14:textId="77777777">
      <w:pPr>
        <w:snapToGrid w:val="0"/>
        <w:rPr>
          <w:rFonts w:ascii="宋体" w:hAnsi="宋体" w:cs="宋体" w:hint="eastAsia"/>
          <w:sz w:val="24"/>
          <w:lang w:eastAsia="zh-CN"/>
        </w:rPr>
      </w:pPr>
    </w:p>
    <w:p w:rsidR="00132D73" w14:paraId="00A7B6EF" w14:textId="77777777">
      <w:pPr>
        <w:pStyle w:val="21"/>
        <w:jc w:val="center"/>
        <w:rPr>
          <w:rFonts w:ascii="宋体" w:eastAsia="宋体" w:hAnsi="宋体" w:cs="宋体" w:hint="eastAsia"/>
          <w:sz w:val="30"/>
          <w:lang w:eastAsia="zh-CN"/>
        </w:rPr>
      </w:pPr>
      <w:bookmarkStart w:id="96" w:name="_Toc68875921"/>
      <w:r>
        <w:rPr>
          <w:rFonts w:ascii="宋体" w:eastAsia="宋体" w:hAnsi="宋体" w:cs="宋体" w:hint="eastAsia"/>
          <w:sz w:val="30"/>
          <w:highlight w:val="white"/>
          <w:lang w:eastAsia="zh-CN"/>
        </w:rPr>
        <w:t>十九、托管协议的效力</w:t>
      </w:r>
      <w:bookmarkEnd w:id="96"/>
    </w:p>
    <w:p w:rsidR="00132D73" w14:paraId="3D21AD17"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双方对托管协议的效力约定如下：</w:t>
      </w:r>
    </w:p>
    <w:p w:rsidR="00132D73" w14:paraId="4FFA2306"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一）基金管理人在向中国证监会申请发售基金份额时提交的托管协议草案，应经托管协议当事人双方盖章以及双方法定代表人或授权代表签字（或盖章），协议当事人双方根据中国证监会的意见修改托管协议草案。托管协议以中国证监会注册的文本为正式文本。</w:t>
      </w:r>
    </w:p>
    <w:p w:rsidR="00132D73" w14:paraId="4A1E700D"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（二）托管协议自《基金合同》成立之日起成立，自《基金合同》生效之日起生效。托管协议的有效期自其生效之日起至基金财产清算结果报中国证监会备案并公告之日止。</w:t>
      </w:r>
    </w:p>
    <w:p w:rsidR="00132D73" w14:paraId="0CBD7885"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（三）托管协议自生效之日起对托管协议当事人具有同等的法律约束力。</w:t>
      </w:r>
    </w:p>
    <w:p w:rsidR="00132D73" w14:paraId="5BC538F7"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（四）本协议</w:t>
      </w:r>
      <w:r>
        <w:rPr>
          <w:rFonts w:ascii="宋体" w:hAnsi="宋体" w:cs="宋体"/>
          <w:sz w:val="24"/>
          <w:highlight w:val="white"/>
          <w:lang w:eastAsia="zh-CN"/>
        </w:rPr>
        <w:t>正本一式</w:t>
      </w:r>
      <w:r>
        <w:rPr>
          <w:rFonts w:ascii="宋体" w:hAnsi="宋体" w:cs="宋体" w:hint="eastAsia"/>
          <w:sz w:val="24"/>
          <w:highlight w:val="white"/>
          <w:lang w:eastAsia="zh-CN"/>
        </w:rPr>
        <w:t>三份，除</w:t>
      </w:r>
      <w:r>
        <w:rPr>
          <w:rFonts w:ascii="宋体" w:hAnsi="宋体" w:cs="宋体"/>
          <w:sz w:val="24"/>
          <w:highlight w:val="white"/>
          <w:lang w:eastAsia="zh-CN"/>
        </w:rPr>
        <w:t>上报有关监</w:t>
      </w:r>
      <w:r>
        <w:rPr>
          <w:rFonts w:ascii="宋体" w:hAnsi="宋体" w:cs="宋体" w:hint="eastAsia"/>
          <w:sz w:val="24"/>
          <w:highlight w:val="white"/>
          <w:lang w:eastAsia="zh-CN"/>
        </w:rPr>
        <w:t>管</w:t>
      </w:r>
      <w:r>
        <w:rPr>
          <w:rFonts w:ascii="宋体" w:hAnsi="宋体" w:cs="宋体"/>
          <w:sz w:val="24"/>
          <w:highlight w:val="white"/>
          <w:lang w:eastAsia="zh-CN"/>
        </w:rPr>
        <w:t>机构一份外，基金管理人、基金托管人各持有一份，每份具有同等的法律效力。</w:t>
      </w:r>
    </w:p>
    <w:p w:rsidR="00132D73" w14:paraId="382753D7" w14:textId="77777777">
      <w:pPr>
        <w:snapToGrid w:val="0"/>
        <w:rPr>
          <w:rFonts w:ascii="宋体" w:hAnsi="宋体" w:cs="宋体" w:hint="eastAsia"/>
          <w:sz w:val="24"/>
          <w:lang w:eastAsia="zh-CN"/>
        </w:rPr>
      </w:pPr>
    </w:p>
    <w:p w:rsidR="00132D73" w14:paraId="57C83F76" w14:textId="77777777">
      <w:pPr>
        <w:pStyle w:val="21"/>
        <w:jc w:val="center"/>
        <w:rPr>
          <w:rFonts w:ascii="宋体" w:eastAsia="宋体" w:hAnsi="宋体" w:cs="宋体" w:hint="eastAsia"/>
          <w:sz w:val="30"/>
          <w:lang w:eastAsia="zh-CN"/>
        </w:rPr>
      </w:pPr>
      <w:bookmarkStart w:id="97" w:name="_Toc68875922"/>
      <w:r>
        <w:rPr>
          <w:rFonts w:ascii="宋体" w:eastAsia="宋体" w:hAnsi="宋体" w:cs="宋体" w:hint="eastAsia"/>
          <w:sz w:val="30"/>
          <w:highlight w:val="white"/>
          <w:lang w:eastAsia="zh-CN"/>
        </w:rPr>
        <w:t>二十、其他事项</w:t>
      </w:r>
      <w:bookmarkEnd w:id="97"/>
    </w:p>
    <w:p w:rsidR="00132D73" w14:paraId="38378256"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如发生有权司法机关依法冻结基金份额持有人的基金份额时，基金管理人应予以配合，承担司法协助义务。</w:t>
      </w:r>
    </w:p>
    <w:p w:rsidR="00132D73" w14:paraId="448FE95F"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除本协议有明确定义外，本协议的用语定义适用《基金合同》的约定。本协议未尽事宜，当事人依据《基金合同》、有关法律法规等规定协商办理。</w:t>
      </w:r>
    </w:p>
    <w:p w:rsidR="00132D73" w14:paraId="5FF8A9F7" w14:textId="77777777">
      <w:pPr>
        <w:snapToGrid w:val="0"/>
        <w:rPr>
          <w:rFonts w:ascii="宋体" w:hAnsi="宋体" w:cs="宋体" w:hint="eastAsia"/>
          <w:b/>
          <w:bCs/>
          <w:lang w:eastAsia="zh-CN"/>
        </w:rPr>
      </w:pPr>
    </w:p>
    <w:p w:rsidR="00132D73" w14:paraId="619D5B5E" w14:textId="77777777">
      <w:pPr>
        <w:pStyle w:val="21"/>
        <w:jc w:val="center"/>
        <w:rPr>
          <w:rFonts w:ascii="宋体" w:eastAsia="宋体" w:hAnsi="宋体" w:cs="宋体" w:hint="eastAsia"/>
          <w:sz w:val="30"/>
          <w:lang w:eastAsia="zh-CN"/>
        </w:rPr>
      </w:pPr>
      <w:bookmarkStart w:id="98" w:name="_Toc68875923"/>
      <w:r>
        <w:rPr>
          <w:rFonts w:ascii="宋体" w:eastAsia="宋体" w:hAnsi="宋体" w:cs="宋体" w:hint="eastAsia"/>
          <w:sz w:val="30"/>
          <w:highlight w:val="white"/>
          <w:lang w:eastAsia="zh-CN"/>
        </w:rPr>
        <w:t>二十一、托管协议的签订</w:t>
      </w:r>
      <w:bookmarkEnd w:id="98"/>
    </w:p>
    <w:p w:rsidR="00132D73" w14:paraId="6CC721E7" w14:textId="77777777">
      <w:pPr>
        <w:snapToGrid w:val="0"/>
        <w:ind w:firstLine="480"/>
        <w:rPr>
          <w:rFonts w:ascii="宋体" w:hAnsi="宋体" w:cs="宋体" w:hint="eastAsia"/>
          <w:sz w:val="24"/>
          <w:lang w:eastAsia="zh-CN"/>
        </w:rPr>
      </w:pPr>
      <w:r>
        <w:rPr>
          <w:rFonts w:ascii="宋体" w:hAnsi="宋体" w:cs="宋体" w:hint="eastAsia"/>
          <w:sz w:val="24"/>
          <w:highlight w:val="white"/>
          <w:lang w:eastAsia="zh-CN"/>
        </w:rPr>
        <w:t>本协议双方法定代表人或授权代表签章、签订地、签订日</w:t>
      </w:r>
    </w:p>
    <w:p w:rsidR="00132D73" w14:paraId="2E6C8551" w14:textId="77777777">
      <w:pPr>
        <w:widowControl/>
        <w:spacing w:beforeAutospacing="1" w:afterAutospacing="1"/>
        <w:jc w:val="left"/>
        <w:rPr>
          <w:rFonts w:ascii="宋体" w:hAnsi="宋体" w:cs="宋体" w:hint="eastAsia"/>
          <w:sz w:val="24"/>
          <w:lang w:eastAsia="zh-CN"/>
        </w:rPr>
        <w:sectPr>
          <w:footerReference w:type="default" r:id="rId8"/>
          <w:pgSz w:w="11906" w:h="16838"/>
          <w:pgMar w:top="1418" w:right="1701" w:bottom="1418" w:left="1701" w:header="851" w:footer="992" w:gutter="0"/>
          <w:pgNumType w:start="1"/>
          <w:cols w:space="720"/>
          <w:docGrid w:type="lines" w:linePitch="312"/>
        </w:sectPr>
      </w:pPr>
    </w:p>
    <w:p w:rsidR="00132D73" w14:paraId="14434B92" w14:textId="39C4367C">
      <w:pPr>
        <w:spacing w:line="360" w:lineRule="auto"/>
        <w:ind w:right="26"/>
        <w:rPr>
          <w:rFonts w:ascii="宋体" w:hAnsi="宋体" w:cs="宋体" w:hint="eastAsia"/>
          <w:sz w:val="24"/>
          <w:lang w:eastAsia="zh-CN"/>
        </w:rPr>
      </w:pPr>
      <w:r>
        <w:rPr>
          <w:rFonts w:ascii="宋体" w:hAnsi="宋体" w:cs="宋体" w:hint="eastAsia"/>
          <w:sz w:val="24"/>
          <w:highlight w:val="white"/>
          <w:lang w:eastAsia="zh-CN"/>
        </w:rPr>
        <w:t>本页无正文，为《</w:t>
      </w:r>
      <w:r>
        <w:rPr>
          <w:rFonts w:ascii="宋体" w:hAnsi="宋体" w:cs="宋体" w:hint="eastAsia"/>
          <w:sz w:val="24"/>
          <w:lang w:eastAsia="zh-CN"/>
        </w:rPr>
        <w:t>易方达中证红利增长交易型开放式指数证券投资基金</w:t>
      </w:r>
      <w:r>
        <w:rPr>
          <w:rFonts w:ascii="宋体" w:hAnsi="宋体" w:cs="宋体" w:hint="eastAsia"/>
          <w:sz w:val="24"/>
          <w:highlight w:val="white"/>
          <w:lang w:eastAsia="zh-CN"/>
        </w:rPr>
        <w:t>托管协议</w:t>
      </w:r>
      <w:r>
        <w:rPr>
          <w:rFonts w:ascii="宋体" w:hAnsi="宋体" w:cs="宋体" w:hint="eastAsia"/>
          <w:sz w:val="24"/>
          <w:highlight w:val="white"/>
          <w:lang w:eastAsia="zh-CN"/>
        </w:rPr>
        <w:t>》的签字盖章页。</w:t>
      </w:r>
    </w:p>
    <w:p w:rsidR="00132D73" w14:paraId="74B6DD07" w14:textId="77777777">
      <w:pPr>
        <w:spacing w:line="360" w:lineRule="auto"/>
        <w:rPr>
          <w:rFonts w:ascii="宋体" w:hAnsi="宋体" w:cs="宋体" w:hint="eastAsia"/>
          <w:sz w:val="24"/>
          <w:lang w:eastAsia="zh-CN"/>
        </w:rPr>
      </w:pPr>
    </w:p>
    <w:p w:rsidR="00082D08" w14:paraId="418D2FA6" w14:textId="77777777">
      <w:pPr>
        <w:spacing w:line="360" w:lineRule="auto"/>
        <w:rPr>
          <w:rFonts w:ascii="宋体" w:hAnsi="宋体" w:cs="宋体" w:hint="eastAsia"/>
          <w:sz w:val="24"/>
          <w:lang w:eastAsia="zh-CN"/>
        </w:rPr>
      </w:pPr>
    </w:p>
    <w:p w:rsidR="00082D08" w14:paraId="4697771C" w14:textId="77777777">
      <w:pPr>
        <w:spacing w:line="360" w:lineRule="auto"/>
        <w:rPr>
          <w:rFonts w:ascii="宋体" w:hAnsi="宋体" w:cs="宋体" w:hint="eastAsia"/>
          <w:sz w:val="24"/>
          <w:lang w:eastAsia="zh-CN"/>
        </w:rPr>
      </w:pPr>
    </w:p>
    <w:p w:rsidR="00132D73" w14:paraId="264A5034" w14:textId="77777777">
      <w:pPr>
        <w:spacing w:line="360" w:lineRule="auto"/>
        <w:ind w:right="26"/>
        <w:rPr>
          <w:rFonts w:ascii="宋体" w:hAnsi="宋体" w:cs="宋体" w:hint="eastAsia"/>
          <w:sz w:val="24"/>
          <w:lang w:eastAsia="zh-CN"/>
        </w:rPr>
      </w:pPr>
      <w:r>
        <w:rPr>
          <w:rFonts w:ascii="宋体" w:hAnsi="宋体" w:cs="宋体" w:hint="eastAsia"/>
          <w:sz w:val="24"/>
          <w:highlight w:val="white"/>
          <w:lang w:eastAsia="zh-CN"/>
        </w:rPr>
        <w:t>《托管协议》当事人盖章及法定代表人或授权代表签</w:t>
      </w:r>
      <w:r>
        <w:rPr>
          <w:rFonts w:ascii="宋体" w:hAnsi="宋体" w:cs="宋体"/>
          <w:sz w:val="24"/>
          <w:highlight w:val="white"/>
          <w:lang w:eastAsia="zh-CN"/>
        </w:rPr>
        <w:t>字/签章、签订地、签订日</w:t>
      </w:r>
    </w:p>
    <w:p w:rsidR="00132D73" w14:paraId="0BF39BB5" w14:textId="77777777">
      <w:pPr>
        <w:spacing w:line="360" w:lineRule="auto"/>
        <w:ind w:right="26"/>
        <w:rPr>
          <w:rFonts w:ascii="宋体" w:hAnsi="宋体" w:cs="宋体" w:hint="eastAsia"/>
          <w:sz w:val="24"/>
          <w:lang w:eastAsia="zh-CN"/>
        </w:rPr>
      </w:pPr>
    </w:p>
    <w:p w:rsidR="00082D08" w14:paraId="02971B34" w14:textId="77777777">
      <w:pPr>
        <w:spacing w:line="360" w:lineRule="auto"/>
        <w:ind w:right="26"/>
        <w:rPr>
          <w:rFonts w:ascii="宋体" w:hAnsi="宋体" w:cs="宋体" w:hint="eastAsia"/>
          <w:sz w:val="24"/>
          <w:lang w:eastAsia="zh-CN"/>
        </w:rPr>
      </w:pPr>
    </w:p>
    <w:p w:rsidR="00082D08" w14:paraId="384CC6E7" w14:textId="77777777">
      <w:pPr>
        <w:spacing w:line="360" w:lineRule="auto"/>
        <w:ind w:right="26"/>
        <w:rPr>
          <w:rFonts w:ascii="宋体" w:hAnsi="宋体" w:cs="宋体" w:hint="eastAsia"/>
          <w:sz w:val="24"/>
          <w:lang w:eastAsia="zh-CN"/>
        </w:rPr>
      </w:pPr>
    </w:p>
    <w:p w:rsidR="00132D73" w14:paraId="1BA926CE" w14:textId="77777777">
      <w:pPr>
        <w:spacing w:line="360" w:lineRule="auto"/>
        <w:ind w:right="26"/>
        <w:rPr>
          <w:rFonts w:ascii="宋体" w:hAnsi="宋体" w:cs="宋体" w:hint="eastAsia"/>
          <w:sz w:val="24"/>
          <w:lang w:eastAsia="zh-CN"/>
        </w:rPr>
      </w:pPr>
      <w:r>
        <w:rPr>
          <w:rFonts w:ascii="宋体" w:hAnsi="宋体" w:cs="宋体" w:hint="eastAsia"/>
          <w:sz w:val="24"/>
          <w:highlight w:val="white"/>
          <w:lang w:eastAsia="zh-CN"/>
        </w:rPr>
        <w:t>基金管理人：易方达基金管理有限公司（章）</w:t>
      </w:r>
    </w:p>
    <w:p w:rsidR="00132D73" w14:paraId="43425B37" w14:textId="77777777">
      <w:pPr>
        <w:spacing w:line="360" w:lineRule="auto"/>
        <w:ind w:right="26"/>
        <w:rPr>
          <w:rFonts w:ascii="宋体" w:hAnsi="宋体" w:cs="宋体" w:hint="eastAsia"/>
          <w:sz w:val="24"/>
          <w:lang w:eastAsia="zh-CN"/>
        </w:rPr>
      </w:pPr>
    </w:p>
    <w:p w:rsidR="00082D08" w14:paraId="4C9A7B58" w14:textId="77777777">
      <w:pPr>
        <w:spacing w:line="360" w:lineRule="auto"/>
        <w:ind w:right="26"/>
        <w:rPr>
          <w:rFonts w:ascii="宋体" w:hAnsi="宋体" w:cs="宋体" w:hint="eastAsia"/>
          <w:sz w:val="24"/>
          <w:lang w:eastAsia="zh-CN"/>
        </w:rPr>
      </w:pPr>
    </w:p>
    <w:p w:rsidR="00082D08" w14:paraId="2170ED35" w14:textId="77777777">
      <w:pPr>
        <w:spacing w:line="360" w:lineRule="auto"/>
        <w:ind w:right="26"/>
        <w:rPr>
          <w:rFonts w:ascii="宋体" w:hAnsi="宋体" w:cs="宋体" w:hint="eastAsia"/>
          <w:sz w:val="24"/>
          <w:lang w:eastAsia="zh-CN"/>
        </w:rPr>
      </w:pPr>
    </w:p>
    <w:p w:rsidR="00132D73" w14:paraId="63B23787" w14:textId="77777777">
      <w:pPr>
        <w:spacing w:line="360" w:lineRule="auto"/>
        <w:ind w:right="26"/>
        <w:rPr>
          <w:rFonts w:ascii="宋体" w:hAnsi="宋体" w:cs="宋体" w:hint="eastAsia"/>
          <w:sz w:val="24"/>
          <w:lang w:eastAsia="zh-CN"/>
        </w:rPr>
      </w:pPr>
      <w:r>
        <w:rPr>
          <w:rFonts w:ascii="宋体" w:hAnsi="宋体" w:cs="宋体" w:hint="eastAsia"/>
          <w:sz w:val="24"/>
          <w:highlight w:val="white"/>
          <w:lang w:eastAsia="zh-CN"/>
        </w:rPr>
        <w:t>法定代表人或授权代表（签字/签章）：</w:t>
      </w:r>
    </w:p>
    <w:p w:rsidR="00132D73" w14:paraId="47091B1F" w14:textId="77777777">
      <w:pPr>
        <w:spacing w:line="360" w:lineRule="auto"/>
        <w:ind w:right="26"/>
        <w:rPr>
          <w:rFonts w:ascii="宋体" w:hAnsi="宋体" w:cs="宋体" w:hint="eastAsia"/>
          <w:sz w:val="24"/>
          <w:lang w:eastAsia="zh-CN"/>
        </w:rPr>
      </w:pPr>
    </w:p>
    <w:p w:rsidR="00132D73" w14:paraId="43624F60" w14:textId="77777777">
      <w:pPr>
        <w:spacing w:line="360" w:lineRule="auto"/>
        <w:ind w:right="26"/>
        <w:rPr>
          <w:rFonts w:ascii="宋体" w:hAnsi="宋体" w:cs="宋体" w:hint="eastAsia"/>
          <w:sz w:val="24"/>
          <w:lang w:eastAsia="zh-CN"/>
        </w:rPr>
      </w:pPr>
    </w:p>
    <w:p w:rsidR="00082D08" w14:paraId="757582AC" w14:textId="77777777">
      <w:pPr>
        <w:spacing w:line="360" w:lineRule="auto"/>
        <w:ind w:right="26"/>
        <w:rPr>
          <w:rFonts w:ascii="宋体" w:hAnsi="宋体" w:cs="宋体" w:hint="eastAsia"/>
          <w:sz w:val="24"/>
          <w:lang w:eastAsia="zh-CN"/>
        </w:rPr>
      </w:pPr>
    </w:p>
    <w:p w:rsidR="00132D73" w14:paraId="2D8BEAEC" w14:textId="77777777">
      <w:pPr>
        <w:spacing w:line="360" w:lineRule="auto"/>
        <w:ind w:right="26"/>
        <w:rPr>
          <w:rFonts w:ascii="宋体" w:hAnsi="宋体" w:cs="宋体" w:hint="eastAsia"/>
          <w:sz w:val="24"/>
          <w:lang w:eastAsia="zh-CN"/>
        </w:rPr>
      </w:pPr>
    </w:p>
    <w:p w:rsidR="00132D73" w14:paraId="6BC0196D" w14:textId="77777777">
      <w:pPr>
        <w:spacing w:line="360" w:lineRule="auto"/>
        <w:ind w:right="26"/>
        <w:rPr>
          <w:rFonts w:ascii="宋体" w:hAnsi="宋体" w:cs="宋体" w:hint="eastAsia"/>
          <w:sz w:val="24"/>
          <w:lang w:eastAsia="zh-CN"/>
        </w:rPr>
      </w:pPr>
      <w:r>
        <w:rPr>
          <w:rFonts w:ascii="宋体" w:hAnsi="宋体" w:cs="宋体" w:hint="eastAsia"/>
          <w:sz w:val="24"/>
          <w:highlight w:val="white"/>
          <w:lang w:eastAsia="zh-CN"/>
        </w:rPr>
        <w:t>基金托管人：中国建设银行股份有限公司（章）</w:t>
      </w:r>
    </w:p>
    <w:p w:rsidR="00132D73" w14:paraId="439C658E" w14:textId="77777777">
      <w:pPr>
        <w:spacing w:line="360" w:lineRule="auto"/>
        <w:ind w:right="26"/>
        <w:rPr>
          <w:rFonts w:ascii="宋体" w:hAnsi="宋体" w:cs="宋体" w:hint="eastAsia"/>
          <w:sz w:val="24"/>
          <w:lang w:eastAsia="zh-CN"/>
        </w:rPr>
      </w:pPr>
    </w:p>
    <w:p w:rsidR="00132D73" w14:paraId="61F0D545" w14:textId="77777777">
      <w:pPr>
        <w:spacing w:line="360" w:lineRule="auto"/>
        <w:ind w:right="26"/>
        <w:rPr>
          <w:rFonts w:ascii="宋体" w:hAnsi="宋体" w:cs="宋体" w:hint="eastAsia"/>
          <w:sz w:val="24"/>
          <w:lang w:eastAsia="zh-CN"/>
        </w:rPr>
      </w:pPr>
    </w:p>
    <w:p w:rsidR="00132D73" w14:paraId="6F32AC5A" w14:textId="77777777">
      <w:pPr>
        <w:spacing w:line="360" w:lineRule="auto"/>
        <w:ind w:right="26"/>
        <w:rPr>
          <w:rFonts w:ascii="宋体" w:hAnsi="宋体" w:cs="宋体" w:hint="eastAsia"/>
          <w:sz w:val="24"/>
          <w:lang w:eastAsia="zh-CN"/>
        </w:rPr>
      </w:pPr>
    </w:p>
    <w:p w:rsidR="00132D73" w14:paraId="060AF54E" w14:textId="77777777">
      <w:pPr>
        <w:spacing w:line="360" w:lineRule="auto"/>
        <w:ind w:right="26"/>
        <w:rPr>
          <w:rFonts w:ascii="宋体" w:hAnsi="宋体" w:cs="宋体" w:hint="eastAsia"/>
          <w:sz w:val="24"/>
          <w:lang w:eastAsia="zh-CN"/>
        </w:rPr>
      </w:pPr>
      <w:r>
        <w:rPr>
          <w:rFonts w:ascii="宋体" w:hAnsi="宋体" w:cs="宋体" w:hint="eastAsia"/>
          <w:sz w:val="24"/>
          <w:highlight w:val="white"/>
          <w:lang w:eastAsia="zh-CN"/>
        </w:rPr>
        <w:t>法定代表人或授权代表（签字/签章）：</w:t>
      </w:r>
    </w:p>
    <w:p w:rsidR="00082D08" w14:paraId="302F0516" w14:textId="77777777">
      <w:pPr>
        <w:spacing w:line="360" w:lineRule="auto"/>
        <w:ind w:right="26"/>
        <w:rPr>
          <w:rFonts w:ascii="宋体" w:hAnsi="宋体" w:cs="宋体" w:hint="eastAsia"/>
          <w:sz w:val="24"/>
          <w:lang w:eastAsia="zh-CN"/>
        </w:rPr>
      </w:pPr>
    </w:p>
    <w:p w:rsidR="00082D08" w14:paraId="18052A84" w14:textId="77777777">
      <w:pPr>
        <w:spacing w:line="360" w:lineRule="auto"/>
        <w:ind w:right="26"/>
        <w:rPr>
          <w:rFonts w:ascii="宋体" w:hAnsi="宋体" w:cs="宋体" w:hint="eastAsia"/>
          <w:sz w:val="24"/>
          <w:lang w:eastAsia="zh-CN"/>
        </w:rPr>
      </w:pPr>
    </w:p>
    <w:p w:rsidR="00132D73" w14:paraId="6D716782" w14:textId="77777777">
      <w:pPr>
        <w:spacing w:line="360" w:lineRule="auto"/>
        <w:ind w:right="26"/>
        <w:rPr>
          <w:rFonts w:ascii="宋体" w:hAnsi="宋体" w:cs="宋体" w:hint="eastAsia"/>
          <w:sz w:val="24"/>
          <w:lang w:eastAsia="zh-CN"/>
        </w:rPr>
      </w:pPr>
      <w:r>
        <w:rPr>
          <w:rFonts w:ascii="宋体" w:hAnsi="宋体" w:cs="宋体" w:hint="eastAsia"/>
          <w:sz w:val="24"/>
          <w:highlight w:val="white"/>
          <w:lang w:eastAsia="zh-CN"/>
        </w:rPr>
        <w:t>签订地点：</w:t>
      </w:r>
    </w:p>
    <w:p w:rsidR="00132D73" w14:paraId="329CCC94" w14:textId="77777777">
      <w:pPr>
        <w:spacing w:line="360" w:lineRule="auto"/>
        <w:ind w:right="26"/>
        <w:rPr>
          <w:rFonts w:ascii="宋体" w:hAnsi="宋体" w:cs="宋体" w:hint="eastAsia"/>
          <w:sz w:val="24"/>
          <w:lang w:eastAsia="zh-CN"/>
        </w:rPr>
      </w:pPr>
      <w:r>
        <w:rPr>
          <w:rFonts w:ascii="宋体" w:hAnsi="宋体" w:cs="宋体" w:hint="eastAsia"/>
          <w:sz w:val="24"/>
          <w:highlight w:val="white"/>
          <w:lang w:eastAsia="zh-CN"/>
        </w:rPr>
        <w:t xml:space="preserve">签订日：   </w:t>
      </w:r>
      <w:r>
        <w:rPr>
          <w:rFonts w:ascii="宋体" w:hAnsi="宋体" w:cs="宋体"/>
          <w:sz w:val="24"/>
          <w:highlight w:val="white"/>
          <w:lang w:eastAsia="zh-CN"/>
        </w:rPr>
        <w:t xml:space="preserve"> </w:t>
      </w:r>
      <w:r>
        <w:rPr>
          <w:rFonts w:ascii="宋体" w:hAnsi="宋体" w:cs="宋体" w:hint="eastAsia"/>
          <w:sz w:val="24"/>
          <w:highlight w:val="white"/>
          <w:lang w:eastAsia="zh-CN"/>
        </w:rPr>
        <w:t>年</w:t>
      </w:r>
      <w:r>
        <w:rPr>
          <w:rFonts w:ascii="宋体" w:hAnsi="宋体" w:cs="宋体"/>
          <w:sz w:val="24"/>
          <w:highlight w:val="white"/>
          <w:lang w:eastAsia="zh-CN"/>
        </w:rPr>
        <w:t xml:space="preserve"> </w:t>
      </w:r>
      <w:r>
        <w:rPr>
          <w:rFonts w:ascii="宋体" w:hAnsi="宋体" w:cs="宋体" w:hint="eastAsia"/>
          <w:sz w:val="24"/>
          <w:highlight w:val="white"/>
          <w:lang w:eastAsia="zh-CN"/>
        </w:rPr>
        <w:t xml:space="preserve">  月</w:t>
      </w:r>
      <w:r>
        <w:rPr>
          <w:rFonts w:ascii="宋体" w:hAnsi="宋体" w:cs="宋体"/>
          <w:sz w:val="24"/>
          <w:highlight w:val="white"/>
          <w:lang w:eastAsia="zh-CN"/>
        </w:rPr>
        <w:t xml:space="preserve"> </w:t>
      </w:r>
      <w:r>
        <w:rPr>
          <w:rFonts w:ascii="宋体" w:hAnsi="宋体" w:cs="宋体" w:hint="eastAsia"/>
          <w:sz w:val="24"/>
          <w:highlight w:val="white"/>
          <w:lang w:eastAsia="zh-CN"/>
        </w:rPr>
        <w:t xml:space="preserve">  日</w:t>
      </w:r>
    </w:p>
    <w:p w:rsidR="00132D73" w14:paraId="44612866" w14:textId="77777777">
      <w:pPr>
        <w:spacing w:line="360" w:lineRule="auto"/>
        <w:rPr>
          <w:rFonts w:ascii="宋体" w:hAnsi="宋体" w:cs="宋体" w:hint="eastAsia"/>
          <w:lang w:eastAsia="zh-CN"/>
        </w:rPr>
      </w:pPr>
    </w:p>
    <w:sectPr>
      <w:headerReference w:type="default" r:id="rId9"/>
      <w:footerReference w:type="default" r:id="rId10"/>
      <w:pgSz w:w="11906" w:h="16838"/>
      <w:pgMar w:top="1418" w:right="1701" w:bottom="1418" w:left="170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Calibri"/>
    <w:charset w:val="00"/>
    <w:family w:val="auto"/>
    <w:pitch w:val="default"/>
  </w:font>
  <w:font w:name="方正仿宋简体">
    <w:charset w:val="00"/>
    <w:family w:val="auto"/>
    <w:pitch w:val="default"/>
  </w:font>
  <w:font w:name="Arial Unicode MS">
    <w:altName w:val="Arial"/>
    <w:panose1 w:val="020B0604020202020204"/>
    <w:charset w:val="00"/>
    <w:family w:val="auto"/>
    <w:pitch w:val="default"/>
  </w:font>
  <w:font w:name="楷体_GB2312">
    <w:altName w:val="微软雅黑"/>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8161314"/>
      <w:placeholder>
        <w:docPart w:val="9a1149f66b8240a793fee1d912384d1a"/>
      </w:placeholder>
      <w:docPartObj>
        <w:docPartGallery w:val="AutoText"/>
      </w:docPartObj>
    </w:sdtPr>
    <w:sdtContent>
      <w:p w:rsidR="00132D73" w14:paraId="2A2C6115" w14:textId="77777777">
        <w:pPr>
          <w:pStyle w:val="10"/>
          <w:snapToGrid/>
          <w:jc w:val="center"/>
        </w:pPr>
      </w:p>
    </w:sdtContent>
  </w:sdt>
  <w:p w:rsidR="00132D73" w14:paraId="03952133" w14:textId="77777777">
    <w:pPr>
      <w:pStyle w:val="10"/>
      <w:snapToGri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4006277"/>
      <w:placeholder>
        <w:docPart w:val="9a1149f66b8240a793fee1d912384d1a"/>
      </w:placeholder>
      <w:docPartObj>
        <w:docPartGallery w:val="AutoText"/>
      </w:docPartObj>
    </w:sdtPr>
    <w:sdtContent>
      <w:p w:rsidR="00132D73" w14:paraId="36CCBA5A" w14:textId="77777777">
        <w:pPr>
          <w:pStyle w:val="10"/>
          <w:snapToGrid/>
          <w:jc w:val="center"/>
        </w:pPr>
      </w:p>
    </w:sdtContent>
  </w:sdt>
  <w:p w:rsidR="00132D73" w14:paraId="6715EE27" w14:textId="77777777">
    <w:pPr>
      <w:pStyle w:val="10"/>
      <w:snapToGri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0190663"/>
      <w:placeholder>
        <w:docPart w:val="9a1149f66b8240a793fee1d912384d1a"/>
      </w:placeholder>
      <w:docPartObj>
        <w:docPartGallery w:val="AutoText"/>
      </w:docPartObj>
    </w:sdtPr>
    <w:sdtContent>
      <w:p w:rsidR="00132D73" w14:paraId="6C8D4B3D" w14:textId="77777777">
        <w:pPr>
          <w:pStyle w:val="10"/>
          <w:snapToGrid/>
          <w:jc w:val="center"/>
        </w:pPr>
        <w:r>
          <w:fldChar w:fldCharType="begin"/>
        </w:r>
        <w:r>
          <w:rPr>
            <w:highlight w:val="white"/>
          </w:rPr>
          <w:instrText>PAGE   \* MERGEFORMAT</w:instrText>
        </w:r>
        <w:r>
          <w:fldChar w:fldCharType="separate"/>
        </w:r>
        <w:r w:rsidRPr="00CD5038">
          <w:rPr>
            <w:noProof/>
            <w:highlight w:val="white"/>
            <w:lang w:val="zh-CN"/>
          </w:rPr>
          <w:t>25</w:t>
        </w:r>
        <w:r>
          <w:fldChar w:fldCharType="end"/>
        </w:r>
      </w:p>
    </w:sdtContent>
  </w:sdt>
  <w:p w:rsidR="00132D73" w14:paraId="038C4D7D" w14:textId="77777777">
    <w:pPr>
      <w:pStyle w:val="10"/>
      <w:snapToGri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2D73" w14:paraId="47E28128" w14:textId="77777777">
    <w:pPr>
      <w:pStyle w:val="10"/>
      <w:snapToGrid/>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2D73" w14:paraId="7D0F0EE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2D73" w14:paraId="6F7F51B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71F7DBE1"/>
    <w:multiLevelType w:val="hybridMultilevel"/>
    <w:tmpl w:val="00000000"/>
    <w:lvl w:ilvl="0">
      <w:start w:val="1"/>
      <w:numFmt w:val="bullet"/>
      <w:lvlText w:val=""/>
      <w:lvlJc w:val="left"/>
      <w:pPr>
        <w:tabs>
          <w:tab w:val="num" w:pos="420"/>
        </w:tabs>
        <w:snapToGrid/>
        <w:ind w:left="420" w:firstLine="0"/>
      </w:pPr>
      <w:rPr>
        <w:rFonts w:ascii="Symbol" w:hAnsi="Symbol" w:hint="default"/>
      </w:rPr>
    </w:lvl>
    <w:lvl w:ilvl="1">
      <w:start w:val="1"/>
      <w:numFmt w:val="bullet"/>
      <w:lvlText w:val=""/>
      <w:lvlJc w:val="left"/>
      <w:pPr>
        <w:tabs>
          <w:tab w:val="num" w:pos="840"/>
        </w:tabs>
        <w:snapToGrid/>
        <w:ind w:left="840" w:firstLine="0"/>
      </w:pPr>
      <w:rPr>
        <w:rFonts w:ascii="Symbol" w:hAnsi="Symbol" w:hint="default"/>
      </w:rPr>
    </w:lvl>
    <w:lvl w:ilvl="2">
      <w:start w:val="1"/>
      <w:numFmt w:val="bullet"/>
      <w:lvlText w:val=""/>
      <w:lvlJc w:val="left"/>
      <w:pPr>
        <w:tabs>
          <w:tab w:val="num" w:pos="1260"/>
        </w:tabs>
        <w:snapToGrid/>
        <w:ind w:left="1260" w:firstLine="0"/>
      </w:pPr>
      <w:rPr>
        <w:rFonts w:ascii="Symbol" w:hAnsi="Symbol" w:hint="default"/>
      </w:rPr>
    </w:lvl>
    <w:lvl w:ilvl="3">
      <w:start w:val="1"/>
      <w:numFmt w:val="bullet"/>
      <w:lvlText w:val=""/>
      <w:lvlJc w:val="left"/>
      <w:pPr>
        <w:tabs>
          <w:tab w:val="num" w:pos="1680"/>
        </w:tabs>
        <w:snapToGrid/>
        <w:ind w:left="1680" w:firstLine="0"/>
      </w:pPr>
      <w:rPr>
        <w:rFonts w:ascii="Symbol" w:hAnsi="Symbol" w:hint="default"/>
      </w:rPr>
    </w:lvl>
    <w:lvl w:ilvl="4">
      <w:start w:val="1"/>
      <w:numFmt w:val="bullet"/>
      <w:lvlText w:val=""/>
      <w:lvlJc w:val="left"/>
      <w:pPr>
        <w:tabs>
          <w:tab w:val="num" w:pos="2100"/>
        </w:tabs>
        <w:snapToGrid/>
        <w:ind w:left="2100" w:firstLine="0"/>
      </w:pPr>
      <w:rPr>
        <w:rFonts w:ascii="Symbol" w:hAnsi="Symbol" w:hint="default"/>
      </w:rPr>
    </w:lvl>
    <w:lvl w:ilvl="5">
      <w:start w:val="1"/>
      <w:numFmt w:val="bullet"/>
      <w:lvlText w:val=""/>
      <w:lvlJc w:val="left"/>
      <w:pPr>
        <w:tabs>
          <w:tab w:val="num" w:pos="2520"/>
        </w:tabs>
        <w:snapToGrid/>
        <w:ind w:left="2520" w:firstLine="0"/>
      </w:pPr>
      <w:rPr>
        <w:rFonts w:ascii="Symbol" w:hAnsi="Symbol" w:hint="default"/>
      </w:rPr>
    </w:lvl>
    <w:lvl w:ilvl="6">
      <w:start w:val="1"/>
      <w:numFmt w:val="bullet"/>
      <w:lvlText w:val=""/>
      <w:lvlJc w:val="left"/>
      <w:pPr>
        <w:tabs>
          <w:tab w:val="num" w:pos="2940"/>
        </w:tabs>
        <w:snapToGrid/>
        <w:ind w:left="2940" w:firstLine="0"/>
      </w:pPr>
      <w:rPr>
        <w:rFonts w:ascii="Symbol" w:hAnsi="Symbol" w:hint="default"/>
      </w:rPr>
    </w:lvl>
    <w:lvl w:ilvl="7">
      <w:start w:val="1"/>
      <w:numFmt w:val="bullet"/>
      <w:lvlText w:val=""/>
      <w:lvlJc w:val="left"/>
      <w:pPr>
        <w:tabs>
          <w:tab w:val="num" w:pos="3360"/>
        </w:tabs>
        <w:snapToGrid/>
        <w:ind w:left="3360" w:firstLine="0"/>
      </w:pPr>
      <w:rPr>
        <w:rFonts w:ascii="Symbol" w:hAnsi="Symbol" w:hint="default"/>
      </w:rPr>
    </w:lvl>
    <w:lvl w:ilvl="8">
      <w:start w:val="1"/>
      <w:numFmt w:val="bullet"/>
      <w:lvlText w:val=""/>
      <w:lvlJc w:val="left"/>
      <w:pPr>
        <w:tabs>
          <w:tab w:val="num" w:pos="3780"/>
        </w:tabs>
        <w:snapToGrid/>
        <w:ind w:left="3780" w:firstLine="0"/>
      </w:pPr>
      <w:rPr>
        <w:rFonts w:ascii="Symbol" w:hAnsi="Symbol" w:hint="default"/>
      </w:rPr>
    </w:lvl>
  </w:abstractNum>
  <w:num w:numId="1" w16cid:durableId="87414911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姚栋梁">
    <w15:presenceInfo w15:providerId="None" w15:userId="姚栋梁"/>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proofState w:spelling="clean" w:grammar="clean"/>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D73"/>
    <w:rsid w:val="00082D08"/>
    <w:rsid w:val="000D371C"/>
    <w:rsid w:val="00132D73"/>
    <w:rsid w:val="00286485"/>
    <w:rsid w:val="0031110D"/>
    <w:rsid w:val="005452D3"/>
    <w:rsid w:val="007B5FD3"/>
    <w:rsid w:val="008E720C"/>
    <w:rsid w:val="00AE04E4"/>
    <w:rsid w:val="00C05315"/>
    <w:rsid w:val="00C14FE6"/>
    <w:rsid w:val="00CD5038"/>
    <w:rsid w:val="00D61E81"/>
    <w:rsid w:val="00D71BCD"/>
    <w:rsid w:val="00DC4D19"/>
    <w:rsid w:val="00DE43CC"/>
    <w:rsid w:val="00E153A3"/>
    <w:rsid w:val="00E41E81"/>
    <w:rsid w:val="00F93E00"/>
    <w:rsid w:val="00FC0A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1AC1DAC"/>
  <w15:docId w15:val="{6AA201F2-8C5F-4C90-8149-3BA5A3BDC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Calibr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Bdr>
        <w:top w:val="nil"/>
        <w:left w:val="nil"/>
        <w:bottom w:val="nil"/>
        <w:right w:val="nil"/>
        <w:between w:val="nil"/>
      </w:pBdr>
      <w:shd w:val="clear" w:color="FFFFFF" w:fill="FFFFFF"/>
      <w:jc w:val="both"/>
    </w:pPr>
    <w:rPr>
      <w:rFonts w:ascii="Times New Roman" w:hAnsi="Times New Roman" w:cs="Times New Roman"/>
      <w:sz w:val="21"/>
      <w:szCs w:val="24"/>
    </w:rPr>
  </w:style>
  <w:style w:type="paragraph" w:styleId="Heading1">
    <w:name w:val="heading 1"/>
    <w:basedOn w:val="Normal"/>
    <w:next w:val="Normal"/>
    <w:link w:val="13"/>
    <w:uiPriority w:val="9"/>
    <w:qFormat/>
    <w:pPr>
      <w:keepNext/>
      <w:keepLines/>
      <w:spacing w:before="480" w:after="200"/>
      <w:outlineLvl w:val="0"/>
    </w:pPr>
    <w:rPr>
      <w:rFonts w:ascii="Arial" w:hAnsi="Arial" w:cs="Arial"/>
      <w:sz w:val="40"/>
      <w:szCs w:val="40"/>
    </w:rPr>
  </w:style>
  <w:style w:type="paragraph" w:styleId="Heading2">
    <w:name w:val="heading 2"/>
    <w:basedOn w:val="Normal"/>
    <w:next w:val="Normal"/>
    <w:link w:val="2"/>
    <w:uiPriority w:val="9"/>
    <w:unhideWhenUsed/>
    <w:qFormat/>
    <w:pPr>
      <w:keepNext/>
      <w:keepLines/>
      <w:spacing w:before="360" w:after="200"/>
      <w:outlineLvl w:val="1"/>
    </w:pPr>
    <w:rPr>
      <w:rFonts w:ascii="Arial" w:hAnsi="Arial" w:cs="Arial"/>
      <w:sz w:val="34"/>
    </w:rPr>
  </w:style>
  <w:style w:type="paragraph" w:styleId="Heading3">
    <w:name w:val="heading 3"/>
    <w:basedOn w:val="Normal"/>
    <w:next w:val="Normal"/>
    <w:link w:val="3"/>
    <w:uiPriority w:val="9"/>
    <w:unhideWhenUsed/>
    <w:qFormat/>
    <w:pPr>
      <w:keepNext/>
      <w:keepLines/>
      <w:spacing w:before="320" w:after="200"/>
      <w:outlineLvl w:val="2"/>
    </w:pPr>
    <w:rPr>
      <w:rFonts w:ascii="Arial" w:hAnsi="Arial" w:cs="Arial"/>
      <w:sz w:val="30"/>
      <w:szCs w:val="30"/>
    </w:rPr>
  </w:style>
  <w:style w:type="paragraph" w:styleId="Heading4">
    <w:name w:val="heading 4"/>
    <w:basedOn w:val="Normal"/>
    <w:next w:val="Normal"/>
    <w:link w:val="4"/>
    <w:uiPriority w:val="9"/>
    <w:unhideWhenUsed/>
    <w:qFormat/>
    <w:pPr>
      <w:keepNext/>
      <w:keepLines/>
      <w:spacing w:before="320" w:after="200"/>
      <w:outlineLvl w:val="3"/>
    </w:pPr>
    <w:rPr>
      <w:rFonts w:ascii="Arial" w:hAnsi="Arial" w:cs="Arial"/>
      <w:b/>
      <w:bCs/>
      <w:sz w:val="26"/>
      <w:szCs w:val="26"/>
    </w:rPr>
  </w:style>
  <w:style w:type="paragraph" w:styleId="Heading5">
    <w:name w:val="heading 5"/>
    <w:basedOn w:val="Normal"/>
    <w:next w:val="Normal"/>
    <w:link w:val="5"/>
    <w:uiPriority w:val="9"/>
    <w:unhideWhenUsed/>
    <w:qFormat/>
    <w:pPr>
      <w:keepNext/>
      <w:keepLines/>
      <w:spacing w:before="320" w:after="200"/>
      <w:outlineLvl w:val="4"/>
    </w:pPr>
    <w:rPr>
      <w:rFonts w:ascii="Arial" w:hAnsi="Arial" w:cs="Arial"/>
      <w:b/>
      <w:bCs/>
      <w:sz w:val="24"/>
    </w:rPr>
  </w:style>
  <w:style w:type="paragraph" w:styleId="Heading6">
    <w:name w:val="heading 6"/>
    <w:basedOn w:val="Normal"/>
    <w:next w:val="Normal"/>
    <w:link w:val="6"/>
    <w:uiPriority w:val="9"/>
    <w:unhideWhenUsed/>
    <w:qFormat/>
    <w:pPr>
      <w:keepNext/>
      <w:keepLines/>
      <w:spacing w:before="320" w:after="200"/>
      <w:outlineLvl w:val="5"/>
    </w:pPr>
    <w:rPr>
      <w:rFonts w:ascii="Arial" w:hAnsi="Arial" w:cs="Arial"/>
      <w:b/>
      <w:bCs/>
      <w:sz w:val="22"/>
      <w:szCs w:val="22"/>
    </w:rPr>
  </w:style>
  <w:style w:type="paragraph" w:styleId="Heading7">
    <w:name w:val="heading 7"/>
    <w:basedOn w:val="Normal"/>
    <w:next w:val="Normal"/>
    <w:link w:val="7"/>
    <w:uiPriority w:val="9"/>
    <w:unhideWhenUsed/>
    <w:qFormat/>
    <w:pPr>
      <w:keepNext/>
      <w:keepLines/>
      <w:spacing w:before="320" w:after="200"/>
      <w:outlineLvl w:val="6"/>
    </w:pPr>
    <w:rPr>
      <w:rFonts w:ascii="Arial" w:hAnsi="Arial" w:cs="Arial"/>
      <w:b/>
      <w:bCs/>
      <w:i/>
      <w:iCs/>
      <w:sz w:val="22"/>
      <w:szCs w:val="22"/>
    </w:rPr>
  </w:style>
  <w:style w:type="paragraph" w:styleId="Heading8">
    <w:name w:val="heading 8"/>
    <w:basedOn w:val="Normal"/>
    <w:next w:val="Normal"/>
    <w:link w:val="8"/>
    <w:uiPriority w:val="9"/>
    <w:unhideWhenUsed/>
    <w:qFormat/>
    <w:pPr>
      <w:keepNext/>
      <w:keepLines/>
      <w:spacing w:before="320" w:after="200"/>
      <w:outlineLvl w:val="7"/>
    </w:pPr>
    <w:rPr>
      <w:rFonts w:ascii="Arial" w:hAnsi="Arial" w:cs="Arial"/>
      <w:i/>
      <w:iCs/>
      <w:sz w:val="22"/>
      <w:szCs w:val="22"/>
    </w:rPr>
  </w:style>
  <w:style w:type="paragraph" w:styleId="Heading9">
    <w:name w:val="heading 9"/>
    <w:basedOn w:val="Normal"/>
    <w:next w:val="Normal"/>
    <w:link w:val="9"/>
    <w:uiPriority w:val="9"/>
    <w:unhideWhenUsed/>
    <w:qFormat/>
    <w:pPr>
      <w:keepNext/>
      <w:keepLines/>
      <w:spacing w:before="320" w:after="200"/>
      <w:outlineLvl w:val="8"/>
    </w:pPr>
    <w:rPr>
      <w:rFonts w:ascii="Arial" w:hAnsi="Arial" w:cs="Arial"/>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Pr>
      <w:rFonts w:ascii="Arial" w:hAnsi="Arial" w:cs="Arial"/>
      <w:sz w:val="40"/>
      <w:szCs w:val="40"/>
    </w:rPr>
  </w:style>
  <w:style w:type="character" w:customStyle="1" w:styleId="Heading2Char">
    <w:name w:val="Heading 2 Char"/>
    <w:basedOn w:val="DefaultParagraphFont"/>
    <w:uiPriority w:val="9"/>
    <w:rPr>
      <w:rFonts w:ascii="Arial" w:hAnsi="Arial" w:cs="Arial"/>
      <w:sz w:val="34"/>
    </w:rPr>
  </w:style>
  <w:style w:type="character" w:customStyle="1" w:styleId="Heading3Char">
    <w:name w:val="Heading 3 Char"/>
    <w:basedOn w:val="DefaultParagraphFont"/>
    <w:uiPriority w:val="9"/>
    <w:rPr>
      <w:rFonts w:ascii="Arial" w:hAnsi="Arial" w:cs="Arial"/>
      <w:sz w:val="30"/>
      <w:szCs w:val="30"/>
    </w:rPr>
  </w:style>
  <w:style w:type="character" w:customStyle="1" w:styleId="Heading4Char">
    <w:name w:val="Heading 4 Char"/>
    <w:basedOn w:val="DefaultParagraphFont"/>
    <w:uiPriority w:val="9"/>
    <w:rPr>
      <w:rFonts w:ascii="Arial" w:hAnsi="Arial" w:cs="Arial"/>
      <w:b/>
      <w:bCs/>
      <w:sz w:val="26"/>
      <w:szCs w:val="26"/>
    </w:rPr>
  </w:style>
  <w:style w:type="character" w:customStyle="1" w:styleId="Heading5Char">
    <w:name w:val="Heading 5 Char"/>
    <w:basedOn w:val="DefaultParagraphFont"/>
    <w:uiPriority w:val="9"/>
    <w:rPr>
      <w:rFonts w:ascii="Arial" w:hAnsi="Arial" w:cs="Arial"/>
      <w:b/>
      <w:bCs/>
      <w:sz w:val="24"/>
      <w:szCs w:val="24"/>
    </w:rPr>
  </w:style>
  <w:style w:type="character" w:customStyle="1" w:styleId="Heading6Char">
    <w:name w:val="Heading 6 Char"/>
    <w:basedOn w:val="DefaultParagraphFont"/>
    <w:uiPriority w:val="9"/>
    <w:rPr>
      <w:rFonts w:ascii="Arial" w:hAnsi="Arial" w:cs="Arial"/>
      <w:b/>
      <w:bCs/>
      <w:sz w:val="22"/>
      <w:szCs w:val="22"/>
    </w:rPr>
  </w:style>
  <w:style w:type="character" w:customStyle="1" w:styleId="Heading7Char">
    <w:name w:val="Heading 7 Char"/>
    <w:basedOn w:val="DefaultParagraphFont"/>
    <w:uiPriority w:val="9"/>
    <w:rPr>
      <w:rFonts w:ascii="Arial" w:hAnsi="Arial" w:cs="Arial"/>
      <w:b/>
      <w:bCs/>
      <w:i/>
      <w:iCs/>
      <w:sz w:val="22"/>
      <w:szCs w:val="22"/>
    </w:rPr>
  </w:style>
  <w:style w:type="character" w:customStyle="1" w:styleId="Heading8Char">
    <w:name w:val="Heading 8 Char"/>
    <w:basedOn w:val="DefaultParagraphFont"/>
    <w:uiPriority w:val="9"/>
    <w:rPr>
      <w:rFonts w:ascii="Arial" w:hAnsi="Arial" w:cs="Arial"/>
      <w:i/>
      <w:iCs/>
      <w:sz w:val="22"/>
      <w:szCs w:val="22"/>
    </w:rPr>
  </w:style>
  <w:style w:type="character" w:customStyle="1" w:styleId="Heading9Char">
    <w:name w:val="Heading 9 Char"/>
    <w:basedOn w:val="DefaultParagraphFont"/>
    <w:uiPriority w:val="9"/>
    <w:rPr>
      <w:rFonts w:ascii="Arial" w:hAnsi="Arial" w:cs="Arial"/>
      <w:i/>
      <w:iCs/>
      <w:sz w:val="21"/>
      <w:szCs w:val="21"/>
    </w:rPr>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paragraph" w:customStyle="1" w:styleId="11">
    <w:name w:val="标题 11"/>
    <w:basedOn w:val="Normal"/>
    <w:next w:val="Normal"/>
    <w:link w:val="1Char"/>
    <w:uiPriority w:val="9"/>
    <w:qFormat/>
    <w:pPr>
      <w:keepNext/>
      <w:keepLines/>
      <w:spacing w:before="340" w:after="330" w:line="578" w:lineRule="auto"/>
      <w:outlineLvl w:val="0"/>
    </w:pPr>
    <w:rPr>
      <w:b/>
      <w:bCs/>
      <w:sz w:val="44"/>
      <w:szCs w:val="44"/>
    </w:rPr>
  </w:style>
  <w:style w:type="paragraph" w:customStyle="1" w:styleId="21">
    <w:name w:val="标题 21"/>
    <w:basedOn w:val="Normal"/>
    <w:next w:val="NormalIndent"/>
    <w:link w:val="2Char"/>
    <w:qFormat/>
    <w:pPr>
      <w:keepNext/>
      <w:keepLines/>
      <w:spacing w:before="260" w:after="260" w:line="416" w:lineRule="auto"/>
      <w:outlineLvl w:val="1"/>
    </w:pPr>
    <w:rPr>
      <w:rFonts w:ascii="Arial" w:eastAsia="黑体" w:hAnsi="Arial"/>
      <w:b/>
      <w:sz w:val="32"/>
      <w:szCs w:val="20"/>
    </w:rPr>
  </w:style>
  <w:style w:type="paragraph" w:customStyle="1" w:styleId="31">
    <w:name w:val="标题 31"/>
    <w:basedOn w:val="Normal"/>
    <w:next w:val="Normal"/>
    <w:link w:val="3Char"/>
    <w:uiPriority w:val="9"/>
    <w:unhideWhenUsed/>
    <w:qFormat/>
    <w:pPr>
      <w:keepNext/>
      <w:keepLines/>
      <w:spacing w:before="320" w:after="200"/>
      <w:outlineLvl w:val="2"/>
    </w:pPr>
    <w:rPr>
      <w:rFonts w:ascii="Arial" w:hAnsi="Arial" w:cs="Arial"/>
      <w:sz w:val="30"/>
      <w:szCs w:val="30"/>
    </w:rPr>
  </w:style>
  <w:style w:type="paragraph" w:customStyle="1" w:styleId="41">
    <w:name w:val="标题 41"/>
    <w:basedOn w:val="Normal"/>
    <w:next w:val="Normal"/>
    <w:link w:val="4Char"/>
    <w:uiPriority w:val="9"/>
    <w:unhideWhenUsed/>
    <w:qFormat/>
    <w:pPr>
      <w:keepNext/>
      <w:keepLines/>
      <w:spacing w:before="320" w:after="200"/>
      <w:outlineLvl w:val="3"/>
    </w:pPr>
    <w:rPr>
      <w:rFonts w:ascii="Arial" w:hAnsi="Arial" w:cs="Arial"/>
      <w:b/>
      <w:bCs/>
      <w:sz w:val="26"/>
      <w:szCs w:val="26"/>
    </w:rPr>
  </w:style>
  <w:style w:type="paragraph" w:customStyle="1" w:styleId="51">
    <w:name w:val="标题 51"/>
    <w:basedOn w:val="Normal"/>
    <w:next w:val="Normal"/>
    <w:link w:val="5Char"/>
    <w:uiPriority w:val="9"/>
    <w:unhideWhenUsed/>
    <w:qFormat/>
    <w:pPr>
      <w:keepNext/>
      <w:keepLines/>
      <w:spacing w:before="320" w:after="200"/>
      <w:outlineLvl w:val="4"/>
    </w:pPr>
    <w:rPr>
      <w:rFonts w:ascii="Arial" w:hAnsi="Arial" w:cs="Arial"/>
      <w:b/>
      <w:bCs/>
      <w:sz w:val="24"/>
    </w:rPr>
  </w:style>
  <w:style w:type="paragraph" w:customStyle="1" w:styleId="61">
    <w:name w:val="标题 61"/>
    <w:basedOn w:val="Normal"/>
    <w:next w:val="Normal"/>
    <w:link w:val="6Char"/>
    <w:uiPriority w:val="9"/>
    <w:unhideWhenUsed/>
    <w:qFormat/>
    <w:pPr>
      <w:keepNext/>
      <w:keepLines/>
      <w:spacing w:before="320" w:after="200"/>
      <w:outlineLvl w:val="5"/>
    </w:pPr>
    <w:rPr>
      <w:rFonts w:ascii="Arial" w:hAnsi="Arial" w:cs="Arial"/>
      <w:b/>
      <w:bCs/>
      <w:sz w:val="22"/>
      <w:szCs w:val="22"/>
    </w:rPr>
  </w:style>
  <w:style w:type="paragraph" w:customStyle="1" w:styleId="71">
    <w:name w:val="标题 71"/>
    <w:basedOn w:val="Normal"/>
    <w:next w:val="Normal"/>
    <w:link w:val="7Char"/>
    <w:uiPriority w:val="9"/>
    <w:unhideWhenUsed/>
    <w:qFormat/>
    <w:pPr>
      <w:keepNext/>
      <w:keepLines/>
      <w:spacing w:before="320" w:after="200"/>
      <w:outlineLvl w:val="6"/>
    </w:pPr>
    <w:rPr>
      <w:rFonts w:ascii="Arial" w:hAnsi="Arial" w:cs="Arial"/>
      <w:b/>
      <w:bCs/>
      <w:i/>
      <w:iCs/>
      <w:sz w:val="22"/>
      <w:szCs w:val="22"/>
    </w:rPr>
  </w:style>
  <w:style w:type="paragraph" w:customStyle="1" w:styleId="81">
    <w:name w:val="标题 81"/>
    <w:basedOn w:val="Normal"/>
    <w:next w:val="Normal"/>
    <w:link w:val="8Char"/>
    <w:uiPriority w:val="9"/>
    <w:unhideWhenUsed/>
    <w:qFormat/>
    <w:pPr>
      <w:keepNext/>
      <w:keepLines/>
      <w:spacing w:before="320" w:after="200"/>
      <w:outlineLvl w:val="7"/>
    </w:pPr>
    <w:rPr>
      <w:rFonts w:ascii="Arial" w:hAnsi="Arial" w:cs="Arial"/>
      <w:i/>
      <w:iCs/>
      <w:sz w:val="22"/>
      <w:szCs w:val="22"/>
    </w:rPr>
  </w:style>
  <w:style w:type="paragraph" w:customStyle="1" w:styleId="91">
    <w:name w:val="标题 91"/>
    <w:basedOn w:val="Normal"/>
    <w:next w:val="Normal"/>
    <w:link w:val="9Char"/>
    <w:uiPriority w:val="9"/>
    <w:unhideWhenUsed/>
    <w:qFormat/>
    <w:pPr>
      <w:keepNext/>
      <w:keepLines/>
      <w:spacing w:before="320" w:after="200"/>
      <w:outlineLvl w:val="8"/>
    </w:pPr>
    <w:rPr>
      <w:rFonts w:ascii="Arial" w:hAnsi="Arial" w:cs="Arial"/>
      <w:i/>
      <w:iCs/>
      <w:szCs w:val="21"/>
    </w:r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2F2F2" w:fill="F2F2F2" w:themeFill="text1" w:themeFillTint="0D"/>
      </w:tcPr>
    </w:tblStylePr>
    <w:tblStylePr w:type="band2Vert">
      <w:pPr>
        <w:snapToGrid/>
      </w:pPr>
    </w:tblStylePr>
    <w:tblStylePr w:type="band1Horz">
      <w:pPr>
        <w:snapToGrid/>
      </w:p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2">
    <w:name w:val="Plain Table 2"/>
    <w:basedOn w:val="TableNormal"/>
    <w:uiPriority w:val="59"/>
    <w:tblPr>
      <w:tblBorders>
        <w:top w:val="single" w:sz="4" w:space="0" w:color="000000" w:themeColor="text1"/>
        <w:left w:val="nil"/>
        <w:bottom w:val="single" w:sz="4" w:space="0" w:color="000000" w:themeColor="text1"/>
        <w:right w:val="nil"/>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3">
    <w:name w:val="Plain Table 3"/>
    <w:basedOn w:val="TableNormal"/>
    <w:uiPriority w:val="99"/>
    <w:tblPr>
      <w:tblStyleRowBandSize w:val="1"/>
      <w:tblStyleColBandSize w:val="1"/>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4">
    <w:name w:val="Plain Table 4"/>
    <w:basedOn w:val="TableNormal"/>
    <w:uiPriority w:val="99"/>
    <w:tblPr>
      <w:tblStyleRowBandSize w:val="1"/>
      <w:tblStyleColBandSize w:val="1"/>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5">
    <w:name w:val="Plain Table 5"/>
    <w:basedOn w:val="TableNormal"/>
    <w:uiPriority w:val="99"/>
    <w:tblPr>
      <w:tblStyleRowBandSize w:val="1"/>
      <w:tblStyleColBandSize w:val="1"/>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fill="BFBFBF" w:themeFill="text1" w:themeFillTint="40"/>
    </w:tblPr>
    <w:tblStylePr w:type="firstRow">
      <w:pPr>
        <w:snapToGrid/>
      </w:pPr>
      <w:rPr>
        <w:rFonts w:ascii="Arial" w:hAnsi="Arial"/>
        <w:b/>
        <w:color w:val="FFFFFF"/>
        <w:sz w:val="22"/>
      </w:rPr>
      <w:tblPr/>
      <w:tcPr>
        <w:shd w:val="clear" w:color="000000"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000000" w:fill="000000" w:themeFill="text1"/>
      </w:tcPr>
    </w:tblStylePr>
    <w:tblStylePr w:type="firstCol">
      <w:pPr>
        <w:snapToGrid/>
      </w:pPr>
      <w:rPr>
        <w:rFonts w:ascii="Arial" w:hAnsi="Arial"/>
        <w:b/>
        <w:color w:val="FFFFFF"/>
        <w:sz w:val="22"/>
      </w:rPr>
      <w:tblPr/>
      <w:tcPr>
        <w:shd w:val="clear" w:color="000000" w:fill="000000" w:themeFill="text1"/>
      </w:tcPr>
    </w:tblStylePr>
    <w:tblStylePr w:type="lastCol">
      <w:pPr>
        <w:snapToGrid/>
      </w:pPr>
      <w:rPr>
        <w:rFonts w:ascii="Arial" w:hAnsi="Arial"/>
        <w:b/>
        <w:color w:val="FFFFFF"/>
        <w:sz w:val="22"/>
      </w:rPr>
      <w:tblPr/>
      <w:tcPr>
        <w:shd w:val="clear" w:color="000000" w:fill="000000" w:themeFill="text1"/>
      </w:tcPr>
    </w:tblStylePr>
    <w:tblStylePr w:type="band1Vert">
      <w:pPr>
        <w:snapToGrid/>
      </w:pPr>
      <w:tblPr/>
      <w:tcPr>
        <w:shd w:val="clear" w:color="8A8A8A" w:fill="8A8A8A" w:themeFill="text1" w:themeFillTint="75"/>
      </w:tcPr>
    </w:tblStylePr>
    <w:tblStylePr w:type="band2Vert">
      <w:pPr>
        <w:snapToGrid/>
      </w:pPr>
    </w:tblStylePr>
    <w:tblStylePr w:type="band1Horz">
      <w:pPr>
        <w:snapToGrid/>
      </w:pPr>
      <w:tblPr/>
      <w:tcPr>
        <w:shd w:val="clear" w:color="8A8A8A"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Shade="95" w:themeTint="80"/>
      </w:rPr>
      <w:tblPr/>
      <w:tcPr>
        <w:tcBorders>
          <w:bottom w:val="single" w:sz="12" w:space="0" w:color="7F7F7F" w:themeColor="text1" w:themeTint="80"/>
        </w:tcBorders>
      </w:tcPr>
    </w:tblStylePr>
    <w:tblStylePr w:type="lastRow">
      <w:pPr>
        <w:snapToGrid/>
      </w:pPr>
      <w:rPr>
        <w:b/>
        <w:color w:val="7F7F7F" w:themeColor="text1" w:themeShade="95" w:themeTint="80"/>
      </w:rPr>
    </w:tblStylePr>
    <w:tblStylePr w:type="firstCol">
      <w:pPr>
        <w:snapToGrid/>
      </w:pPr>
      <w:rPr>
        <w:b/>
        <w:color w:val="7F7F7F" w:themeColor="text1" w:themeShade="95" w:themeTint="80"/>
      </w:rPr>
    </w:tblStylePr>
    <w:tblStylePr w:type="lastCol">
      <w:pPr>
        <w:snapToGrid/>
      </w:pPr>
      <w:rPr>
        <w:b/>
        <w:color w:val="7F7F7F" w:themeColor="text1" w:themeShade="95" w:themeTint="80"/>
      </w:rPr>
    </w:tblStylePr>
    <w:tblStylePr w:type="band1Vert">
      <w:pPr>
        <w:snapToGrid/>
      </w:pPr>
      <w:tblPr/>
      <w:tcPr>
        <w:shd w:val="clear" w:color="CBCBCB" w:fill="CBCBCB" w:themeFill="text1" w:themeFillTint="34"/>
      </w:tcPr>
    </w:tblStylePr>
    <w:tblStylePr w:type="band2Vert">
      <w:pPr>
        <w:snapToGrid/>
      </w:pPr>
    </w:tblStylePr>
    <w:tblStylePr w:type="band1Horz">
      <w:pPr>
        <w:snapToGrid/>
      </w:pPr>
      <w:rPr>
        <w:rFonts w:ascii="Arial" w:hAnsi="Arial"/>
        <w:color w:val="7F7F7F" w:themeColor="text1" w:themeShade="95" w:themeTint="80"/>
        <w:sz w:val="22"/>
      </w:rPr>
      <w:tblPr/>
      <w:tcPr>
        <w:shd w:val="clear" w:color="CBCBCB" w:fill="CBCBCB" w:themeFill="text1" w:themeFillTint="34"/>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2F2F2" w:fill="F2F2F2" w:themeFill="text1" w:themeFillTint="0D"/>
      </w:tcPr>
    </w:tblStylePr>
    <w:tblStylePr w:type="band2Vert">
      <w:pPr>
        <w:snapToGrid/>
      </w:pPr>
    </w:tblStylePr>
    <w:tblStylePr w:type="band1Horz">
      <w:pPr>
        <w:snapToGrid/>
      </w:pPr>
      <w:rPr>
        <w:rFonts w:ascii="Arial" w:hAnsi="Arial"/>
        <w:color w:val="7F7F7F" w:themeColor="text1" w:themeShade="95" w:themeTint="80"/>
        <w:sz w:val="22"/>
      </w:rPr>
      <w:tblPr/>
      <w:tcPr>
        <w:shd w:val="clear" w:color="F2F2F2" w:fill="F2F2F2" w:themeFill="text1" w:themeFillTint="0D"/>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1Light">
    <w:name w:val="List Table 1 Light"/>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fill="7F7F7F" w:themeFill="text1" w:themeFillTint="80"/>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7F7F7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BFBFB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pPr>
        <w:snapToGrid/>
      </w:pPr>
      <w:rPr>
        <w:rFonts w:ascii="Arial" w:hAnsi="Arial"/>
        <w:i/>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7F7F7F" w:themeColor="text1" w:themeShade="95" w:themeTint="80"/>
        <w:sz w:val="22"/>
      </w:rPr>
      <w:tblPr/>
      <w:tcPr>
        <w:shd w:val="clear" w:color="BFBFBF" w:fill="BFBFBF" w:themeFill="text1" w:themeFillTint="40"/>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character" w:customStyle="1" w:styleId="EndnoteTextChar">
    <w:name w:val="Endnote Text Char"/>
    <w:uiPriority w:val="99"/>
    <w:rPr>
      <w:sz w:val="20"/>
    </w:rPr>
  </w:style>
  <w:style w:type="paragraph" w:styleId="TOCHeading">
    <w:name w:val="TOC Heading"/>
    <w:uiPriority w:val="39"/>
    <w:unhideWhenUsed/>
  </w:style>
  <w:style w:type="paragraph" w:customStyle="1" w:styleId="1">
    <w:name w:val="题注1"/>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paragraph" w:styleId="EndnoteText">
    <w:name w:val="endnote text"/>
    <w:basedOn w:val="Normal"/>
    <w:link w:val="a"/>
    <w:uiPriority w:val="99"/>
    <w:semiHidden/>
    <w:unhideWhenUsed/>
    <w:rPr>
      <w:sz w:val="20"/>
    </w:rPr>
  </w:style>
  <w:style w:type="character" w:customStyle="1" w:styleId="a">
    <w:name w:val="尾注文本 字符"/>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ableofFigures">
    <w:name w:val="table of figures"/>
    <w:basedOn w:val="Normal"/>
    <w:next w:val="Normal"/>
    <w:uiPriority w:val="99"/>
    <w:unhideWhenUsed/>
  </w:style>
  <w:style w:type="paragraph" w:styleId="NormalIndent">
    <w:name w:val="Normal Indent"/>
    <w:basedOn w:val="Normal"/>
    <w:qFormat/>
    <w:pPr>
      <w:ind w:firstLine="420"/>
    </w:pPr>
  </w:style>
  <w:style w:type="paragraph" w:styleId="TOC7">
    <w:name w:val="toc 7"/>
    <w:basedOn w:val="Normal"/>
    <w:next w:val="Normal"/>
    <w:semiHidden/>
    <w:pPr>
      <w:ind w:left="2520"/>
    </w:pPr>
  </w:style>
  <w:style w:type="paragraph" w:styleId="CommentText">
    <w:name w:val="annotation text"/>
    <w:basedOn w:val="Normal"/>
    <w:link w:val="a8"/>
    <w:qFormat/>
    <w:pPr>
      <w:jc w:val="left"/>
    </w:pPr>
  </w:style>
  <w:style w:type="paragraph" w:styleId="BodyText">
    <w:name w:val="Body Text"/>
    <w:basedOn w:val="Normal"/>
    <w:link w:val="a5"/>
    <w:qFormat/>
    <w:pPr>
      <w:spacing w:line="360" w:lineRule="auto"/>
    </w:pPr>
    <w:rPr>
      <w:rFonts w:ascii="仿宋_GB2312" w:eastAsia="仿宋_GB2312"/>
      <w:color w:val="000000"/>
      <w:sz w:val="24"/>
      <w:szCs w:val="28"/>
    </w:rPr>
  </w:style>
  <w:style w:type="paragraph" w:styleId="BodyTextIndent">
    <w:name w:val="Body Text Indent"/>
    <w:basedOn w:val="Normal"/>
    <w:link w:val="a6"/>
    <w:qFormat/>
    <w:pPr>
      <w:snapToGrid w:val="0"/>
      <w:spacing w:line="560" w:lineRule="exact"/>
      <w:ind w:firstLine="480"/>
    </w:pPr>
    <w:rPr>
      <w:rFonts w:eastAsia="方正仿宋简体"/>
      <w:sz w:val="24"/>
      <w:szCs w:val="30"/>
    </w:rPr>
  </w:style>
  <w:style w:type="paragraph" w:styleId="TOC5">
    <w:name w:val="toc 5"/>
    <w:basedOn w:val="Normal"/>
    <w:next w:val="Normal"/>
    <w:semiHidden/>
    <w:pPr>
      <w:ind w:left="1680"/>
    </w:pPr>
  </w:style>
  <w:style w:type="paragraph" w:styleId="TOC3">
    <w:name w:val="toc 3"/>
    <w:basedOn w:val="Normal"/>
    <w:next w:val="Normal"/>
    <w:semiHidden/>
    <w:pPr>
      <w:ind w:left="840"/>
    </w:pPr>
  </w:style>
  <w:style w:type="paragraph" w:styleId="TOC8">
    <w:name w:val="toc 8"/>
    <w:basedOn w:val="Normal"/>
    <w:next w:val="Normal"/>
    <w:semiHidden/>
    <w:pPr>
      <w:ind w:left="2940"/>
    </w:pPr>
  </w:style>
  <w:style w:type="paragraph" w:styleId="BodyTextIndent2">
    <w:name w:val="Body Text Indent 2"/>
    <w:basedOn w:val="Normal"/>
    <w:link w:val="20"/>
    <w:pPr>
      <w:spacing w:line="360" w:lineRule="auto"/>
      <w:ind w:firstLine="525"/>
    </w:pPr>
    <w:rPr>
      <w:rFonts w:ascii="宋体" w:hAnsi="宋体"/>
      <w:sz w:val="28"/>
      <w:szCs w:val="20"/>
    </w:rPr>
  </w:style>
  <w:style w:type="paragraph" w:styleId="BalloonText">
    <w:name w:val="Balloon Text"/>
    <w:basedOn w:val="Normal"/>
    <w:link w:val="a7"/>
    <w:semiHidden/>
    <w:rPr>
      <w:sz w:val="18"/>
      <w:szCs w:val="18"/>
    </w:rPr>
  </w:style>
  <w:style w:type="paragraph" w:customStyle="1" w:styleId="10">
    <w:name w:val="页脚1"/>
    <w:basedOn w:val="Normal"/>
    <w:link w:val="Char0"/>
    <w:uiPriority w:val="99"/>
    <w:unhideWhenUsed/>
    <w:qFormat/>
    <w:pPr>
      <w:tabs>
        <w:tab w:val="center" w:pos="4153"/>
        <w:tab w:val="right" w:pos="8306"/>
      </w:tabs>
      <w:snapToGrid w:val="0"/>
      <w:jc w:val="left"/>
    </w:pPr>
    <w:rPr>
      <w:sz w:val="18"/>
      <w:szCs w:val="18"/>
    </w:rPr>
  </w:style>
  <w:style w:type="paragraph" w:customStyle="1" w:styleId="12">
    <w:name w:val="页眉1"/>
    <w:basedOn w:val="Normal"/>
    <w:link w:val="Char"/>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semiHidden/>
  </w:style>
  <w:style w:type="paragraph" w:styleId="TOC4">
    <w:name w:val="toc 4"/>
    <w:basedOn w:val="Normal"/>
    <w:next w:val="Normal"/>
    <w:semiHidden/>
    <w:pPr>
      <w:ind w:left="1260"/>
    </w:pPr>
  </w:style>
  <w:style w:type="paragraph" w:styleId="Subtitle">
    <w:name w:val="Subtitle"/>
    <w:basedOn w:val="Normal"/>
    <w:next w:val="Normal"/>
    <w:link w:val="a1"/>
    <w:uiPriority w:val="11"/>
    <w:qFormat/>
    <w:pPr>
      <w:spacing w:before="200" w:after="200"/>
    </w:pPr>
    <w:rPr>
      <w:sz w:val="24"/>
    </w:rPr>
  </w:style>
  <w:style w:type="paragraph" w:styleId="FootnoteText">
    <w:name w:val="footnote text"/>
    <w:basedOn w:val="Normal"/>
    <w:link w:val="a4"/>
    <w:uiPriority w:val="99"/>
    <w:semiHidden/>
    <w:unhideWhenUsed/>
    <w:qFormat/>
    <w:pPr>
      <w:spacing w:after="40"/>
    </w:pPr>
    <w:rPr>
      <w:sz w:val="18"/>
    </w:rPr>
  </w:style>
  <w:style w:type="paragraph" w:styleId="TOC6">
    <w:name w:val="toc 6"/>
    <w:basedOn w:val="Normal"/>
    <w:next w:val="Normal"/>
    <w:semiHidden/>
    <w:pPr>
      <w:ind w:left="2100"/>
    </w:pPr>
  </w:style>
  <w:style w:type="paragraph" w:styleId="BodyTextIndent3">
    <w:name w:val="Body Text Indent 3"/>
    <w:basedOn w:val="Normal"/>
    <w:link w:val="30"/>
    <w:pPr>
      <w:snapToGrid w:val="0"/>
      <w:ind w:firstLine="480"/>
    </w:pPr>
    <w:rPr>
      <w:rFonts w:ascii="仿宋_GB2312" w:eastAsia="仿宋_GB2312" w:hAnsi="宋体" w:cs="Arial"/>
      <w:color w:val="000000"/>
      <w:sz w:val="24"/>
    </w:rPr>
  </w:style>
  <w:style w:type="paragraph" w:styleId="TOC2">
    <w:name w:val="toc 2"/>
    <w:basedOn w:val="Normal"/>
    <w:next w:val="Normal"/>
    <w:uiPriority w:val="39"/>
    <w:pPr>
      <w:tabs>
        <w:tab w:val="right" w:leader="dot" w:pos="8494"/>
      </w:tabs>
      <w:ind w:left="420"/>
    </w:pPr>
  </w:style>
  <w:style w:type="paragraph" w:styleId="TOC9">
    <w:name w:val="toc 9"/>
    <w:basedOn w:val="Normal"/>
    <w:next w:val="Normal"/>
    <w:semiHidden/>
    <w:pPr>
      <w:ind w:left="3360"/>
    </w:pPr>
  </w:style>
  <w:style w:type="paragraph" w:styleId="HTMLPreformatted">
    <w:name w:val="HTML Preformatted"/>
    <w:basedOn w:val="Normal"/>
    <w:link w:val="HTML"/>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rPr>
  </w:style>
  <w:style w:type="paragraph" w:styleId="NormalWeb">
    <w:name w:val="Normal (Web)"/>
    <w:basedOn w:val="Normal"/>
    <w:uiPriority w:val="99"/>
    <w:qFormat/>
    <w:pPr>
      <w:widowControl/>
      <w:spacing w:before="100" w:beforeAutospacing="1" w:after="100" w:afterAutospacing="1"/>
      <w:jc w:val="left"/>
    </w:pPr>
    <w:rPr>
      <w:rFonts w:ascii="Arial Unicode MS" w:hAnsi="Arial Unicode MS" w:cs="Arial Unicode MS"/>
      <w:sz w:val="24"/>
    </w:rPr>
  </w:style>
  <w:style w:type="paragraph" w:styleId="Title">
    <w:name w:val="Title"/>
    <w:basedOn w:val="Normal"/>
    <w:next w:val="Normal"/>
    <w:link w:val="a0"/>
    <w:uiPriority w:val="10"/>
    <w:qFormat/>
    <w:pPr>
      <w:spacing w:before="300" w:after="200"/>
      <w:contextualSpacing/>
    </w:pPr>
    <w:rPr>
      <w:sz w:val="48"/>
      <w:szCs w:val="48"/>
    </w:rPr>
  </w:style>
  <w:style w:type="paragraph" w:styleId="CommentSubject">
    <w:name w:val="annotation subject"/>
    <w:basedOn w:val="CommentText"/>
    <w:next w:val="CommentText"/>
    <w:link w:val="a9"/>
    <w:qFormat/>
    <w:rPr>
      <w:b/>
      <w:bCs/>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Strong">
    <w:name w:val="Strong"/>
    <w:qFormat/>
    <w:rPr>
      <w:b/>
      <w:bCs/>
    </w:rPr>
  </w:style>
  <w:style w:type="character" w:styleId="PageNumber">
    <w:name w:val="page number"/>
    <w:basedOn w:val="DefaultParagraphFont"/>
    <w:qFormat/>
  </w:style>
  <w:style w:type="character" w:styleId="FollowedHyperlink">
    <w:name w:val="FollowedHyperlink"/>
    <w:basedOn w:val="DefaultParagraphFont"/>
    <w:uiPriority w:val="99"/>
    <w:semiHidden/>
    <w:unhideWhenUsed/>
    <w:rPr>
      <w:color w:val="800080" w:themeColor="followedHyperlink"/>
      <w:u w:val="single"/>
    </w:rPr>
  </w:style>
  <w:style w:type="character" w:styleId="Hyperlink">
    <w:name w:val="Hyperlink"/>
    <w:uiPriority w:val="99"/>
    <w:qFormat/>
    <w:rPr>
      <w:color w:val="0000FF"/>
      <w:u w:val="single"/>
    </w:rPr>
  </w:style>
  <w:style w:type="character" w:styleId="CommentReference">
    <w:name w:val="annotation reference"/>
    <w:qFormat/>
    <w:rPr>
      <w:sz w:val="21"/>
      <w:szCs w:val="21"/>
    </w:rPr>
  </w:style>
  <w:style w:type="character" w:styleId="FootnoteReference">
    <w:name w:val="footnote reference"/>
    <w:basedOn w:val="DefaultParagraphFont"/>
    <w:uiPriority w:val="99"/>
    <w:unhideWhenUsed/>
    <w:qFormat/>
    <w:rPr>
      <w:vertAlign w:val="superscript"/>
    </w:rPr>
  </w:style>
  <w:style w:type="character" w:customStyle="1" w:styleId="3">
    <w:name w:val="标题 3 字符"/>
    <w:basedOn w:val="DefaultParagraphFont"/>
    <w:link w:val="Heading3"/>
    <w:uiPriority w:val="9"/>
    <w:qFormat/>
    <w:rPr>
      <w:rFonts w:ascii="Arial" w:hAnsi="Arial" w:cs="Arial"/>
      <w:sz w:val="30"/>
      <w:szCs w:val="30"/>
    </w:rPr>
  </w:style>
  <w:style w:type="character" w:customStyle="1" w:styleId="4">
    <w:name w:val="标题 4 字符"/>
    <w:basedOn w:val="DefaultParagraphFont"/>
    <w:link w:val="Heading4"/>
    <w:uiPriority w:val="9"/>
    <w:qFormat/>
    <w:rPr>
      <w:rFonts w:ascii="Arial" w:hAnsi="Arial" w:cs="Arial"/>
      <w:b/>
      <w:bCs/>
      <w:sz w:val="26"/>
      <w:szCs w:val="26"/>
    </w:rPr>
  </w:style>
  <w:style w:type="character" w:customStyle="1" w:styleId="5">
    <w:name w:val="标题 5 字符"/>
    <w:basedOn w:val="DefaultParagraphFont"/>
    <w:link w:val="Heading5"/>
    <w:uiPriority w:val="9"/>
    <w:qFormat/>
    <w:rPr>
      <w:rFonts w:ascii="Arial" w:hAnsi="Arial" w:cs="Arial"/>
      <w:b/>
      <w:bCs/>
      <w:sz w:val="24"/>
      <w:szCs w:val="24"/>
    </w:rPr>
  </w:style>
  <w:style w:type="character" w:customStyle="1" w:styleId="6">
    <w:name w:val="标题 6 字符"/>
    <w:basedOn w:val="DefaultParagraphFont"/>
    <w:link w:val="Heading6"/>
    <w:uiPriority w:val="9"/>
    <w:qFormat/>
    <w:rPr>
      <w:rFonts w:ascii="Arial" w:hAnsi="Arial" w:cs="Arial"/>
      <w:b/>
      <w:bCs/>
      <w:sz w:val="22"/>
      <w:szCs w:val="22"/>
    </w:rPr>
  </w:style>
  <w:style w:type="character" w:customStyle="1" w:styleId="7">
    <w:name w:val="标题 7 字符"/>
    <w:basedOn w:val="DefaultParagraphFont"/>
    <w:link w:val="Heading7"/>
    <w:uiPriority w:val="9"/>
    <w:qFormat/>
    <w:rPr>
      <w:rFonts w:ascii="Arial" w:hAnsi="Arial" w:cs="Arial"/>
      <w:b/>
      <w:bCs/>
      <w:i/>
      <w:iCs/>
      <w:sz w:val="22"/>
      <w:szCs w:val="22"/>
    </w:rPr>
  </w:style>
  <w:style w:type="character" w:customStyle="1" w:styleId="8">
    <w:name w:val="标题 8 字符"/>
    <w:basedOn w:val="DefaultParagraphFont"/>
    <w:link w:val="Heading8"/>
    <w:uiPriority w:val="9"/>
    <w:qFormat/>
    <w:rPr>
      <w:rFonts w:ascii="Arial" w:hAnsi="Arial" w:cs="Arial"/>
      <w:i/>
      <w:iCs/>
      <w:sz w:val="22"/>
      <w:szCs w:val="22"/>
    </w:rPr>
  </w:style>
  <w:style w:type="character" w:customStyle="1" w:styleId="9">
    <w:name w:val="标题 9 字符"/>
    <w:basedOn w:val="DefaultParagraphFont"/>
    <w:link w:val="Heading9"/>
    <w:uiPriority w:val="9"/>
    <w:qFormat/>
    <w:rPr>
      <w:rFonts w:ascii="Arial" w:hAnsi="Arial" w:cs="Arial"/>
      <w:i/>
      <w:iCs/>
      <w:sz w:val="21"/>
      <w:szCs w:val="21"/>
    </w:rPr>
  </w:style>
  <w:style w:type="character" w:customStyle="1" w:styleId="TitleChar">
    <w:name w:val="Title Char"/>
    <w:basedOn w:val="DefaultParagraphFont"/>
    <w:uiPriority w:val="10"/>
    <w:qFormat/>
    <w:rPr>
      <w:sz w:val="48"/>
      <w:szCs w:val="48"/>
    </w:rPr>
  </w:style>
  <w:style w:type="character" w:customStyle="1" w:styleId="SubtitleChar">
    <w:name w:val="Subtitle Char"/>
    <w:basedOn w:val="DefaultParagraphFont"/>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FootnoteTextChar">
    <w:name w:val="Footnote Text Char"/>
    <w:uiPriority w:val="99"/>
    <w:qFormat/>
    <w:rPr>
      <w:sz w:val="18"/>
    </w:rPr>
  </w:style>
  <w:style w:type="character" w:customStyle="1" w:styleId="13">
    <w:name w:val="标题 1 字符"/>
    <w:basedOn w:val="DefaultParagraphFont"/>
    <w:link w:val="Heading1"/>
    <w:uiPriority w:val="9"/>
    <w:qFormat/>
    <w:rPr>
      <w:rFonts w:ascii="Arial" w:hAnsi="Arial" w:cs="Arial"/>
      <w:sz w:val="40"/>
      <w:szCs w:val="40"/>
    </w:rPr>
  </w:style>
  <w:style w:type="character" w:customStyle="1" w:styleId="2">
    <w:name w:val="标题 2 字符"/>
    <w:basedOn w:val="DefaultParagraphFont"/>
    <w:link w:val="Heading2"/>
    <w:uiPriority w:val="9"/>
    <w:qFormat/>
    <w:rPr>
      <w:rFonts w:ascii="Arial" w:hAnsi="Arial" w:cs="Arial"/>
      <w:sz w:val="34"/>
    </w:rPr>
  </w:style>
  <w:style w:type="character" w:customStyle="1" w:styleId="3Char">
    <w:name w:val="标题 3 Char"/>
    <w:basedOn w:val="DefaultParagraphFont"/>
    <w:link w:val="31"/>
    <w:uiPriority w:val="9"/>
    <w:qFormat/>
    <w:rPr>
      <w:rFonts w:ascii="Arial" w:hAnsi="Arial" w:cs="Arial"/>
      <w:sz w:val="30"/>
      <w:szCs w:val="30"/>
    </w:rPr>
  </w:style>
  <w:style w:type="character" w:customStyle="1" w:styleId="4Char">
    <w:name w:val="标题 4 Char"/>
    <w:basedOn w:val="DefaultParagraphFont"/>
    <w:link w:val="41"/>
    <w:uiPriority w:val="9"/>
    <w:qFormat/>
    <w:rPr>
      <w:rFonts w:ascii="Arial" w:hAnsi="Arial" w:cs="Arial"/>
      <w:b/>
      <w:bCs/>
      <w:sz w:val="26"/>
      <w:szCs w:val="26"/>
    </w:rPr>
  </w:style>
  <w:style w:type="character" w:customStyle="1" w:styleId="5Char">
    <w:name w:val="标题 5 Char"/>
    <w:basedOn w:val="DefaultParagraphFont"/>
    <w:link w:val="51"/>
    <w:uiPriority w:val="9"/>
    <w:qFormat/>
    <w:rPr>
      <w:rFonts w:ascii="Arial" w:hAnsi="Arial" w:cs="Arial"/>
      <w:b/>
      <w:bCs/>
      <w:sz w:val="24"/>
      <w:szCs w:val="24"/>
    </w:rPr>
  </w:style>
  <w:style w:type="character" w:customStyle="1" w:styleId="6Char">
    <w:name w:val="标题 6 Char"/>
    <w:basedOn w:val="DefaultParagraphFont"/>
    <w:link w:val="61"/>
    <w:uiPriority w:val="9"/>
    <w:qFormat/>
    <w:rPr>
      <w:rFonts w:ascii="Arial" w:hAnsi="Arial" w:cs="Arial"/>
      <w:b/>
      <w:bCs/>
      <w:sz w:val="22"/>
      <w:szCs w:val="22"/>
    </w:rPr>
  </w:style>
  <w:style w:type="character" w:customStyle="1" w:styleId="7Char">
    <w:name w:val="标题 7 Char"/>
    <w:basedOn w:val="DefaultParagraphFont"/>
    <w:link w:val="71"/>
    <w:uiPriority w:val="9"/>
    <w:qFormat/>
    <w:rPr>
      <w:rFonts w:ascii="Arial" w:hAnsi="Arial" w:cs="Arial"/>
      <w:b/>
      <w:bCs/>
      <w:i/>
      <w:iCs/>
      <w:sz w:val="22"/>
      <w:szCs w:val="22"/>
    </w:rPr>
  </w:style>
  <w:style w:type="character" w:customStyle="1" w:styleId="8Char">
    <w:name w:val="标题 8 Char"/>
    <w:basedOn w:val="DefaultParagraphFont"/>
    <w:link w:val="81"/>
    <w:uiPriority w:val="9"/>
    <w:qFormat/>
    <w:rPr>
      <w:rFonts w:ascii="Arial" w:hAnsi="Arial" w:cs="Arial"/>
      <w:i/>
      <w:iCs/>
      <w:sz w:val="22"/>
      <w:szCs w:val="22"/>
    </w:rPr>
  </w:style>
  <w:style w:type="character" w:customStyle="1" w:styleId="9Char">
    <w:name w:val="标题 9 Char"/>
    <w:basedOn w:val="DefaultParagraphFont"/>
    <w:link w:val="91"/>
    <w:uiPriority w:val="9"/>
    <w:qFormat/>
    <w:rPr>
      <w:rFonts w:ascii="Arial" w:hAnsi="Arial" w:cs="Arial"/>
      <w:i/>
      <w:iCs/>
      <w:sz w:val="21"/>
      <w:szCs w:val="21"/>
    </w:rPr>
  </w:style>
  <w:style w:type="paragraph" w:styleId="ListParagraph">
    <w:name w:val="List Paragraph"/>
    <w:basedOn w:val="Normal"/>
    <w:uiPriority w:val="34"/>
    <w:qFormat/>
    <w:pPr>
      <w:ind w:left="720"/>
      <w:contextualSpacing/>
    </w:pPr>
  </w:style>
  <w:style w:type="paragraph" w:styleId="NoSpacing">
    <w:name w:val="No Spacing"/>
    <w:uiPriority w:val="1"/>
    <w:qFormat/>
    <w:pPr>
      <w:pBdr>
        <w:top w:val="nil"/>
        <w:left w:val="nil"/>
        <w:bottom w:val="nil"/>
        <w:right w:val="nil"/>
        <w:between w:val="nil"/>
      </w:pBdr>
      <w:shd w:val="clear" w:color="FFFFFF" w:fill="FFFFFF"/>
    </w:pPr>
    <w:rPr>
      <w:sz w:val="21"/>
      <w:szCs w:val="22"/>
    </w:rPr>
  </w:style>
  <w:style w:type="character" w:customStyle="1" w:styleId="a0">
    <w:name w:val="标题 字符"/>
    <w:basedOn w:val="DefaultParagraphFont"/>
    <w:link w:val="Title"/>
    <w:uiPriority w:val="10"/>
    <w:qFormat/>
    <w:rPr>
      <w:sz w:val="48"/>
      <w:szCs w:val="48"/>
    </w:rPr>
  </w:style>
  <w:style w:type="character" w:customStyle="1" w:styleId="a1">
    <w:name w:val="副标题 字符"/>
    <w:basedOn w:val="DefaultParagraphFont"/>
    <w:link w:val="Subtitle"/>
    <w:uiPriority w:val="11"/>
    <w:qFormat/>
    <w:rPr>
      <w:sz w:val="24"/>
      <w:szCs w:val="24"/>
    </w:rPr>
  </w:style>
  <w:style w:type="paragraph" w:styleId="Quote">
    <w:name w:val="Quote"/>
    <w:basedOn w:val="Normal"/>
    <w:next w:val="Normal"/>
    <w:link w:val="a2"/>
    <w:uiPriority w:val="29"/>
    <w:qFormat/>
    <w:pPr>
      <w:ind w:left="720" w:right="720"/>
    </w:pPr>
    <w:rPr>
      <w:i/>
    </w:rPr>
  </w:style>
  <w:style w:type="character" w:customStyle="1" w:styleId="a2">
    <w:name w:val="引用 字符"/>
    <w:link w:val="Quote"/>
    <w:uiPriority w:val="29"/>
    <w:qFormat/>
    <w:rPr>
      <w:i/>
    </w:rPr>
  </w:style>
  <w:style w:type="paragraph" w:styleId="IntenseQuote">
    <w:name w:val="Intense Quote"/>
    <w:basedOn w:val="Normal"/>
    <w:next w:val="Normal"/>
    <w:link w:val="a3"/>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3">
    <w:name w:val="明显引用 字符"/>
    <w:link w:val="IntenseQuote"/>
    <w:uiPriority w:val="30"/>
    <w:qFormat/>
    <w:rPr>
      <w:i/>
    </w:rPr>
  </w:style>
  <w:style w:type="character" w:customStyle="1" w:styleId="HeaderChar">
    <w:name w:val="Header Char"/>
    <w:basedOn w:val="DefaultParagraphFont"/>
    <w:uiPriority w:val="99"/>
    <w:qFormat/>
  </w:style>
  <w:style w:type="character" w:customStyle="1" w:styleId="FooterChar">
    <w:name w:val="Footer Char"/>
    <w:basedOn w:val="DefaultParagraphFont"/>
    <w:uiPriority w:val="99"/>
    <w:qFormat/>
  </w:style>
  <w:style w:type="table" w:customStyle="1" w:styleId="TableGridLight">
    <w:name w:val="Table Grid Light"/>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
    <w:name w:val="无格式表格 1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2F2F2" w:fill="F2F2F2" w:themeFill="text1" w:themeFillTint="0D"/>
      </w:tcPr>
    </w:tblStylePr>
    <w:tblStylePr w:type="band2Vert">
      <w:pPr>
        <w:snapToGrid/>
      </w:pPr>
    </w:tblStylePr>
    <w:tblStylePr w:type="band1Horz">
      <w:pPr>
        <w:snapToGrid/>
      </w:p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
    <w:name w:val="无格式表格 21"/>
    <w:basedOn w:val="TableNormal"/>
    <w:uiPriority w:val="59"/>
    <w:qFormat/>
    <w:tblPr>
      <w:tblBorders>
        <w:top w:val="single" w:sz="4" w:space="0" w:color="000000" w:themeColor="text1"/>
        <w:left w:val="nil"/>
        <w:bottom w:val="single" w:sz="4" w:space="0" w:color="000000" w:themeColor="text1"/>
        <w:right w:val="nil"/>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
    <w:name w:val="无格式表格 31"/>
    <w:basedOn w:val="TableNormal"/>
    <w:uiPriority w:val="99"/>
    <w:qFormat/>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
    <w:name w:val="无格式表格 41"/>
    <w:basedOn w:val="TableNormal"/>
    <w:uiPriority w:val="99"/>
    <w:qFormat/>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
    <w:name w:val="无格式表格 51"/>
    <w:basedOn w:val="TableNormal"/>
    <w:uiPriority w:val="99"/>
    <w:qFormat/>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1">
    <w:name w:val="网格表 1 浅色1"/>
    <w:basedOn w:val="TableNormal"/>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1">
    <w:name w:val="Grid Table 1 Light - Accent 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pPr>
        <w:snapToGrid/>
      </w:pPr>
      <w:rPr>
        <w:b/>
        <w:color w:val="404040"/>
      </w:rPr>
      <w:tblPr/>
      <w:tcPr>
        <w:tcBorders>
          <w:bottom w:val="single" w:sz="12" w:space="0" w:color="97B4D8" w:themeColor="accen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2">
    <w:name w:val="Grid Table 1 Light - Accent 2"/>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pPr>
        <w:snapToGrid/>
      </w:pPr>
      <w:rPr>
        <w:b/>
        <w:color w:val="404040"/>
      </w:rPr>
      <w:tblPr/>
      <w:tcPr>
        <w:tcBorders>
          <w:bottom w:val="single" w:sz="12" w:space="0" w:color="DA9896" w:themeColor="accent2"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3">
    <w:name w:val="Grid Table 1 Light - Accent 3"/>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pPr>
        <w:snapToGrid/>
      </w:pPr>
      <w:rPr>
        <w:b/>
        <w:color w:val="404040"/>
      </w:rPr>
      <w:tblPr/>
      <w:tcPr>
        <w:tcBorders>
          <w:bottom w:val="single" w:sz="12" w:space="0" w:color="C4D79D" w:themeColor="accent3"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4">
    <w:name w:val="Grid Table 1 Light - Accent 4"/>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pPr>
        <w:snapToGrid/>
      </w:pPr>
      <w:rPr>
        <w:b/>
        <w:color w:val="404040"/>
      </w:rPr>
      <w:tblPr/>
      <w:tcPr>
        <w:tcBorders>
          <w:bottom w:val="single" w:sz="12" w:space="0" w:color="B4A4C8" w:themeColor="accent4"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5">
    <w:name w:val="Grid Table 1 Light - Accent 5"/>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pPr>
        <w:snapToGrid/>
      </w:pPr>
      <w:rPr>
        <w:b/>
        <w:color w:val="404040"/>
      </w:rPr>
      <w:tblPr/>
      <w:tcPr>
        <w:tcBorders>
          <w:bottom w:val="single" w:sz="12" w:space="0" w:color="95CEDD" w:themeColor="accent5"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6">
    <w:name w:val="Grid Table 1 Light - Accent 6"/>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pPr>
        <w:snapToGrid/>
      </w:pPr>
      <w:rPr>
        <w:b/>
        <w:color w:val="404040"/>
      </w:rPr>
      <w:tblPr/>
      <w:tcPr>
        <w:tcBorders>
          <w:bottom w:val="single" w:sz="12" w:space="0" w:color="FAC192" w:themeColor="accent6"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1">
    <w:name w:val="网格表 2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1">
    <w:name w:val="Grid Table 2 - Accent 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pPr>
        <w:snapToGrid/>
      </w:pPr>
      <w:rPr>
        <w:b/>
        <w:color w:val="404040"/>
      </w:rPr>
      <w:tblPr/>
      <w:tcPr>
        <w:tcBorders>
          <w:top w:val="nil"/>
          <w:left w:val="nil"/>
          <w:bottom w:val="single" w:sz="12" w:space="0" w:color="5D8AC2" w:themeColor="accent1" w:themeTint="EA"/>
          <w:right w:val="nil"/>
        </w:tcBorders>
        <w:shd w:val="clear" w:color="FFFFFF" w:fill="FFFFFF"/>
      </w:tcPr>
    </w:tblStylePr>
    <w:tblStylePr w:type="lastRow">
      <w:pPr>
        <w:snapToGrid/>
      </w:pPr>
      <w:rPr>
        <w:b/>
        <w:color w:val="404040"/>
      </w:rPr>
      <w:tblPr/>
      <w:tcPr>
        <w:tcBorders>
          <w:top w:val="single" w:sz="4" w:space="0" w:color="5D8AC2" w:themeColor="accent1" w:themeTint="E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5F1"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DAE5F1"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2">
    <w:name w:val="Grid Table 2 - Accent 2"/>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404040"/>
      </w:rPr>
      <w:tblPr/>
      <w:tcPr>
        <w:tcBorders>
          <w:top w:val="nil"/>
          <w:left w:val="nil"/>
          <w:bottom w:val="single" w:sz="12" w:space="0" w:color="D99695" w:themeColor="accent2" w:themeTint="97"/>
          <w:right w:val="nil"/>
        </w:tcBorders>
        <w:shd w:val="clear" w:color="FFFFFF" w:fill="FFFFFF"/>
      </w:tcPr>
    </w:tblStylePr>
    <w:tblStylePr w:type="lastRow">
      <w:pPr>
        <w:snapToGrid/>
      </w:pPr>
      <w:rPr>
        <w:b/>
        <w:color w:val="404040"/>
      </w:rPr>
      <w:tblPr/>
      <w:tcPr>
        <w:tcBorders>
          <w:top w:val="single" w:sz="4" w:space="0" w:color="D99695" w:themeColor="accent2" w:themeTint="97"/>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DCDC"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2DCDC"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3">
    <w:name w:val="Grid Table 2 - Accent 3"/>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404040"/>
      </w:rPr>
      <w:tblPr/>
      <w:tcPr>
        <w:tcBorders>
          <w:top w:val="nil"/>
          <w:left w:val="nil"/>
          <w:bottom w:val="single" w:sz="12" w:space="0" w:color="9ABB59" w:themeColor="accent3" w:themeTint="FE"/>
          <w:right w:val="nil"/>
        </w:tcBorders>
        <w:shd w:val="clear" w:color="FFFFFF" w:fill="FFFFFF"/>
      </w:tcPr>
    </w:tblStylePr>
    <w:tblStylePr w:type="lastRow">
      <w:pPr>
        <w:snapToGrid/>
      </w:pPr>
      <w:rPr>
        <w:b/>
        <w:color w:val="404040"/>
      </w:rPr>
      <w:tblPr/>
      <w:tcPr>
        <w:tcBorders>
          <w:top w:val="single" w:sz="4" w:space="0" w:color="9ABB59" w:themeColor="accent3" w:themeTint="FE"/>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AF1D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AF1D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4">
    <w:name w:val="Grid Table 2 - Accent 4"/>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404040"/>
      </w:rPr>
      <w:tblPr/>
      <w:tcPr>
        <w:tcBorders>
          <w:top w:val="nil"/>
          <w:left w:val="nil"/>
          <w:bottom w:val="single" w:sz="12" w:space="0" w:color="B2A1C6" w:themeColor="accent4" w:themeTint="9A"/>
          <w:right w:val="nil"/>
        </w:tcBorders>
        <w:shd w:val="clear" w:color="FFFFFF" w:fill="FFFFFF"/>
      </w:tcPr>
    </w:tblStylePr>
    <w:tblStylePr w:type="lastRow">
      <w:pPr>
        <w:snapToGrid/>
      </w:pPr>
      <w:rPr>
        <w:b/>
        <w:color w:val="404040"/>
      </w:rPr>
      <w:tblPr/>
      <w:tcPr>
        <w:tcBorders>
          <w:top w:val="single" w:sz="4" w:space="0" w:color="B2A1C6" w:themeColor="accent4" w:themeTint="9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5DFEC"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E5DFEC"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5">
    <w:name w:val="Grid Table 2 - Accent 5"/>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pPr>
        <w:snapToGrid/>
      </w:pPr>
      <w:rPr>
        <w:b/>
        <w:color w:val="404040"/>
      </w:rPr>
      <w:tblPr/>
      <w:tcPr>
        <w:tcBorders>
          <w:top w:val="nil"/>
          <w:left w:val="nil"/>
          <w:bottom w:val="single" w:sz="12" w:space="0" w:color="4BACC6" w:themeColor="accent5"/>
          <w:right w:val="nil"/>
        </w:tcBorders>
        <w:shd w:val="clear" w:color="FFFFFF" w:fill="FFFFFF"/>
      </w:tcPr>
    </w:tblStylePr>
    <w:tblStylePr w:type="lastRow">
      <w:pPr>
        <w:snapToGrid/>
      </w:pPr>
      <w:rPr>
        <w:b/>
        <w:color w:val="404040"/>
      </w:rPr>
      <w:tblPr/>
      <w:tcPr>
        <w:tcBorders>
          <w:top w:val="single" w:sz="4" w:space="0" w:color="4BACC6" w:themeColor="accent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E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AEE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6">
    <w:name w:val="Grid Table 2 - Accent 6"/>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pPr>
        <w:snapToGrid/>
      </w:pPr>
      <w:rPr>
        <w:b/>
        <w:color w:val="404040"/>
      </w:rPr>
      <w:tblPr/>
      <w:tcPr>
        <w:tcBorders>
          <w:top w:val="nil"/>
          <w:left w:val="nil"/>
          <w:bottom w:val="single" w:sz="12" w:space="0" w:color="F79646" w:themeColor="accent6"/>
          <w:right w:val="nil"/>
        </w:tcBorders>
        <w:shd w:val="clear" w:color="FFFFFF" w:fill="FFFFFF"/>
      </w:tcPr>
    </w:tblStylePr>
    <w:tblStylePr w:type="lastRow">
      <w:pPr>
        <w:snapToGrid/>
      </w:pPr>
      <w:rPr>
        <w:b/>
        <w:color w:val="404040"/>
      </w:rPr>
      <w:tblPr/>
      <w:tcPr>
        <w:tcBorders>
          <w:top w:val="single" w:sz="4" w:space="0" w:color="F79646" w:themeColor="accent6"/>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DE9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DE9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1">
    <w:name w:val="网格表 3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1">
    <w:name w:val="Grid Table 3 - Accent 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AE5F1"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DAE5F1"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2">
    <w:name w:val="Grid Table 3 - Accent 2"/>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2DCDC"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2DCDC"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3">
    <w:name w:val="Grid Table 3 - Accent 3"/>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AF1D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AF1D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4">
    <w:name w:val="Grid Table 3 - Accent 4"/>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5DFEC"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E5DFEC"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5">
    <w:name w:val="Grid Table 3 - Accent 5"/>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AEE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AEE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6">
    <w:name w:val="Grid Table 3 - Accent 6"/>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DE9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DE9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1">
    <w:name w:val="网格表 41"/>
    <w:basedOn w:val="TableNormal"/>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1">
    <w:name w:val="Grid Table 4 - Accent 1"/>
    <w:basedOn w:val="TableNormal"/>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pPr>
        <w:snapToGrid/>
      </w:pPr>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fill="5D8AC2" w:themeFill="accent1" w:themeFillTint="EA"/>
      </w:tcPr>
    </w:tblStylePr>
    <w:tblStylePr w:type="lastRow">
      <w:pPr>
        <w:snapToGrid/>
      </w:pPr>
      <w:rPr>
        <w:b/>
        <w:color w:val="404040"/>
      </w:rPr>
      <w:tblPr/>
      <w:tcPr>
        <w:tcBorders>
          <w:top w:val="single" w:sz="4" w:space="0" w:color="5D8AC2" w:themeColor="accent1" w:themeTint="E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CE6F2" w:fill="DCE6F2" w:themeFill="accent1" w:themeFillTint="32"/>
      </w:tcPr>
    </w:tblStylePr>
    <w:tblStylePr w:type="band2Vert">
      <w:pPr>
        <w:snapToGrid/>
      </w:pPr>
    </w:tblStylePr>
    <w:tblStylePr w:type="band1Horz">
      <w:pPr>
        <w:snapToGrid/>
      </w:pPr>
      <w:rPr>
        <w:rFonts w:ascii="Arial" w:hAnsi="Arial"/>
        <w:color w:val="404040"/>
        <w:sz w:val="22"/>
      </w:rPr>
      <w:tblPr/>
      <w:tcPr>
        <w:shd w:val="clear" w:color="DCE6F2" w:fill="DCE6F2"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2">
    <w:name w:val="Grid Table 4 - Accent 2"/>
    <w:basedOn w:val="TableNormal"/>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pPr>
        <w:snapToGrid/>
      </w:pPr>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fill="D99695" w:themeFill="accent2" w:themeFillTint="97"/>
      </w:tcPr>
    </w:tblStylePr>
    <w:tblStylePr w:type="lastRow">
      <w:pPr>
        <w:snapToGrid/>
      </w:pPr>
      <w:rPr>
        <w:b/>
        <w:color w:val="404040"/>
      </w:rPr>
      <w:tblPr/>
      <w:tcPr>
        <w:tcBorders>
          <w:top w:val="single" w:sz="4" w:space="0" w:color="D99695" w:themeColor="accent2" w:themeTint="97"/>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DCDC"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2DCDC"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3">
    <w:name w:val="Grid Table 4 - Accent 3"/>
    <w:basedOn w:val="TableNormal"/>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pPr>
        <w:snapToGrid/>
      </w:pPr>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fill="9ABB59" w:themeFill="accent3" w:themeFillTint="FE"/>
      </w:tcPr>
    </w:tblStylePr>
    <w:tblStylePr w:type="lastRow">
      <w:pPr>
        <w:snapToGrid/>
      </w:pPr>
      <w:rPr>
        <w:b/>
        <w:color w:val="404040"/>
      </w:rPr>
      <w:tblPr/>
      <w:tcPr>
        <w:tcBorders>
          <w:top w:val="single" w:sz="4" w:space="0" w:color="9ABB59" w:themeColor="accent3" w:themeTint="F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AF1D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AF1D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4">
    <w:name w:val="Grid Table 4 - Accent 4"/>
    <w:basedOn w:val="TableNormal"/>
    <w:uiPriority w:val="5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pPr>
        <w:snapToGrid/>
      </w:pPr>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fill="B2A1C6" w:themeFill="accent4" w:themeFillTint="9A"/>
      </w:tcPr>
    </w:tblStylePr>
    <w:tblStylePr w:type="lastRow">
      <w:pPr>
        <w:snapToGrid/>
      </w:pPr>
      <w:rPr>
        <w:b/>
        <w:color w:val="404040"/>
      </w:rPr>
      <w:tblPr/>
      <w:tcPr>
        <w:tcBorders>
          <w:top w:val="single" w:sz="4" w:space="0" w:color="B2A1C6" w:themeColor="accent4" w:themeTint="9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5DFEC"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E5DFEC"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5">
    <w:name w:val="Grid Table 4 - Accent 5"/>
    <w:basedOn w:val="TableNormal"/>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pPr>
        <w:snapToGrid/>
      </w:pPr>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pPr>
        <w:snapToGrid/>
      </w:pPr>
      <w:rPr>
        <w:b/>
        <w:color w:val="404040"/>
      </w:rPr>
      <w:tblPr/>
      <w:tcPr>
        <w:tcBorders>
          <w:top w:val="single" w:sz="4" w:space="0" w:color="4BACC6" w:themeColor="accent5"/>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E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AEE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6">
    <w:name w:val="Grid Table 4 - Accent 6"/>
    <w:basedOn w:val="TableNormal"/>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pPr>
        <w:snapToGrid/>
      </w:pPr>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pPr>
        <w:snapToGrid/>
      </w:pPr>
      <w:rPr>
        <w:b/>
        <w:color w:val="404040"/>
      </w:rPr>
      <w:tblPr/>
      <w:tcPr>
        <w:tcBorders>
          <w:top w:val="single" w:sz="4" w:space="0" w:color="F79646" w:themeColor="accent6"/>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DE9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DE9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1">
    <w:name w:val="网格表 5 深色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000000" w:fill="000000" w:themeFill="text1"/>
      </w:tcPr>
    </w:tblStylePr>
    <w:tblStylePr w:type="firstCol">
      <w:pPr>
        <w:snapToGrid/>
      </w:pPr>
      <w:rPr>
        <w:rFonts w:ascii="Arial" w:hAnsi="Arial"/>
        <w:b/>
        <w:color w:val="FFFFFF"/>
        <w:sz w:val="22"/>
      </w:rPr>
      <w:tblPr/>
      <w:tcPr>
        <w:shd w:val="clear" w:color="000000" w:fill="000000" w:themeFill="text1"/>
      </w:tcPr>
    </w:tblStylePr>
    <w:tblStylePr w:type="lastCol">
      <w:pPr>
        <w:snapToGrid/>
      </w:pPr>
      <w:rPr>
        <w:rFonts w:ascii="Arial" w:hAnsi="Arial"/>
        <w:b/>
        <w:color w:val="FFFFFF"/>
        <w:sz w:val="22"/>
      </w:rPr>
      <w:tblPr/>
      <w:tcPr>
        <w:shd w:val="clear" w:color="000000" w:fill="000000" w:themeFill="text1"/>
      </w:tcPr>
    </w:tblStylePr>
    <w:tblStylePr w:type="band1Vert">
      <w:pPr>
        <w:snapToGrid/>
      </w:pPr>
      <w:tblPr/>
      <w:tcPr>
        <w:shd w:val="clear" w:color="8A8A8A" w:fill="8A8A8A" w:themeFill="text1" w:themeFillTint="75"/>
      </w:tcPr>
    </w:tblStylePr>
    <w:tblStylePr w:type="band2Vert">
      <w:pPr>
        <w:snapToGrid/>
      </w:pPr>
    </w:tblStylePr>
    <w:tblStylePr w:type="band1Horz">
      <w:pPr>
        <w:snapToGrid/>
      </w:pPr>
      <w:tblPr/>
      <w:tcPr>
        <w:shd w:val="clear" w:color="8A8A8A"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1">
    <w:name w:val="Grid Table 5 Dark- Accent 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4F81BD" w:fill="4F81BD" w:themeFill="accent1"/>
      </w:tcPr>
    </w:tblStylePr>
    <w:tblStylePr w:type="lastRow">
      <w:pPr>
        <w:snapToGrid/>
      </w:pPr>
      <w:rPr>
        <w:rFonts w:ascii="Arial" w:hAnsi="Arial"/>
        <w:b/>
        <w:color w:val="FFFFFF"/>
        <w:sz w:val="22"/>
      </w:rPr>
      <w:tblPr/>
      <w:tcPr>
        <w:tcBorders>
          <w:top w:val="single" w:sz="4" w:space="0" w:color="FFFFFF" w:themeColor="light1"/>
        </w:tcBorders>
        <w:shd w:val="clear" w:color="4F81BD" w:fill="4F81BD" w:themeFill="accent1"/>
      </w:tcPr>
    </w:tblStylePr>
    <w:tblStylePr w:type="firstCol">
      <w:pPr>
        <w:snapToGrid/>
      </w:pPr>
      <w:rPr>
        <w:rFonts w:ascii="Arial" w:hAnsi="Arial"/>
        <w:b/>
        <w:color w:val="FFFFFF"/>
        <w:sz w:val="22"/>
      </w:rPr>
      <w:tblPr/>
      <w:tcPr>
        <w:shd w:val="clear" w:color="4F81BD" w:fill="4F81BD" w:themeFill="accent1"/>
      </w:tcPr>
    </w:tblStylePr>
    <w:tblStylePr w:type="lastCol">
      <w:pPr>
        <w:snapToGrid/>
      </w:pPr>
      <w:rPr>
        <w:rFonts w:ascii="Arial" w:hAnsi="Arial"/>
        <w:b/>
        <w:color w:val="FFFFFF"/>
        <w:sz w:val="22"/>
      </w:rPr>
      <w:tblPr/>
      <w:tcPr>
        <w:shd w:val="clear" w:color="4F81BD" w:fill="4F81BD" w:themeFill="accent1"/>
      </w:tcPr>
    </w:tblStylePr>
    <w:tblStylePr w:type="band1Vert">
      <w:pPr>
        <w:snapToGrid/>
      </w:pPr>
      <w:tblPr/>
      <w:tcPr>
        <w:shd w:val="clear" w:color="AEC4E0" w:fill="AEC4E0" w:themeFill="accent1" w:themeFillTint="75"/>
      </w:tcPr>
    </w:tblStylePr>
    <w:tblStylePr w:type="band2Vert">
      <w:pPr>
        <w:snapToGrid/>
      </w:pPr>
    </w:tblStylePr>
    <w:tblStylePr w:type="band1Horz">
      <w:pPr>
        <w:snapToGrid/>
      </w:pPr>
      <w:tblPr/>
      <w:tcPr>
        <w:shd w:val="clear" w:color="AEC4E0" w:fill="AEC4E0"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2">
    <w:name w:val="Grid Table 5 Dark - Accent 2"/>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C0504D" w:fill="C0504D" w:themeFill="accent2"/>
      </w:tcPr>
    </w:tblStylePr>
    <w:tblStylePr w:type="lastRow">
      <w:pPr>
        <w:snapToGrid/>
      </w:pPr>
      <w:rPr>
        <w:rFonts w:ascii="Arial" w:hAnsi="Arial"/>
        <w:b/>
        <w:color w:val="FFFFFF"/>
        <w:sz w:val="22"/>
      </w:rPr>
      <w:tblPr/>
      <w:tcPr>
        <w:tcBorders>
          <w:top w:val="single" w:sz="4" w:space="0" w:color="FFFFFF" w:themeColor="light1"/>
        </w:tcBorders>
        <w:shd w:val="clear" w:color="C0504D" w:fill="C0504D" w:themeFill="accent2"/>
      </w:tcPr>
    </w:tblStylePr>
    <w:tblStylePr w:type="firstCol">
      <w:pPr>
        <w:snapToGrid/>
      </w:pPr>
      <w:rPr>
        <w:rFonts w:ascii="Arial" w:hAnsi="Arial"/>
        <w:b/>
        <w:color w:val="FFFFFF"/>
        <w:sz w:val="22"/>
      </w:rPr>
      <w:tblPr/>
      <w:tcPr>
        <w:shd w:val="clear" w:color="C0504D" w:fill="C0504D" w:themeFill="accent2"/>
      </w:tcPr>
    </w:tblStylePr>
    <w:tblStylePr w:type="lastCol">
      <w:pPr>
        <w:snapToGrid/>
      </w:pPr>
      <w:rPr>
        <w:rFonts w:ascii="Arial" w:hAnsi="Arial"/>
        <w:b/>
        <w:color w:val="FFFFFF"/>
        <w:sz w:val="22"/>
      </w:rPr>
      <w:tblPr/>
      <w:tcPr>
        <w:shd w:val="clear" w:color="C0504D" w:fill="C0504D" w:themeFill="accent2"/>
      </w:tcPr>
    </w:tblStylePr>
    <w:tblStylePr w:type="band1Vert">
      <w:pPr>
        <w:snapToGrid/>
      </w:pPr>
      <w:tblPr/>
      <w:tcPr>
        <w:shd w:val="clear" w:color="E2AEAD" w:fill="E2AEAD" w:themeFill="accent2" w:themeFillTint="75"/>
      </w:tcPr>
    </w:tblStylePr>
    <w:tblStylePr w:type="band2Vert">
      <w:pPr>
        <w:snapToGrid/>
      </w:pPr>
    </w:tblStylePr>
    <w:tblStylePr w:type="band1Horz">
      <w:pPr>
        <w:snapToGrid/>
      </w:pPr>
      <w:tblPr/>
      <w:tcPr>
        <w:shd w:val="clear" w:color="E2AEAD" w:fill="E2AEAD"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3">
    <w:name w:val="Grid Table 5 Dark - Accent 3"/>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9BBB59" w:fill="9BBB59" w:themeFill="accent3"/>
      </w:tcPr>
    </w:tblStylePr>
    <w:tblStylePr w:type="lastRow">
      <w:pPr>
        <w:snapToGrid/>
      </w:pPr>
      <w:rPr>
        <w:rFonts w:ascii="Arial" w:hAnsi="Arial"/>
        <w:b/>
        <w:color w:val="FFFFFF"/>
        <w:sz w:val="22"/>
      </w:rPr>
      <w:tblPr/>
      <w:tcPr>
        <w:tcBorders>
          <w:top w:val="single" w:sz="4" w:space="0" w:color="FFFFFF" w:themeColor="light1"/>
        </w:tcBorders>
        <w:shd w:val="clear" w:color="9BBB59" w:fill="9BBB59" w:themeFill="accent3"/>
      </w:tcPr>
    </w:tblStylePr>
    <w:tblStylePr w:type="firstCol">
      <w:pPr>
        <w:snapToGrid/>
      </w:pPr>
      <w:rPr>
        <w:rFonts w:ascii="Arial" w:hAnsi="Arial"/>
        <w:b/>
        <w:color w:val="FFFFFF"/>
        <w:sz w:val="22"/>
      </w:rPr>
      <w:tblPr/>
      <w:tcPr>
        <w:shd w:val="clear" w:color="9BBB59" w:fill="9BBB59" w:themeFill="accent3"/>
      </w:tcPr>
    </w:tblStylePr>
    <w:tblStylePr w:type="lastCol">
      <w:pPr>
        <w:snapToGrid/>
      </w:pPr>
      <w:rPr>
        <w:rFonts w:ascii="Arial" w:hAnsi="Arial"/>
        <w:b/>
        <w:color w:val="FFFFFF"/>
        <w:sz w:val="22"/>
      </w:rPr>
      <w:tblPr/>
      <w:tcPr>
        <w:shd w:val="clear" w:color="9BBB59" w:fill="9BBB59" w:themeFill="accent3"/>
      </w:tcPr>
    </w:tblStylePr>
    <w:tblStylePr w:type="band1Vert">
      <w:pPr>
        <w:snapToGrid/>
      </w:pPr>
      <w:tblPr/>
      <w:tcPr>
        <w:shd w:val="clear" w:color="D0DFB2" w:fill="D0DFB2" w:themeFill="accent3" w:themeFillTint="75"/>
      </w:tcPr>
    </w:tblStylePr>
    <w:tblStylePr w:type="band2Vert">
      <w:pPr>
        <w:snapToGrid/>
      </w:pPr>
    </w:tblStylePr>
    <w:tblStylePr w:type="band1Horz">
      <w:pPr>
        <w:snapToGrid/>
      </w:pPr>
      <w:tblPr/>
      <w:tcPr>
        <w:shd w:val="clear" w:color="D0DFB2" w:fill="D0DFB2"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4">
    <w:name w:val="Grid Table 5 Dark- Accent 4"/>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8064A2" w:fill="8064A2" w:themeFill="accent4"/>
      </w:tcPr>
    </w:tblStylePr>
    <w:tblStylePr w:type="lastRow">
      <w:pPr>
        <w:snapToGrid/>
      </w:pPr>
      <w:rPr>
        <w:rFonts w:ascii="Arial" w:hAnsi="Arial"/>
        <w:b/>
        <w:color w:val="FFFFFF"/>
        <w:sz w:val="22"/>
      </w:rPr>
      <w:tblPr/>
      <w:tcPr>
        <w:tcBorders>
          <w:top w:val="single" w:sz="4" w:space="0" w:color="FFFFFF" w:themeColor="light1"/>
        </w:tcBorders>
        <w:shd w:val="clear" w:color="8064A2" w:fill="8064A2" w:themeFill="accent4"/>
      </w:tcPr>
    </w:tblStylePr>
    <w:tblStylePr w:type="firstCol">
      <w:pPr>
        <w:snapToGrid/>
      </w:pPr>
      <w:rPr>
        <w:rFonts w:ascii="Arial" w:hAnsi="Arial"/>
        <w:b/>
        <w:color w:val="FFFFFF"/>
        <w:sz w:val="22"/>
      </w:rPr>
      <w:tblPr/>
      <w:tcPr>
        <w:shd w:val="clear" w:color="8064A2" w:fill="8064A2" w:themeFill="accent4"/>
      </w:tcPr>
    </w:tblStylePr>
    <w:tblStylePr w:type="lastCol">
      <w:pPr>
        <w:snapToGrid/>
      </w:pPr>
      <w:rPr>
        <w:rFonts w:ascii="Arial" w:hAnsi="Arial"/>
        <w:b/>
        <w:color w:val="FFFFFF"/>
        <w:sz w:val="22"/>
      </w:rPr>
      <w:tblPr/>
      <w:tcPr>
        <w:shd w:val="clear" w:color="8064A2" w:fill="8064A2" w:themeFill="accent4"/>
      </w:tcPr>
    </w:tblStylePr>
    <w:tblStylePr w:type="band1Vert">
      <w:pPr>
        <w:snapToGrid/>
      </w:pPr>
      <w:tblPr/>
      <w:tcPr>
        <w:shd w:val="clear" w:color="C4B7D4" w:fill="C4B7D4" w:themeFill="accent4" w:themeFillTint="75"/>
      </w:tcPr>
    </w:tblStylePr>
    <w:tblStylePr w:type="band2Vert">
      <w:pPr>
        <w:snapToGrid/>
      </w:pPr>
    </w:tblStylePr>
    <w:tblStylePr w:type="band1Horz">
      <w:pPr>
        <w:snapToGrid/>
      </w:pPr>
      <w:tblPr/>
      <w:tcPr>
        <w:shd w:val="clear" w:color="C4B7D4" w:fill="C4B7D4"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5">
    <w:name w:val="Grid Table 5 Dark - Accent 5"/>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4BACC6" w:fill="4BACC6" w:themeFill="accent5"/>
      </w:tcPr>
    </w:tblStylePr>
    <w:tblStylePr w:type="lastRow">
      <w:pPr>
        <w:snapToGrid/>
      </w:pPr>
      <w:rPr>
        <w:rFonts w:ascii="Arial" w:hAnsi="Arial"/>
        <w:b/>
        <w:color w:val="FFFFFF"/>
        <w:sz w:val="22"/>
      </w:rPr>
      <w:tblPr/>
      <w:tcPr>
        <w:tcBorders>
          <w:top w:val="single" w:sz="4" w:space="0" w:color="FFFFFF" w:themeColor="light1"/>
        </w:tcBorders>
        <w:shd w:val="clear" w:color="4BACC6" w:fill="4BACC6" w:themeFill="accent5"/>
      </w:tcPr>
    </w:tblStylePr>
    <w:tblStylePr w:type="firstCol">
      <w:pPr>
        <w:snapToGrid/>
      </w:pPr>
      <w:rPr>
        <w:rFonts w:ascii="Arial" w:hAnsi="Arial"/>
        <w:b/>
        <w:color w:val="FFFFFF"/>
        <w:sz w:val="22"/>
      </w:rPr>
      <w:tblPr/>
      <w:tcPr>
        <w:shd w:val="clear" w:color="4BACC6" w:fill="4BACC6" w:themeFill="accent5"/>
      </w:tcPr>
    </w:tblStylePr>
    <w:tblStylePr w:type="lastCol">
      <w:pPr>
        <w:snapToGrid/>
      </w:pPr>
      <w:rPr>
        <w:rFonts w:ascii="Arial" w:hAnsi="Arial"/>
        <w:b/>
        <w:color w:val="FFFFFF"/>
        <w:sz w:val="22"/>
      </w:rPr>
      <w:tblPr/>
      <w:tcPr>
        <w:shd w:val="clear" w:color="4BACC6" w:fill="4BACC6" w:themeFill="accent5"/>
      </w:tcPr>
    </w:tblStylePr>
    <w:tblStylePr w:type="band1Vert">
      <w:pPr>
        <w:snapToGrid/>
      </w:pPr>
      <w:tblPr/>
      <w:tcPr>
        <w:shd w:val="clear" w:color="ACD8E4" w:fill="ACD8E4" w:themeFill="accent5" w:themeFillTint="75"/>
      </w:tcPr>
    </w:tblStylePr>
    <w:tblStylePr w:type="band2Vert">
      <w:pPr>
        <w:snapToGrid/>
      </w:pPr>
    </w:tblStylePr>
    <w:tblStylePr w:type="band1Horz">
      <w:pPr>
        <w:snapToGrid/>
      </w:pPr>
      <w:tblPr/>
      <w:tcPr>
        <w:shd w:val="clear" w:color="ACD8E4" w:fill="ACD8E4"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6">
    <w:name w:val="Grid Table 5 Dark - Accent 6"/>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F79646" w:fill="F79646" w:themeFill="accent6"/>
      </w:tcPr>
    </w:tblStylePr>
    <w:tblStylePr w:type="lastRow">
      <w:pPr>
        <w:snapToGrid/>
      </w:pPr>
      <w:rPr>
        <w:rFonts w:ascii="Arial" w:hAnsi="Arial"/>
        <w:b/>
        <w:color w:val="FFFFFF"/>
        <w:sz w:val="22"/>
      </w:rPr>
      <w:tblPr/>
      <w:tcPr>
        <w:tcBorders>
          <w:top w:val="single" w:sz="4" w:space="0" w:color="FFFFFF" w:themeColor="light1"/>
        </w:tcBorders>
        <w:shd w:val="clear" w:color="F79646" w:fill="F79646" w:themeFill="accent6"/>
      </w:tcPr>
    </w:tblStylePr>
    <w:tblStylePr w:type="firstCol">
      <w:pPr>
        <w:snapToGrid/>
      </w:pPr>
      <w:rPr>
        <w:rFonts w:ascii="Arial" w:hAnsi="Arial"/>
        <w:b/>
        <w:color w:val="FFFFFF"/>
        <w:sz w:val="22"/>
      </w:rPr>
      <w:tblPr/>
      <w:tcPr>
        <w:shd w:val="clear" w:color="F79646" w:fill="F79646" w:themeFill="accent6"/>
      </w:tcPr>
    </w:tblStylePr>
    <w:tblStylePr w:type="lastCol">
      <w:pPr>
        <w:snapToGrid/>
      </w:pPr>
      <w:rPr>
        <w:rFonts w:ascii="Arial" w:hAnsi="Arial"/>
        <w:b/>
        <w:color w:val="FFFFFF"/>
        <w:sz w:val="22"/>
      </w:rPr>
      <w:tblPr/>
      <w:tcPr>
        <w:shd w:val="clear" w:color="F79646" w:fill="F79646" w:themeFill="accent6"/>
      </w:tcPr>
    </w:tblStylePr>
    <w:tblStylePr w:type="band1Vert">
      <w:pPr>
        <w:snapToGrid/>
      </w:pPr>
      <w:tblPr/>
      <w:tcPr>
        <w:shd w:val="clear" w:color="FBCEAA" w:fill="FBCEAA" w:themeFill="accent6" w:themeFillTint="75"/>
      </w:tcPr>
    </w:tblStylePr>
    <w:tblStylePr w:type="band2Vert">
      <w:pPr>
        <w:snapToGrid/>
      </w:pPr>
    </w:tblStylePr>
    <w:tblStylePr w:type="band1Horz">
      <w:pPr>
        <w:snapToGrid/>
      </w:pPr>
      <w:tblPr/>
      <w:tcPr>
        <w:shd w:val="clear" w:color="FBCEAA" w:fill="FBCEAA"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0">
    <w:name w:val="网格表 6 彩色1"/>
    <w:basedOn w:val="TableNormal"/>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Tint="80"/>
      </w:rPr>
      <w:tblPr/>
      <w:tcPr>
        <w:tcBorders>
          <w:bottom w:val="single" w:sz="12" w:space="0" w:color="7F7F7F" w:themeColor="text1" w:themeTint="80"/>
        </w:tcBorders>
      </w:tcPr>
    </w:tblStylePr>
    <w:tblStylePr w:type="lastRow">
      <w:pPr>
        <w:snapToGrid/>
      </w:pPr>
      <w:rPr>
        <w:b/>
        <w:color w:val="7F7F7F" w:themeColor="text1" w:themeTint="80"/>
      </w:rPr>
    </w:tblStylePr>
    <w:tblStylePr w:type="firstCol">
      <w:pPr>
        <w:snapToGrid/>
      </w:pPr>
      <w:rPr>
        <w:b/>
        <w:color w:val="7F7F7F" w:themeColor="text1" w:themeTint="80"/>
      </w:rPr>
    </w:tblStylePr>
    <w:tblStylePr w:type="lastCol">
      <w:pPr>
        <w:snapToGrid/>
      </w:pPr>
      <w:rPr>
        <w:b/>
        <w:color w:val="7F7F7F" w:themeColor="text1" w:themeTint="80"/>
      </w:rPr>
    </w:tblStylePr>
    <w:tblStylePr w:type="band1Vert">
      <w:pPr>
        <w:snapToGrid/>
      </w:pPr>
      <w:tblPr/>
      <w:tcPr>
        <w:shd w:val="clear" w:color="CBCBCB" w:fill="CBCBCB" w:themeFill="text1" w:themeFillTint="34"/>
      </w:tcPr>
    </w:tblStylePr>
    <w:tblStylePr w:type="band2Vert">
      <w:pPr>
        <w:snapToGrid/>
      </w:pPr>
    </w:tblStylePr>
    <w:tblStylePr w:type="band1Horz">
      <w:pPr>
        <w:snapToGrid/>
      </w:pPr>
      <w:rPr>
        <w:rFonts w:ascii="Arial" w:hAnsi="Arial"/>
        <w:color w:val="7F7F7F" w:themeColor="text1" w:themeTint="80"/>
        <w:sz w:val="22"/>
      </w:rPr>
      <w:tblPr/>
      <w:tcPr>
        <w:shd w:val="clear" w:color="CBCBCB" w:fill="CBCBCB" w:themeFill="text1" w:themeFillTint="34"/>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1">
    <w:name w:val="Grid Table 6 Colorful - Accent 1"/>
    <w:basedOn w:val="TableNormal"/>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pPr>
        <w:snapToGrid/>
      </w:pPr>
      <w:rPr>
        <w:b/>
        <w:color w:val="A6BFDD" w:themeColor="accent1" w:themeTint="80"/>
      </w:rPr>
      <w:tblPr/>
      <w:tcPr>
        <w:tcBorders>
          <w:bottom w:val="single" w:sz="12" w:space="0" w:color="A6BFDD" w:themeColor="accent1" w:themeTint="80"/>
        </w:tcBorders>
      </w:tcPr>
    </w:tblStylePr>
    <w:tblStylePr w:type="lastRow">
      <w:pPr>
        <w:snapToGrid/>
      </w:pPr>
      <w:rPr>
        <w:b/>
        <w:color w:val="A6BFDD" w:themeColor="accent1" w:themeTint="80"/>
      </w:rPr>
    </w:tblStylePr>
    <w:tblStylePr w:type="firstCol">
      <w:pPr>
        <w:snapToGrid/>
      </w:pPr>
      <w:rPr>
        <w:b/>
        <w:color w:val="A6BFDD" w:themeColor="accent1" w:themeTint="80"/>
      </w:rPr>
    </w:tblStylePr>
    <w:tblStylePr w:type="lastCol">
      <w:pPr>
        <w:snapToGrid/>
      </w:pPr>
      <w:rPr>
        <w:b/>
        <w:color w:val="A6BFDD" w:themeColor="accent1" w:themeTint="80"/>
      </w:rPr>
    </w:tblStylePr>
    <w:tblStylePr w:type="band1Vert">
      <w:pPr>
        <w:snapToGrid/>
      </w:pPr>
      <w:tblPr/>
      <w:tcPr>
        <w:shd w:val="clear" w:color="DAE5F1" w:fill="DAE5F1" w:themeFill="accent1" w:themeFillTint="34"/>
      </w:tcPr>
    </w:tblStylePr>
    <w:tblStylePr w:type="band2Vert">
      <w:pPr>
        <w:snapToGrid/>
      </w:pPr>
    </w:tblStylePr>
    <w:tblStylePr w:type="band1Horz">
      <w:pPr>
        <w:snapToGrid/>
      </w:pPr>
      <w:rPr>
        <w:rFonts w:ascii="Arial" w:hAnsi="Arial"/>
        <w:color w:val="A6BFDD" w:themeColor="accent1" w:themeTint="80"/>
        <w:sz w:val="22"/>
      </w:rPr>
      <w:tblPr/>
      <w:tcPr>
        <w:shd w:val="clear" w:color="DAE5F1" w:fill="DAE5F1" w:themeFill="accent1" w:themeFillTint="34"/>
      </w:tcPr>
    </w:tblStylePr>
    <w:tblStylePr w:type="band2Horz">
      <w:pPr>
        <w:snapToGrid/>
      </w:pPr>
      <w:rPr>
        <w:rFonts w:ascii="Arial" w:hAnsi="Arial"/>
        <w:color w:val="A6BFDD"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2">
    <w:name w:val="Grid Table 6 Colorful - Accent 2"/>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DA9796" w:themeColor="accent2" w:themeTint="96"/>
      </w:rPr>
      <w:tblPr/>
      <w:tcPr>
        <w:tcBorders>
          <w:bottom w:val="single" w:sz="12" w:space="0" w:color="D99695" w:themeColor="accent2" w:themeTint="97"/>
        </w:tcBorders>
      </w:tcPr>
    </w:tblStylePr>
    <w:tblStylePr w:type="lastRow">
      <w:pPr>
        <w:snapToGrid/>
      </w:pPr>
      <w:rPr>
        <w:b/>
        <w:color w:val="DA9796" w:themeColor="accent2" w:themeTint="96"/>
      </w:rPr>
    </w:tblStylePr>
    <w:tblStylePr w:type="firstCol">
      <w:pPr>
        <w:snapToGrid/>
      </w:pPr>
      <w:rPr>
        <w:b/>
        <w:color w:val="DA9796" w:themeColor="accent2" w:themeTint="96"/>
      </w:rPr>
    </w:tblStylePr>
    <w:tblStylePr w:type="lastCol">
      <w:pPr>
        <w:snapToGrid/>
      </w:pPr>
      <w:rPr>
        <w:b/>
        <w:color w:val="DA9796" w:themeColor="accent2" w:themeTint="96"/>
      </w:rPr>
    </w:tblStylePr>
    <w:tblStylePr w:type="band1Vert">
      <w:pPr>
        <w:snapToGrid/>
      </w:pPr>
      <w:tblPr/>
      <w:tcPr>
        <w:shd w:val="clear" w:color="F2DCDC" w:fill="F2DCDC" w:themeFill="accent2" w:themeFillTint="32"/>
      </w:tcPr>
    </w:tblStylePr>
    <w:tblStylePr w:type="band2Vert">
      <w:pPr>
        <w:snapToGrid/>
      </w:pPr>
    </w:tblStylePr>
    <w:tblStylePr w:type="band1Horz">
      <w:pPr>
        <w:snapToGrid/>
      </w:pPr>
      <w:rPr>
        <w:rFonts w:ascii="Arial" w:hAnsi="Arial"/>
        <w:color w:val="DA9796" w:themeColor="accent2" w:themeTint="96"/>
        <w:sz w:val="22"/>
      </w:rPr>
      <w:tblPr/>
      <w:tcPr>
        <w:shd w:val="clear" w:color="F2DCDC" w:fill="F2DCDC" w:themeFill="accent2" w:themeFillTint="32"/>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3">
    <w:name w:val="Grid Table 6 Colorful - Accent 3"/>
    <w:basedOn w:val="TableNormal"/>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9BBB59" w:themeColor="accent3"/>
      </w:rPr>
      <w:tblPr/>
      <w:tcPr>
        <w:tcBorders>
          <w:bottom w:val="single" w:sz="12" w:space="0" w:color="9ABB59" w:themeColor="accent3" w:themeTint="FE"/>
        </w:tcBorders>
      </w:tcPr>
    </w:tblStylePr>
    <w:tblStylePr w:type="lastRow">
      <w:pPr>
        <w:snapToGrid/>
      </w:pPr>
      <w:rPr>
        <w:b/>
        <w:color w:val="9BBB59" w:themeColor="accent3"/>
      </w:rPr>
    </w:tblStylePr>
    <w:tblStylePr w:type="firstCol">
      <w:pPr>
        <w:snapToGrid/>
      </w:pPr>
      <w:rPr>
        <w:b/>
        <w:color w:val="9BBB59" w:themeColor="accent3"/>
      </w:rPr>
    </w:tblStylePr>
    <w:tblStylePr w:type="lastCol">
      <w:pPr>
        <w:snapToGrid/>
      </w:pPr>
      <w:rPr>
        <w:b/>
        <w:color w:val="9BBB59" w:themeColor="accent3"/>
      </w:rPr>
    </w:tblStylePr>
    <w:tblStylePr w:type="band1Vert">
      <w:pPr>
        <w:snapToGrid/>
      </w:pPr>
      <w:tblPr/>
      <w:tcPr>
        <w:shd w:val="clear" w:color="EAF1DC" w:fill="EAF1DC" w:themeFill="accent3" w:themeFillTint="34"/>
      </w:tcPr>
    </w:tblStylePr>
    <w:tblStylePr w:type="band2Vert">
      <w:pPr>
        <w:snapToGrid/>
      </w:pPr>
    </w:tblStylePr>
    <w:tblStylePr w:type="band1Horz">
      <w:pPr>
        <w:snapToGrid/>
      </w:pPr>
      <w:rPr>
        <w:rFonts w:ascii="Arial" w:hAnsi="Arial"/>
        <w:color w:val="9BBB59" w:themeColor="accent3"/>
        <w:sz w:val="22"/>
      </w:rPr>
      <w:tblPr/>
      <w:tcPr>
        <w:shd w:val="clear" w:color="EAF1DC" w:fill="EAF1DC" w:themeFill="accent3" w:themeFillTint="34"/>
      </w:tcPr>
    </w:tblStylePr>
    <w:tblStylePr w:type="band2Horz">
      <w:pPr>
        <w:snapToGrid/>
      </w:pPr>
      <w:rPr>
        <w:rFonts w:ascii="Arial" w:hAnsi="Arial"/>
        <w:color w:val="9BBB59"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4">
    <w:name w:val="Grid Table 6 Colorful - Accent 4"/>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B2A1C7" w:themeColor="accent4" w:themeTint="99"/>
      </w:rPr>
      <w:tblPr/>
      <w:tcPr>
        <w:tcBorders>
          <w:bottom w:val="single" w:sz="12" w:space="0" w:color="B2A1C6" w:themeColor="accent4" w:themeTint="9A"/>
        </w:tcBorders>
      </w:tcPr>
    </w:tblStylePr>
    <w:tblStylePr w:type="lastRow">
      <w:pPr>
        <w:snapToGrid/>
      </w:pPr>
      <w:rPr>
        <w:b/>
        <w:color w:val="B2A1C7" w:themeColor="accent4" w:themeTint="99"/>
      </w:rPr>
    </w:tblStylePr>
    <w:tblStylePr w:type="firstCol">
      <w:pPr>
        <w:snapToGrid/>
      </w:pPr>
      <w:rPr>
        <w:b/>
        <w:color w:val="B2A1C7" w:themeColor="accent4" w:themeTint="99"/>
      </w:rPr>
    </w:tblStylePr>
    <w:tblStylePr w:type="lastCol">
      <w:pPr>
        <w:snapToGrid/>
      </w:pPr>
      <w:rPr>
        <w:b/>
        <w:color w:val="B2A1C7" w:themeColor="accent4" w:themeTint="99"/>
      </w:rPr>
    </w:tblStylePr>
    <w:tblStylePr w:type="band1Vert">
      <w:pPr>
        <w:snapToGrid/>
      </w:pPr>
      <w:tblPr/>
      <w:tcPr>
        <w:shd w:val="clear" w:color="E5DFEC" w:fill="E5DFEC" w:themeFill="accent4" w:themeFillTint="34"/>
      </w:tcPr>
    </w:tblStylePr>
    <w:tblStylePr w:type="band2Vert">
      <w:pPr>
        <w:snapToGrid/>
      </w:pPr>
    </w:tblStylePr>
    <w:tblStylePr w:type="band1Horz">
      <w:pPr>
        <w:snapToGrid/>
      </w:pPr>
      <w:rPr>
        <w:rFonts w:ascii="Arial" w:hAnsi="Arial"/>
        <w:color w:val="B2A1C7" w:themeColor="accent4" w:themeTint="99"/>
        <w:sz w:val="22"/>
      </w:rPr>
      <w:tblPr/>
      <w:tcPr>
        <w:shd w:val="clear" w:color="E5DFEC" w:fill="E5DFEC" w:themeFill="accent4" w:themeFillTint="34"/>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5">
    <w:name w:val="Grid Table 6 Colorful - Accent 5"/>
    <w:basedOn w:val="TableNormal"/>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pPr>
        <w:snapToGrid/>
      </w:pPr>
      <w:rPr>
        <w:b/>
        <w:color w:val="266678" w:themeColor="accent5" w:themeShade="94"/>
      </w:rPr>
      <w:tblPr/>
      <w:tcPr>
        <w:tcBorders>
          <w:bottom w:val="single" w:sz="12" w:space="0" w:color="4BACC6" w:themeColor="accent5"/>
        </w:tcBorders>
      </w:tcPr>
    </w:tblStylePr>
    <w:tblStylePr w:type="lastRow">
      <w:pPr>
        <w:snapToGrid/>
      </w:pPr>
      <w:rPr>
        <w:b/>
        <w:color w:val="266678" w:themeColor="accent5" w:themeShade="94"/>
      </w:rPr>
    </w:tblStylePr>
    <w:tblStylePr w:type="firstCol">
      <w:pPr>
        <w:snapToGrid/>
      </w:pPr>
      <w:rPr>
        <w:b/>
        <w:color w:val="266678" w:themeColor="accent5" w:themeShade="94"/>
      </w:rPr>
    </w:tblStylePr>
    <w:tblStylePr w:type="lastCol">
      <w:pPr>
        <w:snapToGrid/>
      </w:pPr>
      <w:rPr>
        <w:b/>
        <w:color w:val="266678" w:themeColor="accent5" w:themeShade="94"/>
      </w:rPr>
    </w:tblStylePr>
    <w:tblStylePr w:type="band1Vert">
      <w:pPr>
        <w:snapToGrid/>
      </w:pPr>
      <w:tblPr/>
      <w:tcPr>
        <w:shd w:val="clear" w:color="DAEEF3" w:fill="DAEEF3" w:themeFill="accent5"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DAEEF3" w:fill="DAEEF3" w:themeFill="accent5"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6">
    <w:name w:val="Grid Table 6 Colorful - Accent 6"/>
    <w:basedOn w:val="TableNormal"/>
    <w:uiPriority w:val="99"/>
    <w:qFormat/>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pPr>
        <w:snapToGrid/>
      </w:pPr>
      <w:rPr>
        <w:b/>
        <w:color w:val="266678" w:themeColor="accent5" w:themeShade="94"/>
      </w:rPr>
      <w:tblPr/>
      <w:tcPr>
        <w:tcBorders>
          <w:bottom w:val="single" w:sz="12" w:space="0" w:color="F79646" w:themeColor="accent6"/>
        </w:tcBorders>
      </w:tcPr>
    </w:tblStylePr>
    <w:tblStylePr w:type="lastRow">
      <w:pPr>
        <w:snapToGrid/>
      </w:pPr>
      <w:rPr>
        <w:b/>
        <w:color w:val="266678" w:themeColor="accent5" w:themeShade="94"/>
      </w:rPr>
    </w:tblStylePr>
    <w:tblStylePr w:type="firstCol">
      <w:pPr>
        <w:snapToGrid/>
      </w:pPr>
      <w:rPr>
        <w:b/>
        <w:color w:val="266678" w:themeColor="accent5" w:themeShade="94"/>
      </w:rPr>
    </w:tblStylePr>
    <w:tblStylePr w:type="lastCol">
      <w:pPr>
        <w:snapToGrid/>
      </w:pPr>
      <w:rPr>
        <w:b/>
        <w:color w:val="266678" w:themeColor="accent5" w:themeShade="94"/>
      </w:rPr>
    </w:tblStylePr>
    <w:tblStylePr w:type="band1Vert">
      <w:pPr>
        <w:snapToGrid/>
      </w:pPr>
      <w:tblPr/>
      <w:tcPr>
        <w:shd w:val="clear" w:color="FDE9D8" w:fill="FDE9D8" w:themeFill="accent6"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FDE9D8" w:fill="FDE9D8" w:themeFill="accent6"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0">
    <w:name w:val="网格表 7 彩色1"/>
    <w:basedOn w:val="TableNormal"/>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2F2F2" w:fill="F2F2F2" w:themeFill="text1" w:themeFillTint="0D"/>
      </w:tcPr>
    </w:tblStylePr>
    <w:tblStylePr w:type="band2Vert">
      <w:pPr>
        <w:snapToGrid/>
      </w:pPr>
    </w:tblStylePr>
    <w:tblStylePr w:type="band1Horz">
      <w:pPr>
        <w:snapToGrid/>
      </w:pPr>
      <w:rPr>
        <w:rFonts w:ascii="Arial" w:hAnsi="Arial"/>
        <w:color w:val="7F7F7F" w:themeColor="text1" w:themeTint="80"/>
        <w:sz w:val="22"/>
      </w:rPr>
      <w:tblPr/>
      <w:tcPr>
        <w:shd w:val="clear" w:color="F2F2F2" w:fill="F2F2F2" w:themeFill="text1" w:themeFillTint="0D"/>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1">
    <w:name w:val="Grid Table 7 Colorful - Accent 1"/>
    <w:basedOn w:val="TableNormal"/>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pPr>
        <w:snapToGrid/>
      </w:pPr>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fill="FFFFFF" w:themeFill="light1"/>
      </w:tcPr>
    </w:tblStylePr>
    <w:tblStylePr w:type="lastRow">
      <w:pPr>
        <w:snapToGrid/>
      </w:pPr>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fill="FFFFFF" w:themeFill="light1"/>
      </w:tcPr>
    </w:tblStylePr>
    <w:tblStylePr w:type="firstCol">
      <w:pPr>
        <w:snapToGrid/>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FFFFFF"/>
      </w:tcPr>
    </w:tblStylePr>
    <w:tblStylePr w:type="lastCol">
      <w:pPr>
        <w:snapToGrid/>
      </w:pPr>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FFFFFF"/>
      </w:tcPr>
    </w:tblStylePr>
    <w:tblStylePr w:type="band1Vert">
      <w:pPr>
        <w:snapToGrid/>
      </w:pPr>
      <w:tblPr/>
      <w:tcPr>
        <w:shd w:val="clear" w:color="DAE5F1" w:fill="DAE5F1" w:themeFill="accent1" w:themeFillTint="34"/>
      </w:tcPr>
    </w:tblStylePr>
    <w:tblStylePr w:type="band2Vert">
      <w:pPr>
        <w:snapToGrid/>
      </w:pPr>
    </w:tblStylePr>
    <w:tblStylePr w:type="band1Horz">
      <w:pPr>
        <w:snapToGrid/>
      </w:pPr>
      <w:rPr>
        <w:rFonts w:ascii="Arial" w:hAnsi="Arial"/>
        <w:color w:val="A6BFDD" w:themeColor="accent1" w:themeTint="80"/>
        <w:sz w:val="22"/>
      </w:rPr>
      <w:tblPr/>
      <w:tcPr>
        <w:shd w:val="clear" w:color="DAE5F1" w:fill="DAE5F1" w:themeFill="accent1" w:themeFillTint="34"/>
      </w:tcPr>
    </w:tblStylePr>
    <w:tblStylePr w:type="band2Horz">
      <w:pPr>
        <w:snapToGrid/>
      </w:pPr>
      <w:rPr>
        <w:rFonts w:ascii="Arial" w:hAnsi="Arial"/>
        <w:color w:val="A6BFDD"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2">
    <w:name w:val="Grid Table 7 Colorful - Accent 2"/>
    <w:basedOn w:val="TableNormal"/>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F2DCDC" w:fill="F2DCDC" w:themeFill="accent2" w:themeFillTint="32"/>
      </w:tcPr>
    </w:tblStylePr>
    <w:tblStylePr w:type="band2Vert">
      <w:pPr>
        <w:snapToGrid/>
      </w:pPr>
    </w:tblStylePr>
    <w:tblStylePr w:type="band1Horz">
      <w:pPr>
        <w:snapToGrid/>
      </w:pPr>
      <w:rPr>
        <w:rFonts w:ascii="Arial" w:hAnsi="Arial"/>
        <w:color w:val="DA9796" w:themeColor="accent2" w:themeTint="96"/>
        <w:sz w:val="22"/>
      </w:rPr>
      <w:tblPr/>
      <w:tcPr>
        <w:shd w:val="clear" w:color="F2DCDC" w:fill="F2DCDC" w:themeFill="accent2" w:themeFillTint="32"/>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3">
    <w:name w:val="Grid Table 7 Colorful - Accent 3"/>
    <w:basedOn w:val="TableNormal"/>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rFonts w:ascii="Arial" w:hAnsi="Arial"/>
        <w:b/>
        <w:color w:val="9BBB59" w:themeColor="accent3"/>
        <w:sz w:val="22"/>
      </w:rPr>
      <w:tblPr/>
      <w:tcPr>
        <w:tcBorders>
          <w:top w:val="nil"/>
          <w:left w:val="nil"/>
          <w:bottom w:val="single" w:sz="4" w:space="0" w:color="9ABB59" w:themeColor="accent3" w:themeTint="FE"/>
          <w:right w:val="nil"/>
        </w:tcBorders>
        <w:shd w:val="clear" w:color="FFFFFF" w:fill="FFFFFF" w:themeFill="light1"/>
      </w:tcPr>
    </w:tblStylePr>
    <w:tblStylePr w:type="lastRow">
      <w:pPr>
        <w:snapToGrid/>
      </w:pPr>
      <w:rPr>
        <w:rFonts w:ascii="Arial" w:hAnsi="Arial"/>
        <w:b/>
        <w:color w:val="9BBB59" w:themeColor="accent3"/>
        <w:sz w:val="22"/>
      </w:rPr>
      <w:tblPr/>
      <w:tcPr>
        <w:tcBorders>
          <w:top w:val="single" w:sz="4" w:space="0" w:color="9ABB59" w:themeColor="accent3" w:themeTint="FE"/>
          <w:left w:val="nil"/>
          <w:bottom w:val="nil"/>
          <w:right w:val="nil"/>
        </w:tcBorders>
        <w:shd w:val="clear" w:color="FFFFFF" w:fill="FFFFFF" w:themeFill="light1"/>
      </w:tcPr>
    </w:tblStylePr>
    <w:tblStylePr w:type="firstCol">
      <w:pPr>
        <w:snapToGrid/>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FFFFFF"/>
      </w:tcPr>
    </w:tblStylePr>
    <w:tblStylePr w:type="lastCol">
      <w:pPr>
        <w:snapToGrid/>
      </w:pPr>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FFFFFF"/>
      </w:tcPr>
    </w:tblStylePr>
    <w:tblStylePr w:type="band1Vert">
      <w:pPr>
        <w:snapToGrid/>
      </w:pPr>
      <w:tblPr/>
      <w:tcPr>
        <w:shd w:val="clear" w:color="EAF1DC" w:fill="EAF1DC" w:themeFill="accent3" w:themeFillTint="34"/>
      </w:tcPr>
    </w:tblStylePr>
    <w:tblStylePr w:type="band2Vert">
      <w:pPr>
        <w:snapToGrid/>
      </w:pPr>
    </w:tblStylePr>
    <w:tblStylePr w:type="band1Horz">
      <w:pPr>
        <w:snapToGrid/>
      </w:pPr>
      <w:rPr>
        <w:rFonts w:ascii="Arial" w:hAnsi="Arial"/>
        <w:color w:val="9BBB59" w:themeColor="accent3"/>
        <w:sz w:val="22"/>
      </w:rPr>
      <w:tblPr/>
      <w:tcPr>
        <w:shd w:val="clear" w:color="EAF1DC" w:fill="EAF1DC" w:themeFill="accent3" w:themeFillTint="34"/>
      </w:tcPr>
    </w:tblStylePr>
    <w:tblStylePr w:type="band2Horz">
      <w:pPr>
        <w:snapToGrid/>
      </w:pPr>
      <w:rPr>
        <w:rFonts w:ascii="Arial" w:hAnsi="Arial"/>
        <w:color w:val="9BBB59"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4">
    <w:name w:val="Grid Table 7 Colorful - Accent 4"/>
    <w:basedOn w:val="TableNormal"/>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E5DFEC" w:fill="E5DFEC" w:themeFill="accent4" w:themeFillTint="34"/>
      </w:tcPr>
    </w:tblStylePr>
    <w:tblStylePr w:type="band2Vert">
      <w:pPr>
        <w:snapToGrid/>
      </w:pPr>
    </w:tblStylePr>
    <w:tblStylePr w:type="band1Horz">
      <w:pPr>
        <w:snapToGrid/>
      </w:pPr>
      <w:rPr>
        <w:rFonts w:ascii="Arial" w:hAnsi="Arial"/>
        <w:color w:val="B2A1C7" w:themeColor="accent4" w:themeTint="99"/>
        <w:sz w:val="22"/>
      </w:rPr>
      <w:tblPr/>
      <w:tcPr>
        <w:shd w:val="clear" w:color="E5DFEC" w:fill="E5DFEC" w:themeFill="accent4" w:themeFillTint="34"/>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5">
    <w:name w:val="Grid Table 7 Colorful - Accent 5"/>
    <w:basedOn w:val="TableNormal"/>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pPr>
        <w:snapToGrid/>
      </w:pPr>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fill="FFFFFF" w:themeFill="light1"/>
      </w:tcPr>
    </w:tblStylePr>
    <w:tblStylePr w:type="lastRow">
      <w:pPr>
        <w:snapToGrid/>
      </w:pPr>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fill="FFFFFF" w:themeFill="light1"/>
      </w:tcPr>
    </w:tblStylePr>
    <w:tblStylePr w:type="firstCol">
      <w:pPr>
        <w:snapToGrid/>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FFFFFF"/>
      </w:tcPr>
    </w:tblStylePr>
    <w:tblStylePr w:type="lastCol">
      <w:pPr>
        <w:snapToGrid/>
      </w:pPr>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FFFFFF"/>
      </w:tcPr>
    </w:tblStylePr>
    <w:tblStylePr w:type="band1Vert">
      <w:pPr>
        <w:snapToGrid/>
      </w:pPr>
      <w:tblPr/>
      <w:tcPr>
        <w:shd w:val="clear" w:color="DAEEF3" w:fill="DAEEF3" w:themeFill="accent5"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DAEEF3" w:fill="DAEEF3" w:themeFill="accent5"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6">
    <w:name w:val="Grid Table 7 Colorful - Accent 6"/>
    <w:basedOn w:val="TableNormal"/>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pPr>
        <w:snapToGrid/>
      </w:pPr>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fill="FFFFFF" w:themeFill="light1"/>
      </w:tcPr>
    </w:tblStylePr>
    <w:tblStylePr w:type="lastRow">
      <w:pPr>
        <w:snapToGrid/>
      </w:pPr>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fill="FFFFFF" w:themeFill="light1"/>
      </w:tcPr>
    </w:tblStylePr>
    <w:tblStylePr w:type="firstCol">
      <w:pPr>
        <w:snapToGrid/>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FFFFFF"/>
      </w:tcPr>
    </w:tblStylePr>
    <w:tblStylePr w:type="lastCol">
      <w:pPr>
        <w:snapToGrid/>
      </w:pPr>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FFFFFF"/>
      </w:tcPr>
    </w:tblStylePr>
    <w:tblStylePr w:type="band1Vert">
      <w:pPr>
        <w:snapToGrid/>
      </w:pPr>
      <w:tblPr/>
      <w:tcPr>
        <w:shd w:val="clear" w:color="FDE9D8" w:fill="FDE9D8" w:themeFill="accent6" w:themeFillTint="34"/>
      </w:tcPr>
    </w:tblStylePr>
    <w:tblStylePr w:type="band2Vert">
      <w:pPr>
        <w:snapToGrid/>
      </w:pPr>
    </w:tblStylePr>
    <w:tblStylePr w:type="band1Horz">
      <w:pPr>
        <w:snapToGrid/>
      </w:pPr>
      <w:rPr>
        <w:rFonts w:ascii="Arial" w:hAnsi="Arial"/>
        <w:color w:val="B05307" w:themeColor="accent6" w:themeShade="94"/>
        <w:sz w:val="22"/>
      </w:rPr>
      <w:tblPr/>
      <w:tcPr>
        <w:shd w:val="clear" w:color="FDE9D8" w:fill="FDE9D8" w:themeFill="accent6" w:themeFillTint="34"/>
      </w:tcPr>
    </w:tblStylePr>
    <w:tblStylePr w:type="band2Horz">
      <w:pPr>
        <w:snapToGrid/>
      </w:pPr>
      <w:rPr>
        <w:rFonts w:ascii="Arial" w:hAnsi="Arial"/>
        <w:color w:val="B05307" w:themeColor="accent6"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2">
    <w:name w:val="清单表 1 浅色1"/>
    <w:basedOn w:val="TableNormal"/>
    <w:uiPriority w:val="99"/>
    <w:qFormat/>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1">
    <w:name w:val="List Table 1 Light - Accent 1"/>
    <w:basedOn w:val="TableNormal"/>
    <w:uiPriority w:val="99"/>
    <w:qFormat/>
    <w:tblPr/>
    <w:tblStylePr w:type="firstRow">
      <w:pPr>
        <w:snapToGrid/>
      </w:pPr>
      <w:rPr>
        <w:b/>
        <w:color w:val="404040"/>
      </w:rPr>
      <w:tblPr/>
      <w:tcPr>
        <w:tcBorders>
          <w:top w:val="nil"/>
          <w:left w:val="nil"/>
          <w:bottom w:val="single" w:sz="4" w:space="0" w:color="4F81BD" w:themeColor="accent1"/>
          <w:right w:val="nil"/>
        </w:tcBorders>
      </w:tcPr>
    </w:tblStylePr>
    <w:tblStylePr w:type="lastRow">
      <w:pPr>
        <w:snapToGrid/>
      </w:pPr>
      <w:rPr>
        <w:b/>
        <w:color w:val="404040"/>
      </w:rPr>
      <w:tblPr/>
      <w:tcPr>
        <w:tcBorders>
          <w:top w:val="single" w:sz="4" w:space="0" w:color="4F81BD" w:themeColor="accen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2DFEE" w:fill="D2DFEE" w:themeFill="accent1" w:themeFillTint="40"/>
      </w:tcPr>
    </w:tblStylePr>
    <w:tblStylePr w:type="band2Vert">
      <w:pPr>
        <w:snapToGrid/>
      </w:pPr>
    </w:tblStylePr>
    <w:tblStylePr w:type="band1Horz">
      <w:pPr>
        <w:snapToGrid/>
      </w:pPr>
      <w:tblPr/>
      <w:tcPr>
        <w:shd w:val="clear" w:color="D2DFEE"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2">
    <w:name w:val="List Table 1 Light - Accent 2"/>
    <w:basedOn w:val="TableNormal"/>
    <w:uiPriority w:val="99"/>
    <w:qFormat/>
    <w:tblPr/>
    <w:tblStylePr w:type="firstRow">
      <w:pPr>
        <w:snapToGrid/>
      </w:pPr>
      <w:rPr>
        <w:b/>
        <w:color w:val="404040"/>
      </w:rPr>
      <w:tblPr/>
      <w:tcPr>
        <w:tcBorders>
          <w:top w:val="nil"/>
          <w:left w:val="nil"/>
          <w:bottom w:val="single" w:sz="4" w:space="0" w:color="C0504D" w:themeColor="accent2"/>
          <w:right w:val="nil"/>
        </w:tcBorders>
      </w:tcPr>
    </w:tblStylePr>
    <w:tblStylePr w:type="lastRow">
      <w:pPr>
        <w:snapToGrid/>
      </w:pPr>
      <w:rPr>
        <w:b/>
        <w:color w:val="404040"/>
      </w:rPr>
      <w:tblPr/>
      <w:tcPr>
        <w:tcBorders>
          <w:top w:val="single" w:sz="4" w:space="0" w:color="C0504D" w:themeColor="accent2"/>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EFD2D2" w:fill="EFD2D2" w:themeFill="accent2" w:themeFillTint="40"/>
      </w:tcPr>
    </w:tblStylePr>
    <w:tblStylePr w:type="band2Vert">
      <w:pPr>
        <w:snapToGrid/>
      </w:pPr>
    </w:tblStylePr>
    <w:tblStylePr w:type="band1Horz">
      <w:pPr>
        <w:snapToGrid/>
      </w:pPr>
      <w:tblPr/>
      <w:tcPr>
        <w:shd w:val="clear" w:color="EFD2D2"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3">
    <w:name w:val="List Table 1 Light - Accent 3"/>
    <w:basedOn w:val="TableNormal"/>
    <w:uiPriority w:val="99"/>
    <w:qFormat/>
    <w:tblPr/>
    <w:tblStylePr w:type="firstRow">
      <w:pPr>
        <w:snapToGrid/>
      </w:pPr>
      <w:rPr>
        <w:b/>
        <w:color w:val="404040"/>
      </w:rPr>
      <w:tblPr/>
      <w:tcPr>
        <w:tcBorders>
          <w:top w:val="nil"/>
          <w:left w:val="nil"/>
          <w:bottom w:val="single" w:sz="4" w:space="0" w:color="9BBB59" w:themeColor="accent3"/>
          <w:right w:val="nil"/>
        </w:tcBorders>
      </w:tcPr>
    </w:tblStylePr>
    <w:tblStylePr w:type="lastRow">
      <w:pPr>
        <w:snapToGrid/>
      </w:pPr>
      <w:rPr>
        <w:b/>
        <w:color w:val="404040"/>
      </w:rPr>
      <w:tblPr/>
      <w:tcPr>
        <w:tcBorders>
          <w:top w:val="single" w:sz="4" w:space="0" w:color="9BBB59" w:themeColor="accent3"/>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E5EED5" w:fill="E5EED5" w:themeFill="accent3" w:themeFillTint="40"/>
      </w:tcPr>
    </w:tblStylePr>
    <w:tblStylePr w:type="band2Vert">
      <w:pPr>
        <w:snapToGrid/>
      </w:pPr>
    </w:tblStylePr>
    <w:tblStylePr w:type="band1Horz">
      <w:pPr>
        <w:snapToGrid/>
      </w:pPr>
      <w:tblPr/>
      <w:tcPr>
        <w:shd w:val="clear" w:color="E5EED5"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4">
    <w:name w:val="List Table 1 Light - Accent 4"/>
    <w:basedOn w:val="TableNormal"/>
    <w:uiPriority w:val="99"/>
    <w:qFormat/>
    <w:tblPr/>
    <w:tblStylePr w:type="firstRow">
      <w:pPr>
        <w:snapToGrid/>
      </w:pPr>
      <w:rPr>
        <w:b/>
        <w:color w:val="404040"/>
      </w:rPr>
      <w:tblPr/>
      <w:tcPr>
        <w:tcBorders>
          <w:top w:val="nil"/>
          <w:left w:val="nil"/>
          <w:bottom w:val="single" w:sz="4" w:space="0" w:color="8064A2" w:themeColor="accent4"/>
          <w:right w:val="nil"/>
        </w:tcBorders>
      </w:tcPr>
    </w:tblStylePr>
    <w:tblStylePr w:type="lastRow">
      <w:pPr>
        <w:snapToGrid/>
      </w:pPr>
      <w:rPr>
        <w:b/>
        <w:color w:val="404040"/>
      </w:rPr>
      <w:tblPr/>
      <w:tcPr>
        <w:tcBorders>
          <w:top w:val="single" w:sz="4" w:space="0" w:color="8064A2" w:themeColor="accent4"/>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FD8E7" w:fill="DFD8E7" w:themeFill="accent4" w:themeFillTint="40"/>
      </w:tcPr>
    </w:tblStylePr>
    <w:tblStylePr w:type="band2Vert">
      <w:pPr>
        <w:snapToGrid/>
      </w:pPr>
    </w:tblStylePr>
    <w:tblStylePr w:type="band1Horz">
      <w:pPr>
        <w:snapToGrid/>
      </w:pPr>
      <w:tblPr/>
      <w:tcPr>
        <w:shd w:val="clear" w:color="DFD8E7"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5">
    <w:name w:val="List Table 1 Light - Accent 5"/>
    <w:basedOn w:val="TableNormal"/>
    <w:uiPriority w:val="99"/>
    <w:qFormat/>
    <w:tblPr/>
    <w:tblStylePr w:type="firstRow">
      <w:pPr>
        <w:snapToGrid/>
      </w:pPr>
      <w:rPr>
        <w:b/>
        <w:color w:val="404040"/>
      </w:rPr>
      <w:tblPr/>
      <w:tcPr>
        <w:tcBorders>
          <w:top w:val="nil"/>
          <w:left w:val="nil"/>
          <w:bottom w:val="single" w:sz="4" w:space="0" w:color="4BACC6" w:themeColor="accent5"/>
          <w:right w:val="nil"/>
        </w:tcBorders>
      </w:tcPr>
    </w:tblStylePr>
    <w:tblStylePr w:type="lastRow">
      <w:pPr>
        <w:snapToGrid/>
      </w:pPr>
      <w:rPr>
        <w:b/>
        <w:color w:val="404040"/>
      </w:rPr>
      <w:tblPr/>
      <w:tcPr>
        <w:tcBorders>
          <w:top w:val="single" w:sz="4" w:space="0" w:color="4BACC6" w:themeColor="accent5"/>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1EAF0" w:fill="D1EAF0" w:themeFill="accent5" w:themeFillTint="40"/>
      </w:tcPr>
    </w:tblStylePr>
    <w:tblStylePr w:type="band2Vert">
      <w:pPr>
        <w:snapToGrid/>
      </w:pPr>
    </w:tblStylePr>
    <w:tblStylePr w:type="band1Horz">
      <w:pPr>
        <w:snapToGrid/>
      </w:pPr>
      <w:tblPr/>
      <w:tcPr>
        <w:shd w:val="clear" w:color="D1EA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6">
    <w:name w:val="List Table 1 Light - Accent 6"/>
    <w:basedOn w:val="TableNormal"/>
    <w:uiPriority w:val="99"/>
    <w:qFormat/>
    <w:tblPr/>
    <w:tblStylePr w:type="firstRow">
      <w:pPr>
        <w:snapToGrid/>
      </w:pPr>
      <w:rPr>
        <w:b/>
        <w:color w:val="404040"/>
      </w:rPr>
      <w:tblPr/>
      <w:tcPr>
        <w:tcBorders>
          <w:top w:val="nil"/>
          <w:left w:val="nil"/>
          <w:bottom w:val="single" w:sz="4" w:space="0" w:color="F79646" w:themeColor="accent6"/>
          <w:right w:val="nil"/>
        </w:tcBorders>
      </w:tcPr>
    </w:tblStylePr>
    <w:tblStylePr w:type="lastRow">
      <w:pPr>
        <w:snapToGrid/>
      </w:pPr>
      <w:rPr>
        <w:b/>
        <w:color w:val="404040"/>
      </w:rPr>
      <w:tblPr/>
      <w:tcPr>
        <w:tcBorders>
          <w:top w:val="single" w:sz="4" w:space="0" w:color="F79646" w:themeColor="accent6"/>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DE4D0" w:fill="FDE4D0" w:themeFill="accent6" w:themeFillTint="40"/>
      </w:tcPr>
    </w:tblStylePr>
    <w:tblStylePr w:type="band2Vert">
      <w:pPr>
        <w:snapToGrid/>
      </w:pPr>
    </w:tblStylePr>
    <w:tblStylePr w:type="band1Horz">
      <w:pPr>
        <w:snapToGrid/>
      </w:pPr>
      <w:tblPr/>
      <w:tcPr>
        <w:shd w:val="clear" w:color="FDE4D0"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2">
    <w:name w:val="清单表 21"/>
    <w:basedOn w:val="TableNormal"/>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1">
    <w:name w:val="List Table 2 - Accent 1"/>
    <w:basedOn w:val="TableNormal"/>
    <w:uiPriority w:val="99"/>
    <w:qFormat/>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2DFEE"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D2DFEE"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2">
    <w:name w:val="List Table 2 - Accent 2"/>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EFD2D2"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EFD2D2"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3">
    <w:name w:val="List Table 2 - Accent 3"/>
    <w:basedOn w:val="TableNormal"/>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E5EED5"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E5EED5"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4">
    <w:name w:val="List Table 2 - Accent 4"/>
    <w:basedOn w:val="TableNormal"/>
    <w:uiPriority w:val="99"/>
    <w:qFormat/>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FD8E7"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DFD8E7"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5">
    <w:name w:val="List Table 2 - Accent 5"/>
    <w:basedOn w:val="TableNormal"/>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1EAF0"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D1EA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6">
    <w:name w:val="List Table 2 - Accent 6"/>
    <w:basedOn w:val="TableNormal"/>
    <w:uiPriority w:val="99"/>
    <w:qFormat/>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DE4D0"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FDE4D0"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2">
    <w:name w:val="清单表 31"/>
    <w:basedOn w:val="TableNormal"/>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1">
    <w:name w:val="List Table 3 - Accent 1"/>
    <w:basedOn w:val="TableNormal"/>
    <w:uiPriority w:val="99"/>
    <w:qFormat/>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pPr>
        <w:snapToGrid/>
      </w:pPr>
      <w:rPr>
        <w:rFonts w:ascii="Arial" w:hAnsi="Arial"/>
        <w:b/>
        <w:color w:val="FFFFFF"/>
        <w:sz w:val="22"/>
      </w:rPr>
      <w:tblPr/>
      <w:tcPr>
        <w:shd w:val="clear" w:color="4F81BD"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4F81BD" w:themeColor="accent1"/>
          <w:right w:val="single" w:sz="4" w:space="0" w:color="4F81BD" w:themeColor="accent1"/>
        </w:tcBorders>
      </w:tcPr>
    </w:tblStylePr>
    <w:tblStylePr w:type="band2Vert">
      <w:pPr>
        <w:snapToGrid/>
      </w:pPr>
    </w:tblStylePr>
    <w:tblStylePr w:type="band1Horz">
      <w:pPr>
        <w:snapToGrid/>
      </w:pPr>
      <w:rPr>
        <w:rFonts w:ascii="Arial" w:hAnsi="Arial"/>
        <w:color w:val="404040"/>
        <w:sz w:val="22"/>
      </w:rPr>
      <w:tblPr/>
      <w:tcPr>
        <w:tcBorders>
          <w:top w:val="single" w:sz="4" w:space="0" w:color="4F81BD" w:themeColor="accent1"/>
          <w:bottom w:val="single" w:sz="4" w:space="0" w:color="4F81BD" w:themeColor="accen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2">
    <w:name w:val="List Table 3 - Accent 2"/>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pPr>
        <w:snapToGrid/>
      </w:pPr>
      <w:rPr>
        <w:rFonts w:ascii="Arial" w:hAnsi="Arial"/>
        <w:b/>
        <w:color w:val="FFFFFF"/>
        <w:sz w:val="22"/>
      </w:rPr>
      <w:tblPr/>
      <w:tcPr>
        <w:shd w:val="clear" w:color="D99695" w:fill="D99695"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2Vert">
      <w:pPr>
        <w:snapToGrid/>
      </w:pPr>
    </w:tblStylePr>
    <w:tblStylePr w:type="band1Horz">
      <w:pPr>
        <w:snapToGrid/>
      </w:pPr>
      <w:rPr>
        <w:rFonts w:ascii="Arial" w:hAnsi="Arial"/>
        <w:color w:val="404040"/>
        <w:sz w:val="22"/>
      </w:rPr>
      <w:tblPr/>
      <w:tcPr>
        <w:tcBorders>
          <w:top w:val="single" w:sz="4" w:space="0" w:color="D99695" w:themeColor="accent2" w:themeTint="97"/>
          <w:bottom w:val="single" w:sz="4" w:space="0" w:color="D99695" w:themeColor="accent2" w:themeTint="9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3">
    <w:name w:val="List Table 3 - Accent 3"/>
    <w:basedOn w:val="TableNormal"/>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pPr>
        <w:snapToGrid/>
      </w:pPr>
      <w:rPr>
        <w:rFonts w:ascii="Arial" w:hAnsi="Arial"/>
        <w:b/>
        <w:color w:val="FFFFFF"/>
        <w:sz w:val="22"/>
      </w:rPr>
      <w:tblPr/>
      <w:tcPr>
        <w:shd w:val="clear" w:color="C3D69B" w:fill="C3D69B"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C3D69B" w:themeColor="accent3" w:themeTint="98"/>
          <w:bottom w:val="single" w:sz="4" w:space="0" w:color="C3D69B" w:themeColor="accent3"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4">
    <w:name w:val="List Table 3 - Accent 4"/>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pPr>
        <w:snapToGrid/>
      </w:pPr>
      <w:rPr>
        <w:rFonts w:ascii="Arial" w:hAnsi="Arial"/>
        <w:b/>
        <w:color w:val="FFFFFF"/>
        <w:sz w:val="22"/>
      </w:rPr>
      <w:tblPr/>
      <w:tcPr>
        <w:shd w:val="clear" w:color="B2A1C6" w:fill="B2A1C6"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B2A1C6" w:themeColor="accent4" w:themeTint="9A"/>
          <w:bottom w:val="single" w:sz="4" w:space="0" w:color="B2A1C6" w:themeColor="accent4"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5">
    <w:name w:val="List Table 3 - Accent 5"/>
    <w:basedOn w:val="TableNormal"/>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pPr>
        <w:snapToGrid/>
      </w:pPr>
      <w:rPr>
        <w:rFonts w:ascii="Arial" w:hAnsi="Arial"/>
        <w:b/>
        <w:color w:val="FFFFFF"/>
        <w:sz w:val="22"/>
      </w:rPr>
      <w:tblPr/>
      <w:tcPr>
        <w:shd w:val="clear" w:color="92CCDC" w:fill="92CCDC"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92CCDC" w:themeColor="accent5" w:themeTint="9A"/>
          <w:bottom w:val="single" w:sz="4" w:space="0" w:color="92CCDC" w:themeColor="accent5"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6">
    <w:name w:val="List Table 3 - Accent 6"/>
    <w:basedOn w:val="TableNormal"/>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pPr>
        <w:snapToGrid/>
      </w:pPr>
      <w:rPr>
        <w:rFonts w:ascii="Arial" w:hAnsi="Arial"/>
        <w:b/>
        <w:color w:val="FFFFFF"/>
        <w:sz w:val="22"/>
      </w:rPr>
      <w:tblPr/>
      <w:tcPr>
        <w:shd w:val="clear" w:color="FAC090" w:fill="FAC090"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FAC090" w:themeColor="accent6" w:themeTint="98"/>
          <w:bottom w:val="single" w:sz="4" w:space="0" w:color="FAC090" w:themeColor="accent6"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2">
    <w:name w:val="清单表 41"/>
    <w:basedOn w:val="TableNormal"/>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1">
    <w:name w:val="List Table 4 - Accent 1"/>
    <w:basedOn w:val="TableNormal"/>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pPr>
        <w:snapToGrid/>
      </w:pPr>
      <w:rPr>
        <w:rFonts w:ascii="Arial" w:hAnsi="Arial"/>
        <w:b/>
        <w:color w:val="FFFFFF"/>
        <w:sz w:val="22"/>
      </w:rPr>
      <w:tblPr/>
      <w:tcPr>
        <w:shd w:val="clear" w:color="4F81BD"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2DFEE"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D2DFEE"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2">
    <w:name w:val="List Table 4 - Accent 2"/>
    <w:basedOn w:val="TableNormal"/>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pPr>
        <w:snapToGrid/>
      </w:pPr>
      <w:rPr>
        <w:rFonts w:ascii="Arial" w:hAnsi="Arial"/>
        <w:b/>
        <w:color w:val="FFFFFF"/>
        <w:sz w:val="22"/>
      </w:rPr>
      <w:tblPr/>
      <w:tcPr>
        <w:shd w:val="clear" w:color="C0504D" w:fill="C0504D"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FD2D2"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EFD2D2"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3">
    <w:name w:val="List Table 4 - Accent 3"/>
    <w:basedOn w:val="TableNormal"/>
    <w:uiPriority w:val="9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pPr>
        <w:snapToGrid/>
      </w:pPr>
      <w:rPr>
        <w:rFonts w:ascii="Arial" w:hAnsi="Arial"/>
        <w:b/>
        <w:color w:val="FFFFFF"/>
        <w:sz w:val="22"/>
      </w:rPr>
      <w:tblPr/>
      <w:tcPr>
        <w:shd w:val="clear" w:color="9BBB59" w:fill="9BBB59"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5EED5"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E5EED5"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4">
    <w:name w:val="List Table 4 - Accent 4"/>
    <w:basedOn w:val="TableNormal"/>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pPr>
        <w:snapToGrid/>
      </w:pPr>
      <w:rPr>
        <w:rFonts w:ascii="Arial" w:hAnsi="Arial"/>
        <w:b/>
        <w:color w:val="FFFFFF"/>
        <w:sz w:val="22"/>
      </w:rPr>
      <w:tblPr/>
      <w:tcPr>
        <w:shd w:val="clear" w:color="8064A2" w:fill="8064A2"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FD8E7"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DFD8E7"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5">
    <w:name w:val="List Table 4 - Accent 5"/>
    <w:basedOn w:val="TableNormal"/>
    <w:uiPriority w:val="9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pPr>
        <w:snapToGrid/>
      </w:pPr>
      <w:rPr>
        <w:rFonts w:ascii="Arial" w:hAnsi="Arial"/>
        <w:b/>
        <w:color w:val="FFFFFF"/>
        <w:sz w:val="22"/>
      </w:rPr>
      <w:tblPr/>
      <w:tcPr>
        <w:shd w:val="clear" w:color="4BACC6" w:fill="4BACC6"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1EAF0"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D1EA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6">
    <w:name w:val="List Table 4 - Accent 6"/>
    <w:basedOn w:val="TableNormal"/>
    <w:uiPriority w:val="9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pPr>
        <w:snapToGrid/>
      </w:pPr>
      <w:rPr>
        <w:rFonts w:ascii="Arial" w:hAnsi="Arial"/>
        <w:b/>
        <w:color w:val="FFFFFF"/>
        <w:sz w:val="22"/>
      </w:rPr>
      <w:tblPr/>
      <w:tcPr>
        <w:shd w:val="clear" w:color="F79646" w:fill="F79646"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DE4D0"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FDE4D0"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2">
    <w:name w:val="清单表 5 深色1"/>
    <w:basedOn w:val="TableNormal"/>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7F7F7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1">
    <w:name w:val="List Table 5 Dark - Accent 1"/>
    <w:basedOn w:val="TableNormal"/>
    <w:uiPriority w:val="99"/>
    <w:qFormat/>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pPr>
        <w:snapToGrid/>
      </w:pPr>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pPr>
        <w:snapToGrid/>
      </w:pPr>
      <w:tblPr/>
      <w:tcPr>
        <w:tcBorders>
          <w:left w:val="single" w:sz="4" w:space="0" w:color="FFFFFF" w:themeColor="light1"/>
          <w:right w:val="single" w:sz="32" w:space="0" w:color="4F81BD" w:themeColor="accent1"/>
        </w:tcBorders>
      </w:tcPr>
    </w:tblStylePr>
    <w:tblStylePr w:type="band1Vert">
      <w:pPr>
        <w:snapToGrid/>
      </w:pPr>
      <w:tblPr/>
      <w:tcPr>
        <w:tcBorders>
          <w:left w:val="single" w:sz="4" w:space="0" w:color="FFFFFF" w:themeColor="light1"/>
          <w:right w:val="single" w:sz="4" w:space="0" w:color="FFFFFF" w:themeColor="light1"/>
        </w:tcBorders>
        <w:shd w:val="clear" w:color="4F81BD" w:fill="4F81BD" w:themeFill="accent1"/>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4F81BD" w:fill="4F81BD" w:themeFill="accent1"/>
      </w:tcPr>
    </w:tblStylePr>
    <w:tblStylePr w:type="band2Horz">
      <w:pPr>
        <w:snapToGrid/>
      </w:pPr>
      <w:tblPr/>
      <w:tcPr>
        <w:tcBorders>
          <w:top w:val="single" w:sz="4" w:space="0" w:color="FFFFFF" w:themeColor="light1"/>
          <w:bottom w:val="single" w:sz="4" w:space="0" w:color="FFFFFF" w:themeColor="light1"/>
        </w:tcBorders>
        <w:shd w:val="clear" w:color="4F81BD" w:fill="4F81BD"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2">
    <w:name w:val="List Table 5 Dark - Accent 2"/>
    <w:basedOn w:val="TableNormal"/>
    <w:uiPriority w:val="99"/>
    <w:qFormat/>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pPr>
        <w:snapToGrid/>
      </w:pPr>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fill="D99695" w:themeFill="accent2" w:themeFillTint="97"/>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pPr>
        <w:snapToGrid/>
      </w:pPr>
      <w:tblPr/>
      <w:tcPr>
        <w:tcBorders>
          <w:left w:val="single" w:sz="4" w:space="0" w:color="FFFFFF" w:themeColor="light1"/>
          <w:right w:val="single" w:sz="32" w:space="0" w:color="D99695" w:themeColor="accent2" w:themeTint="97"/>
        </w:tcBorders>
      </w:tcPr>
    </w:tblStylePr>
    <w:tblStylePr w:type="band1Vert">
      <w:pPr>
        <w:snapToGrid/>
      </w:pPr>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pPr>
        <w:snapToGrid/>
      </w:pPr>
      <w:tblPr/>
      <w:tcPr>
        <w:tcBorders>
          <w:top w:val="single" w:sz="4" w:space="0" w:color="FFFFFF" w:themeColor="light1"/>
          <w:bottom w:val="single" w:sz="4" w:space="0" w:color="FFFFFF" w:themeColor="light1"/>
        </w:tcBorders>
        <w:shd w:val="clear" w:color="D99695" w:fill="D99695"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3">
    <w:name w:val="List Table 5 Dark - Accent 3"/>
    <w:basedOn w:val="TableNormal"/>
    <w:uiPriority w:val="99"/>
    <w:qFormat/>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pPr>
        <w:snapToGrid/>
      </w:pPr>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fill="C3D69B" w:themeFill="accent3"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pPr>
        <w:snapToGrid/>
      </w:pPr>
      <w:tblPr/>
      <w:tcPr>
        <w:tcBorders>
          <w:left w:val="single" w:sz="4" w:space="0" w:color="FFFFFF" w:themeColor="light1"/>
          <w:right w:val="single" w:sz="32" w:space="0" w:color="C3D69B" w:themeColor="accent3" w:themeTint="98"/>
        </w:tcBorders>
      </w:tcPr>
    </w:tblStylePr>
    <w:tblStylePr w:type="band1Vert">
      <w:pPr>
        <w:snapToGrid/>
      </w:pPr>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pPr>
        <w:snapToGrid/>
      </w:pPr>
      <w:tblPr/>
      <w:tcPr>
        <w:tcBorders>
          <w:top w:val="single" w:sz="4" w:space="0" w:color="FFFFFF" w:themeColor="light1"/>
          <w:bottom w:val="single" w:sz="4" w:space="0" w:color="FFFFFF" w:themeColor="light1"/>
        </w:tcBorders>
        <w:shd w:val="clear" w:color="C3D69B" w:fill="C3D69B"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4">
    <w:name w:val="List Table 5 Dark - Accent 4"/>
    <w:basedOn w:val="TableNormal"/>
    <w:uiPriority w:val="99"/>
    <w:qFormat/>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pPr>
        <w:snapToGrid/>
      </w:pPr>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fill="B2A1C6" w:themeFill="accent4"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pPr>
        <w:snapToGrid/>
      </w:pPr>
      <w:tblPr/>
      <w:tcPr>
        <w:tcBorders>
          <w:left w:val="single" w:sz="4" w:space="0" w:color="FFFFFF" w:themeColor="light1"/>
          <w:right w:val="single" w:sz="32" w:space="0" w:color="B2A1C6" w:themeColor="accent4" w:themeTint="9A"/>
        </w:tcBorders>
      </w:tcPr>
    </w:tblStylePr>
    <w:tblStylePr w:type="band1Vert">
      <w:pPr>
        <w:snapToGrid/>
      </w:pPr>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pPr>
        <w:snapToGrid/>
      </w:pPr>
      <w:tblPr/>
      <w:tcPr>
        <w:tcBorders>
          <w:top w:val="single" w:sz="4" w:space="0" w:color="FFFFFF" w:themeColor="light1"/>
          <w:bottom w:val="single" w:sz="4" w:space="0" w:color="FFFFFF" w:themeColor="light1"/>
        </w:tcBorders>
        <w:shd w:val="clear" w:color="B2A1C6" w:fill="B2A1C6"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5">
    <w:name w:val="List Table 5 Dark - Accent 5"/>
    <w:basedOn w:val="TableNormal"/>
    <w:uiPriority w:val="99"/>
    <w:qFormat/>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pPr>
        <w:snapToGrid/>
      </w:pPr>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fill="92CCDC" w:themeFill="accent5"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pPr>
        <w:snapToGrid/>
      </w:pPr>
      <w:tblPr/>
      <w:tcPr>
        <w:tcBorders>
          <w:left w:val="single" w:sz="4" w:space="0" w:color="FFFFFF" w:themeColor="light1"/>
          <w:right w:val="single" w:sz="32" w:space="0" w:color="92CCDC" w:themeColor="accent5" w:themeTint="9A"/>
        </w:tcBorders>
      </w:tcPr>
    </w:tblStylePr>
    <w:tblStylePr w:type="band1Vert">
      <w:pPr>
        <w:snapToGrid/>
      </w:pPr>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pPr>
        <w:snapToGrid/>
      </w:pPr>
      <w:tblPr/>
      <w:tcPr>
        <w:tcBorders>
          <w:top w:val="single" w:sz="4" w:space="0" w:color="FFFFFF" w:themeColor="light1"/>
          <w:bottom w:val="single" w:sz="4" w:space="0" w:color="FFFFFF" w:themeColor="light1"/>
        </w:tcBorders>
        <w:shd w:val="clear" w:color="92CCDC" w:fill="92CCDC"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6">
    <w:name w:val="List Table 5 Dark - Accent 6"/>
    <w:basedOn w:val="TableNormal"/>
    <w:uiPriority w:val="99"/>
    <w:qFormat/>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pPr>
        <w:snapToGrid/>
      </w:pPr>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fill="FAC090" w:themeFill="accent6"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pPr>
        <w:snapToGrid/>
      </w:pPr>
      <w:tblPr/>
      <w:tcPr>
        <w:tcBorders>
          <w:left w:val="single" w:sz="4" w:space="0" w:color="FFFFFF" w:themeColor="light1"/>
          <w:right w:val="single" w:sz="32" w:space="0" w:color="FAC090" w:themeColor="accent6" w:themeTint="98"/>
        </w:tcBorders>
      </w:tcPr>
    </w:tblStylePr>
    <w:tblStylePr w:type="band1Vert">
      <w:pPr>
        <w:snapToGrid/>
      </w:pPr>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pPr>
        <w:snapToGrid/>
      </w:pPr>
      <w:tblPr/>
      <w:tcPr>
        <w:tcBorders>
          <w:top w:val="single" w:sz="4" w:space="0" w:color="FFFFFF" w:themeColor="light1"/>
          <w:bottom w:val="single" w:sz="4" w:space="0" w:color="FFFFFF" w:themeColor="light1"/>
        </w:tcBorders>
        <w:shd w:val="clear" w:color="FAC090" w:fill="FAC090"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1">
    <w:name w:val="清单表 6 彩色1"/>
    <w:basedOn w:val="TableNormal"/>
    <w:uiPriority w:val="99"/>
    <w:qFormat/>
    <w:tblPr>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BFBFB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1">
    <w:name w:val="List Table 6 Colorful - Accent 1"/>
    <w:basedOn w:val="TableNormal"/>
    <w:uiPriority w:val="99"/>
    <w:qFormat/>
    <w:tblPr>
      <w:tblBorders>
        <w:top w:val="single" w:sz="4" w:space="0" w:color="4F81BD" w:themeColor="accent1"/>
        <w:bottom w:val="single" w:sz="4" w:space="0" w:color="4F81BD" w:themeColor="accent1"/>
      </w:tblBorders>
    </w:tblPr>
    <w:tblStylePr w:type="firstRow">
      <w:pPr>
        <w:snapToGrid/>
      </w:pPr>
      <w:rPr>
        <w:b/>
        <w:color w:val="2A4A70" w:themeColor="accent1" w:themeShade="94"/>
      </w:rPr>
      <w:tblPr/>
      <w:tcPr>
        <w:tcBorders>
          <w:bottom w:val="single" w:sz="4" w:space="0" w:color="4F81BD" w:themeColor="accent1"/>
        </w:tcBorders>
      </w:tcPr>
    </w:tblStylePr>
    <w:tblStylePr w:type="lastRow">
      <w:pPr>
        <w:snapToGrid/>
      </w:pPr>
      <w:rPr>
        <w:b/>
        <w:color w:val="2A4A70" w:themeColor="accent1" w:themeShade="94"/>
      </w:rPr>
      <w:tblPr/>
      <w:tcPr>
        <w:tcBorders>
          <w:top w:val="single" w:sz="4" w:space="0" w:color="4F81BD" w:themeColor="accent1"/>
        </w:tcBorders>
      </w:tcPr>
    </w:tblStylePr>
    <w:tblStylePr w:type="firstCol">
      <w:pPr>
        <w:snapToGrid/>
      </w:pPr>
      <w:rPr>
        <w:b/>
        <w:color w:val="2A4A70" w:themeColor="accent1" w:themeShade="94"/>
      </w:rPr>
    </w:tblStylePr>
    <w:tblStylePr w:type="lastCol">
      <w:pPr>
        <w:snapToGrid/>
      </w:pPr>
      <w:rPr>
        <w:b/>
        <w:color w:val="2A4A70" w:themeColor="accent1" w:themeShade="94"/>
      </w:rPr>
    </w:tblStylePr>
    <w:tblStylePr w:type="band1Vert">
      <w:pPr>
        <w:snapToGrid/>
      </w:pPr>
      <w:tblPr/>
      <w:tcPr>
        <w:shd w:val="clear" w:color="D2DFEE" w:fill="D2DFEE" w:themeFill="accent1" w:themeFillTint="40"/>
      </w:tcPr>
    </w:tblStylePr>
    <w:tblStylePr w:type="band2Vert">
      <w:pPr>
        <w:snapToGrid/>
      </w:pPr>
    </w:tblStylePr>
    <w:tblStylePr w:type="band1Horz">
      <w:pPr>
        <w:snapToGrid/>
      </w:pPr>
      <w:rPr>
        <w:rFonts w:ascii="Arial" w:hAnsi="Arial"/>
        <w:color w:val="2A4A70" w:themeColor="accent1" w:themeShade="94"/>
        <w:sz w:val="22"/>
      </w:rPr>
      <w:tblPr/>
      <w:tcPr>
        <w:shd w:val="clear" w:color="D2DFEE" w:fill="D2DFEE" w:themeFill="accent1" w:themeFillTint="40"/>
      </w:tcPr>
    </w:tblStylePr>
    <w:tblStylePr w:type="band2Horz">
      <w:pPr>
        <w:snapToGrid/>
      </w:pPr>
      <w:rPr>
        <w:rFonts w:ascii="Arial" w:hAnsi="Arial"/>
        <w:color w:val="2A4A70"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2">
    <w:name w:val="List Table 6 Colorful - Accent 2"/>
    <w:basedOn w:val="TableNormal"/>
    <w:uiPriority w:val="99"/>
    <w:qFormat/>
    <w:tblPr>
      <w:tblBorders>
        <w:top w:val="single" w:sz="4" w:space="0" w:color="D99695" w:themeColor="accent2" w:themeTint="97"/>
        <w:bottom w:val="single" w:sz="4" w:space="0" w:color="D99695" w:themeColor="accent2" w:themeTint="97"/>
      </w:tblBorders>
    </w:tblPr>
    <w:tblStylePr w:type="firstRow">
      <w:pPr>
        <w:snapToGrid/>
      </w:pPr>
      <w:rPr>
        <w:b/>
        <w:color w:val="DA9796" w:themeColor="accent2" w:themeTint="96"/>
      </w:rPr>
      <w:tblPr/>
      <w:tcPr>
        <w:tcBorders>
          <w:bottom w:val="single" w:sz="4" w:space="0" w:color="D99695" w:themeColor="accent2" w:themeTint="97"/>
        </w:tcBorders>
      </w:tcPr>
    </w:tblStylePr>
    <w:tblStylePr w:type="lastRow">
      <w:pPr>
        <w:snapToGrid/>
      </w:pPr>
      <w:rPr>
        <w:b/>
        <w:color w:val="DA9796" w:themeColor="accent2" w:themeTint="96"/>
      </w:rPr>
      <w:tblPr/>
      <w:tcPr>
        <w:tcBorders>
          <w:top w:val="single" w:sz="4" w:space="0" w:color="D99695" w:themeColor="accent2" w:themeTint="97"/>
        </w:tcBorders>
      </w:tcPr>
    </w:tblStylePr>
    <w:tblStylePr w:type="firstCol">
      <w:pPr>
        <w:snapToGrid/>
      </w:pPr>
      <w:rPr>
        <w:b/>
        <w:color w:val="DA9796" w:themeColor="accent2" w:themeTint="96"/>
      </w:rPr>
    </w:tblStylePr>
    <w:tblStylePr w:type="lastCol">
      <w:pPr>
        <w:snapToGrid/>
      </w:pPr>
      <w:rPr>
        <w:b/>
        <w:color w:val="DA9796" w:themeColor="accent2" w:themeTint="96"/>
      </w:rPr>
    </w:tblStylePr>
    <w:tblStylePr w:type="band1Vert">
      <w:pPr>
        <w:snapToGrid/>
      </w:pPr>
      <w:tblPr/>
      <w:tcPr>
        <w:shd w:val="clear" w:color="EFD2D2" w:fill="EFD2D2" w:themeFill="accent2" w:themeFillTint="40"/>
      </w:tcPr>
    </w:tblStylePr>
    <w:tblStylePr w:type="band2Vert">
      <w:pPr>
        <w:snapToGrid/>
      </w:pPr>
    </w:tblStylePr>
    <w:tblStylePr w:type="band1Horz">
      <w:pPr>
        <w:snapToGrid/>
      </w:pPr>
      <w:rPr>
        <w:rFonts w:ascii="Arial" w:hAnsi="Arial"/>
        <w:color w:val="DA9796" w:themeColor="accent2" w:themeTint="96"/>
        <w:sz w:val="22"/>
      </w:rPr>
      <w:tblPr/>
      <w:tcPr>
        <w:shd w:val="clear" w:color="EFD2D2" w:fill="EFD2D2" w:themeFill="accent2" w:themeFillTint="40"/>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3">
    <w:name w:val="List Table 6 Colorful - Accent 3"/>
    <w:basedOn w:val="TableNormal"/>
    <w:uiPriority w:val="99"/>
    <w:qFormat/>
    <w:tblPr>
      <w:tblBorders>
        <w:top w:val="single" w:sz="4" w:space="0" w:color="C3D69B" w:themeColor="accent3" w:themeTint="98"/>
        <w:bottom w:val="single" w:sz="4" w:space="0" w:color="C3D69B" w:themeColor="accent3" w:themeTint="98"/>
      </w:tblBorders>
    </w:tblPr>
    <w:tblStylePr w:type="firstRow">
      <w:pPr>
        <w:snapToGrid/>
      </w:pPr>
      <w:rPr>
        <w:b/>
        <w:color w:val="C2D69B" w:themeColor="accent3" w:themeTint="99"/>
      </w:rPr>
      <w:tblPr/>
      <w:tcPr>
        <w:tcBorders>
          <w:bottom w:val="single" w:sz="4" w:space="0" w:color="C3D69B" w:themeColor="accent3" w:themeTint="98"/>
        </w:tcBorders>
      </w:tcPr>
    </w:tblStylePr>
    <w:tblStylePr w:type="lastRow">
      <w:pPr>
        <w:snapToGrid/>
      </w:pPr>
      <w:rPr>
        <w:b/>
        <w:color w:val="C2D69B" w:themeColor="accent3" w:themeTint="99"/>
      </w:rPr>
      <w:tblPr/>
      <w:tcPr>
        <w:tcBorders>
          <w:top w:val="single" w:sz="4" w:space="0" w:color="C3D69B" w:themeColor="accent3" w:themeTint="98"/>
        </w:tcBorders>
      </w:tcPr>
    </w:tblStylePr>
    <w:tblStylePr w:type="firstCol">
      <w:pPr>
        <w:snapToGrid/>
      </w:pPr>
      <w:rPr>
        <w:b/>
        <w:color w:val="C2D69B" w:themeColor="accent3" w:themeTint="99"/>
      </w:rPr>
    </w:tblStylePr>
    <w:tblStylePr w:type="lastCol">
      <w:pPr>
        <w:snapToGrid/>
      </w:pPr>
      <w:rPr>
        <w:b/>
        <w:color w:val="C2D69B" w:themeColor="accent3" w:themeTint="99"/>
      </w:rPr>
    </w:tblStylePr>
    <w:tblStylePr w:type="band1Vert">
      <w:pPr>
        <w:snapToGrid/>
      </w:pPr>
      <w:tblPr/>
      <w:tcPr>
        <w:shd w:val="clear" w:color="E5EED5" w:fill="E5EED5" w:themeFill="accent3" w:themeFillTint="40"/>
      </w:tcPr>
    </w:tblStylePr>
    <w:tblStylePr w:type="band2Vert">
      <w:pPr>
        <w:snapToGrid/>
      </w:pPr>
    </w:tblStylePr>
    <w:tblStylePr w:type="band1Horz">
      <w:pPr>
        <w:snapToGrid/>
      </w:pPr>
      <w:rPr>
        <w:rFonts w:ascii="Arial" w:hAnsi="Arial"/>
        <w:color w:val="C2D69B" w:themeColor="accent3" w:themeTint="99"/>
        <w:sz w:val="22"/>
      </w:rPr>
      <w:tblPr/>
      <w:tcPr>
        <w:shd w:val="clear" w:color="E5EED5" w:fill="E5EED5" w:themeFill="accent3" w:themeFillTint="40"/>
      </w:tcPr>
    </w:tblStylePr>
    <w:tblStylePr w:type="band2Horz">
      <w:pPr>
        <w:snapToGrid/>
      </w:pPr>
      <w:rPr>
        <w:rFonts w:ascii="Arial" w:hAnsi="Arial"/>
        <w:color w:val="C2D69B"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4">
    <w:name w:val="List Table 6 Colorful - Accent 4"/>
    <w:basedOn w:val="TableNormal"/>
    <w:uiPriority w:val="99"/>
    <w:qFormat/>
    <w:tblPr>
      <w:tblBorders>
        <w:top w:val="single" w:sz="4" w:space="0" w:color="B2A1C6" w:themeColor="accent4" w:themeTint="9A"/>
        <w:bottom w:val="single" w:sz="4" w:space="0" w:color="B2A1C6" w:themeColor="accent4" w:themeTint="9A"/>
      </w:tblBorders>
    </w:tblPr>
    <w:tblStylePr w:type="firstRow">
      <w:pPr>
        <w:snapToGrid/>
      </w:pPr>
      <w:rPr>
        <w:b/>
        <w:color w:val="B2A1C7" w:themeColor="accent4" w:themeTint="99"/>
      </w:rPr>
      <w:tblPr/>
      <w:tcPr>
        <w:tcBorders>
          <w:bottom w:val="single" w:sz="4" w:space="0" w:color="B2A1C6" w:themeColor="accent4" w:themeTint="9A"/>
        </w:tcBorders>
      </w:tcPr>
    </w:tblStylePr>
    <w:tblStylePr w:type="lastRow">
      <w:pPr>
        <w:snapToGrid/>
      </w:pPr>
      <w:rPr>
        <w:b/>
        <w:color w:val="B2A1C7" w:themeColor="accent4" w:themeTint="99"/>
      </w:rPr>
      <w:tblPr/>
      <w:tcPr>
        <w:tcBorders>
          <w:top w:val="single" w:sz="4" w:space="0" w:color="B2A1C6" w:themeColor="accent4" w:themeTint="9A"/>
        </w:tcBorders>
      </w:tcPr>
    </w:tblStylePr>
    <w:tblStylePr w:type="firstCol">
      <w:pPr>
        <w:snapToGrid/>
      </w:pPr>
      <w:rPr>
        <w:b/>
        <w:color w:val="B2A1C7" w:themeColor="accent4" w:themeTint="99"/>
      </w:rPr>
    </w:tblStylePr>
    <w:tblStylePr w:type="lastCol">
      <w:pPr>
        <w:snapToGrid/>
      </w:pPr>
      <w:rPr>
        <w:b/>
        <w:color w:val="B2A1C7" w:themeColor="accent4" w:themeTint="99"/>
      </w:rPr>
    </w:tblStylePr>
    <w:tblStylePr w:type="band1Vert">
      <w:pPr>
        <w:snapToGrid/>
      </w:pPr>
      <w:tblPr/>
      <w:tcPr>
        <w:shd w:val="clear" w:color="DFD8E7" w:fill="DFD8E7" w:themeFill="accent4" w:themeFillTint="40"/>
      </w:tcPr>
    </w:tblStylePr>
    <w:tblStylePr w:type="band2Vert">
      <w:pPr>
        <w:snapToGrid/>
      </w:pPr>
    </w:tblStylePr>
    <w:tblStylePr w:type="band1Horz">
      <w:pPr>
        <w:snapToGrid/>
      </w:pPr>
      <w:rPr>
        <w:rFonts w:ascii="Arial" w:hAnsi="Arial"/>
        <w:color w:val="B2A1C7" w:themeColor="accent4" w:themeTint="99"/>
        <w:sz w:val="22"/>
      </w:rPr>
      <w:tblPr/>
      <w:tcPr>
        <w:shd w:val="clear" w:color="DFD8E7" w:fill="DFD8E7" w:themeFill="accent4" w:themeFillTint="40"/>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5">
    <w:name w:val="List Table 6 Colorful - Accent 5"/>
    <w:basedOn w:val="TableNormal"/>
    <w:uiPriority w:val="99"/>
    <w:qFormat/>
    <w:tblPr>
      <w:tblBorders>
        <w:top w:val="single" w:sz="4" w:space="0" w:color="92CCDC" w:themeColor="accent5" w:themeTint="9A"/>
        <w:bottom w:val="single" w:sz="4" w:space="0" w:color="92CCDC" w:themeColor="accent5" w:themeTint="9A"/>
      </w:tblBorders>
    </w:tblPr>
    <w:tblStylePr w:type="firstRow">
      <w:pPr>
        <w:snapToGrid/>
      </w:pPr>
      <w:rPr>
        <w:b/>
        <w:color w:val="92CDDC" w:themeColor="accent5" w:themeTint="99"/>
      </w:rPr>
      <w:tblPr/>
      <w:tcPr>
        <w:tcBorders>
          <w:bottom w:val="single" w:sz="4" w:space="0" w:color="92CCDC" w:themeColor="accent5" w:themeTint="9A"/>
        </w:tcBorders>
      </w:tcPr>
    </w:tblStylePr>
    <w:tblStylePr w:type="lastRow">
      <w:pPr>
        <w:snapToGrid/>
      </w:pPr>
      <w:rPr>
        <w:b/>
        <w:color w:val="92CDDC" w:themeColor="accent5" w:themeTint="99"/>
      </w:rPr>
      <w:tblPr/>
      <w:tcPr>
        <w:tcBorders>
          <w:top w:val="single" w:sz="4" w:space="0" w:color="92CCDC" w:themeColor="accent5" w:themeTint="9A"/>
        </w:tcBorders>
      </w:tcPr>
    </w:tblStylePr>
    <w:tblStylePr w:type="firstCol">
      <w:pPr>
        <w:snapToGrid/>
      </w:pPr>
      <w:rPr>
        <w:b/>
        <w:color w:val="92CDDC" w:themeColor="accent5" w:themeTint="99"/>
      </w:rPr>
    </w:tblStylePr>
    <w:tblStylePr w:type="lastCol">
      <w:pPr>
        <w:snapToGrid/>
      </w:pPr>
      <w:rPr>
        <w:b/>
        <w:color w:val="92CDDC" w:themeColor="accent5" w:themeTint="99"/>
      </w:rPr>
    </w:tblStylePr>
    <w:tblStylePr w:type="band1Vert">
      <w:pPr>
        <w:snapToGrid/>
      </w:pPr>
      <w:tblPr/>
      <w:tcPr>
        <w:shd w:val="clear" w:color="D1EAF0" w:fill="D1EAF0" w:themeFill="accent5" w:themeFillTint="40"/>
      </w:tcPr>
    </w:tblStylePr>
    <w:tblStylePr w:type="band2Vert">
      <w:pPr>
        <w:snapToGrid/>
      </w:pPr>
    </w:tblStylePr>
    <w:tblStylePr w:type="band1Horz">
      <w:pPr>
        <w:snapToGrid/>
      </w:pPr>
      <w:rPr>
        <w:rFonts w:ascii="Arial" w:hAnsi="Arial"/>
        <w:color w:val="92CDDC" w:themeColor="accent5" w:themeTint="99"/>
        <w:sz w:val="22"/>
      </w:rPr>
      <w:tblPr/>
      <w:tcPr>
        <w:shd w:val="clear" w:color="D1EAF0" w:fill="D1EAF0" w:themeFill="accent5" w:themeFillTint="40"/>
      </w:tcPr>
    </w:tblStylePr>
    <w:tblStylePr w:type="band2Horz">
      <w:pPr>
        <w:snapToGrid/>
      </w:pPr>
      <w:rPr>
        <w:rFonts w:ascii="Arial" w:hAnsi="Arial"/>
        <w:color w:val="92CDDC"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6">
    <w:name w:val="List Table 6 Colorful - Accent 6"/>
    <w:basedOn w:val="TableNormal"/>
    <w:uiPriority w:val="99"/>
    <w:qFormat/>
    <w:tblPr>
      <w:tblBorders>
        <w:top w:val="single" w:sz="4" w:space="0" w:color="FAC090" w:themeColor="accent6" w:themeTint="98"/>
        <w:bottom w:val="single" w:sz="4" w:space="0" w:color="FAC090" w:themeColor="accent6" w:themeTint="98"/>
      </w:tblBorders>
    </w:tblPr>
    <w:tblStylePr w:type="firstRow">
      <w:pPr>
        <w:snapToGrid/>
      </w:pPr>
      <w:rPr>
        <w:b/>
        <w:color w:val="FABF8F" w:themeColor="accent6" w:themeTint="99"/>
      </w:rPr>
      <w:tblPr/>
      <w:tcPr>
        <w:tcBorders>
          <w:bottom w:val="single" w:sz="4" w:space="0" w:color="FAC090" w:themeColor="accent6" w:themeTint="98"/>
        </w:tcBorders>
      </w:tcPr>
    </w:tblStylePr>
    <w:tblStylePr w:type="lastRow">
      <w:pPr>
        <w:snapToGrid/>
      </w:pPr>
      <w:rPr>
        <w:b/>
        <w:color w:val="FABF8F" w:themeColor="accent6" w:themeTint="99"/>
      </w:rPr>
      <w:tblPr/>
      <w:tcPr>
        <w:tcBorders>
          <w:top w:val="single" w:sz="4" w:space="0" w:color="FAC090" w:themeColor="accent6" w:themeTint="98"/>
        </w:tcBorders>
      </w:tcPr>
    </w:tblStylePr>
    <w:tblStylePr w:type="firstCol">
      <w:pPr>
        <w:snapToGrid/>
      </w:pPr>
      <w:rPr>
        <w:b/>
        <w:color w:val="FABF8F" w:themeColor="accent6" w:themeTint="99"/>
      </w:rPr>
    </w:tblStylePr>
    <w:tblStylePr w:type="lastCol">
      <w:pPr>
        <w:snapToGrid/>
      </w:pPr>
      <w:rPr>
        <w:b/>
        <w:color w:val="FABF8F" w:themeColor="accent6" w:themeTint="99"/>
      </w:rPr>
    </w:tblStylePr>
    <w:tblStylePr w:type="band1Vert">
      <w:pPr>
        <w:snapToGrid/>
      </w:pPr>
      <w:tblPr/>
      <w:tcPr>
        <w:shd w:val="clear" w:color="FDE4D0" w:fill="FDE4D0" w:themeFill="accent6" w:themeFillTint="40"/>
      </w:tcPr>
    </w:tblStylePr>
    <w:tblStylePr w:type="band2Vert">
      <w:pPr>
        <w:snapToGrid/>
      </w:pPr>
    </w:tblStylePr>
    <w:tblStylePr w:type="band1Horz">
      <w:pPr>
        <w:snapToGrid/>
      </w:pPr>
      <w:rPr>
        <w:rFonts w:ascii="Arial" w:hAnsi="Arial"/>
        <w:color w:val="FABF8F" w:themeColor="accent6" w:themeTint="99"/>
        <w:sz w:val="22"/>
      </w:rPr>
      <w:tblPr/>
      <w:tcPr>
        <w:shd w:val="clear" w:color="FDE4D0" w:fill="FDE4D0" w:themeFill="accent6" w:themeFillTint="40"/>
      </w:tcPr>
    </w:tblStylePr>
    <w:tblStylePr w:type="band2Horz">
      <w:pPr>
        <w:snapToGrid/>
      </w:pPr>
      <w:rPr>
        <w:rFonts w:ascii="Arial" w:hAnsi="Arial"/>
        <w:color w:val="FABF8F"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1">
    <w:name w:val="清单表 7 彩色1"/>
    <w:basedOn w:val="TableNormal"/>
    <w:uiPriority w:val="99"/>
    <w:qFormat/>
    <w:tblPr>
      <w:tblBorders>
        <w:right w:val="single" w:sz="4" w:space="0" w:color="7F7F7F" w:themeColor="text1" w:themeTint="80"/>
      </w:tblBorders>
    </w:tblPr>
    <w:tblStylePr w:type="firstRow">
      <w:pPr>
        <w:snapToGrid/>
      </w:pPr>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7F7F7F" w:themeColor="text1" w:themeTint="80"/>
        <w:sz w:val="22"/>
      </w:rPr>
      <w:tblPr/>
      <w:tcPr>
        <w:shd w:val="clear" w:color="BFBFBF" w:fill="BFBFBF" w:themeFill="text1" w:themeFillTint="40"/>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1">
    <w:name w:val="List Table 7 Colorful - Accent 1"/>
    <w:basedOn w:val="TableNormal"/>
    <w:uiPriority w:val="99"/>
    <w:qFormat/>
    <w:tblPr>
      <w:tblBorders>
        <w:right w:val="single" w:sz="4" w:space="0" w:color="4F81BD" w:themeColor="accent1"/>
      </w:tblBorders>
    </w:tblPr>
    <w:tblStylePr w:type="firstRow">
      <w:pPr>
        <w:snapToGrid/>
      </w:pPr>
      <w:rPr>
        <w:rFonts w:ascii="Arial" w:hAnsi="Arial"/>
        <w:i/>
        <w:color w:val="2A4A70" w:themeColor="accent1" w:themeShade="94"/>
        <w:sz w:val="22"/>
      </w:rPr>
      <w:tblPr/>
      <w:tcPr>
        <w:tcBorders>
          <w:top w:val="nil"/>
          <w:left w:val="nil"/>
          <w:bottom w:val="single" w:sz="4" w:space="0" w:color="4F81BD" w:themeColor="accent1"/>
          <w:right w:val="nil"/>
        </w:tcBorders>
        <w:shd w:val="clear" w:color="FFFFFF" w:fill="FFFFFF" w:themeFill="light1"/>
      </w:tcPr>
    </w:tblStylePr>
    <w:tblStylePr w:type="lastRow">
      <w:pPr>
        <w:snapToGrid/>
      </w:pPr>
      <w:rPr>
        <w:rFonts w:ascii="Arial" w:hAnsi="Arial"/>
        <w:i/>
        <w:color w:val="2A4A70" w:themeColor="accent1" w:themeShade="94"/>
        <w:sz w:val="22"/>
      </w:rPr>
      <w:tblPr/>
      <w:tcPr>
        <w:tcBorders>
          <w:top w:val="single" w:sz="4" w:space="0" w:color="4F81BD" w:themeColor="accent1"/>
          <w:left w:val="nil"/>
          <w:bottom w:val="nil"/>
          <w:right w:val="nil"/>
        </w:tcBorders>
        <w:shd w:val="clear" w:color="FFFFFF" w:fill="FFFFFF" w:themeFill="light1"/>
      </w:tcPr>
    </w:tblStylePr>
    <w:tblStylePr w:type="firstCol">
      <w:pPr>
        <w:snapToGrid/>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FFFFFF"/>
      </w:tcPr>
    </w:tblStylePr>
    <w:tblStylePr w:type="lastCol">
      <w:pPr>
        <w:snapToGrid/>
      </w:pPr>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FFFFFF"/>
      </w:tcPr>
    </w:tblStylePr>
    <w:tblStylePr w:type="band1Vert">
      <w:pPr>
        <w:snapToGrid/>
      </w:pPr>
      <w:tblPr/>
      <w:tcPr>
        <w:shd w:val="clear" w:color="D2DFEE" w:fill="D2DFEE" w:themeFill="accent1" w:themeFillTint="40"/>
      </w:tcPr>
    </w:tblStylePr>
    <w:tblStylePr w:type="band2Vert">
      <w:pPr>
        <w:snapToGrid/>
      </w:pPr>
    </w:tblStylePr>
    <w:tblStylePr w:type="band1Horz">
      <w:pPr>
        <w:snapToGrid/>
      </w:pPr>
      <w:rPr>
        <w:rFonts w:ascii="Arial" w:hAnsi="Arial"/>
        <w:color w:val="2A4A70" w:themeColor="accent1" w:themeShade="94"/>
        <w:sz w:val="22"/>
      </w:rPr>
      <w:tblPr/>
      <w:tcPr>
        <w:shd w:val="clear" w:color="D2DFEE" w:fill="D2DFEE" w:themeFill="accent1" w:themeFillTint="40"/>
      </w:tcPr>
    </w:tblStylePr>
    <w:tblStylePr w:type="band2Horz">
      <w:pPr>
        <w:snapToGrid/>
      </w:pPr>
      <w:rPr>
        <w:rFonts w:ascii="Arial" w:hAnsi="Arial"/>
        <w:color w:val="2A4A70"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2">
    <w:name w:val="List Table 7 Colorful - Accent 2"/>
    <w:basedOn w:val="TableNormal"/>
    <w:uiPriority w:val="99"/>
    <w:qFormat/>
    <w:tblPr>
      <w:tblBorders>
        <w:right w:val="single" w:sz="4" w:space="0" w:color="D99695" w:themeColor="accent2" w:themeTint="97"/>
      </w:tblBorders>
    </w:tblPr>
    <w:tblStylePr w:type="firstRow">
      <w:pPr>
        <w:snapToGrid/>
      </w:pPr>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EFD2D2" w:fill="EFD2D2" w:themeFill="accent2" w:themeFillTint="40"/>
      </w:tcPr>
    </w:tblStylePr>
    <w:tblStylePr w:type="band2Vert">
      <w:pPr>
        <w:snapToGrid/>
      </w:pPr>
    </w:tblStylePr>
    <w:tblStylePr w:type="band1Horz">
      <w:pPr>
        <w:snapToGrid/>
      </w:pPr>
      <w:rPr>
        <w:rFonts w:ascii="Arial" w:hAnsi="Arial"/>
        <w:color w:val="DA9796" w:themeColor="accent2" w:themeTint="96"/>
        <w:sz w:val="22"/>
      </w:rPr>
      <w:tblPr/>
      <w:tcPr>
        <w:shd w:val="clear" w:color="EFD2D2" w:fill="EFD2D2" w:themeFill="accent2" w:themeFillTint="40"/>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3">
    <w:name w:val="List Table 7 Colorful - Accent 3"/>
    <w:basedOn w:val="TableNormal"/>
    <w:uiPriority w:val="99"/>
    <w:qFormat/>
    <w:tblPr>
      <w:tblBorders>
        <w:right w:val="single" w:sz="4" w:space="0" w:color="C3D69B" w:themeColor="accent3" w:themeTint="98"/>
      </w:tblBorders>
    </w:tblPr>
    <w:tblStylePr w:type="firstRow">
      <w:pPr>
        <w:snapToGrid/>
      </w:pPr>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fill="FFFFFF" w:themeFill="light1"/>
      </w:tcPr>
    </w:tblStylePr>
    <w:tblStylePr w:type="lastRow">
      <w:pPr>
        <w:snapToGrid/>
      </w:pPr>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fill="FFFFFF" w:themeFill="light1"/>
      </w:tcPr>
    </w:tblStylePr>
    <w:tblStylePr w:type="firstCol">
      <w:pPr>
        <w:snapToGrid/>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FFFFFF"/>
      </w:tcPr>
    </w:tblStylePr>
    <w:tblStylePr w:type="lastCol">
      <w:pPr>
        <w:snapToGrid/>
      </w:pPr>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FFFFFF"/>
      </w:tcPr>
    </w:tblStylePr>
    <w:tblStylePr w:type="band1Vert">
      <w:pPr>
        <w:snapToGrid/>
      </w:pPr>
      <w:tblPr/>
      <w:tcPr>
        <w:shd w:val="clear" w:color="E5EED5" w:fill="E5EED5" w:themeFill="accent3" w:themeFillTint="40"/>
      </w:tcPr>
    </w:tblStylePr>
    <w:tblStylePr w:type="band2Vert">
      <w:pPr>
        <w:snapToGrid/>
      </w:pPr>
    </w:tblStylePr>
    <w:tblStylePr w:type="band1Horz">
      <w:pPr>
        <w:snapToGrid/>
      </w:pPr>
      <w:rPr>
        <w:rFonts w:ascii="Arial" w:hAnsi="Arial"/>
        <w:color w:val="C2D69B" w:themeColor="accent3" w:themeTint="99"/>
        <w:sz w:val="22"/>
      </w:rPr>
      <w:tblPr/>
      <w:tcPr>
        <w:shd w:val="clear" w:color="E5EED5" w:fill="E5EED5" w:themeFill="accent3" w:themeFillTint="40"/>
      </w:tcPr>
    </w:tblStylePr>
    <w:tblStylePr w:type="band2Horz">
      <w:pPr>
        <w:snapToGrid/>
      </w:pPr>
      <w:rPr>
        <w:rFonts w:ascii="Arial" w:hAnsi="Arial"/>
        <w:color w:val="C2D69B"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4">
    <w:name w:val="List Table 7 Colorful - Accent 4"/>
    <w:basedOn w:val="TableNormal"/>
    <w:uiPriority w:val="99"/>
    <w:qFormat/>
    <w:tblPr>
      <w:tblBorders>
        <w:right w:val="single" w:sz="4" w:space="0" w:color="B2A1C6" w:themeColor="accent4" w:themeTint="9A"/>
      </w:tblBorders>
    </w:tblPr>
    <w:tblStylePr w:type="firstRow">
      <w:pPr>
        <w:snapToGrid/>
      </w:pPr>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DFD8E7" w:fill="DFD8E7" w:themeFill="accent4" w:themeFillTint="40"/>
      </w:tcPr>
    </w:tblStylePr>
    <w:tblStylePr w:type="band2Vert">
      <w:pPr>
        <w:snapToGrid/>
      </w:pPr>
    </w:tblStylePr>
    <w:tblStylePr w:type="band1Horz">
      <w:pPr>
        <w:snapToGrid/>
      </w:pPr>
      <w:rPr>
        <w:rFonts w:ascii="Arial" w:hAnsi="Arial"/>
        <w:color w:val="B2A1C7" w:themeColor="accent4" w:themeTint="99"/>
        <w:sz w:val="22"/>
      </w:rPr>
      <w:tblPr/>
      <w:tcPr>
        <w:shd w:val="clear" w:color="DFD8E7" w:fill="DFD8E7" w:themeFill="accent4" w:themeFillTint="40"/>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5">
    <w:name w:val="List Table 7 Colorful - Accent 5"/>
    <w:basedOn w:val="TableNormal"/>
    <w:uiPriority w:val="99"/>
    <w:qFormat/>
    <w:tblPr>
      <w:tblBorders>
        <w:right w:val="single" w:sz="4" w:space="0" w:color="92CCDC" w:themeColor="accent5" w:themeTint="9A"/>
      </w:tblBorders>
    </w:tblPr>
    <w:tblStylePr w:type="firstRow">
      <w:pPr>
        <w:snapToGrid/>
      </w:pPr>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fill="FFFFFF" w:themeFill="light1"/>
      </w:tcPr>
    </w:tblStylePr>
    <w:tblStylePr w:type="lastRow">
      <w:pPr>
        <w:snapToGrid/>
      </w:pPr>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fill="FFFFFF" w:themeFill="light1"/>
      </w:tcPr>
    </w:tblStylePr>
    <w:tblStylePr w:type="firstCol">
      <w:pPr>
        <w:snapToGrid/>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FFFFFF"/>
      </w:tcPr>
    </w:tblStylePr>
    <w:tblStylePr w:type="lastCol">
      <w:pPr>
        <w:snapToGrid/>
      </w:pPr>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FFFFFF"/>
      </w:tcPr>
    </w:tblStylePr>
    <w:tblStylePr w:type="band1Vert">
      <w:pPr>
        <w:snapToGrid/>
      </w:pPr>
      <w:tblPr/>
      <w:tcPr>
        <w:shd w:val="clear" w:color="D1EAF0" w:fill="D1EAF0" w:themeFill="accent5" w:themeFillTint="40"/>
      </w:tcPr>
    </w:tblStylePr>
    <w:tblStylePr w:type="band2Vert">
      <w:pPr>
        <w:snapToGrid/>
      </w:pPr>
    </w:tblStylePr>
    <w:tblStylePr w:type="band1Horz">
      <w:pPr>
        <w:snapToGrid/>
      </w:pPr>
      <w:rPr>
        <w:rFonts w:ascii="Arial" w:hAnsi="Arial"/>
        <w:color w:val="92CDDC" w:themeColor="accent5" w:themeTint="99"/>
        <w:sz w:val="22"/>
      </w:rPr>
      <w:tblPr/>
      <w:tcPr>
        <w:shd w:val="clear" w:color="D1EAF0" w:fill="D1EAF0" w:themeFill="accent5" w:themeFillTint="40"/>
      </w:tcPr>
    </w:tblStylePr>
    <w:tblStylePr w:type="band2Horz">
      <w:pPr>
        <w:snapToGrid/>
      </w:pPr>
      <w:rPr>
        <w:rFonts w:ascii="Arial" w:hAnsi="Arial"/>
        <w:color w:val="92CDDC"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6">
    <w:name w:val="List Table 7 Colorful - Accent 6"/>
    <w:basedOn w:val="TableNormal"/>
    <w:uiPriority w:val="99"/>
    <w:qFormat/>
    <w:tblPr>
      <w:tblBorders>
        <w:right w:val="single" w:sz="4" w:space="0" w:color="FAC090" w:themeColor="accent6" w:themeTint="98"/>
      </w:tblBorders>
    </w:tblPr>
    <w:tblStylePr w:type="firstRow">
      <w:pPr>
        <w:snapToGrid/>
      </w:pPr>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fill="FFFFFF" w:themeFill="light1"/>
      </w:tcPr>
    </w:tblStylePr>
    <w:tblStylePr w:type="lastRow">
      <w:pPr>
        <w:snapToGrid/>
      </w:pPr>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fill="FFFFFF" w:themeFill="light1"/>
      </w:tcPr>
    </w:tblStylePr>
    <w:tblStylePr w:type="firstCol">
      <w:pPr>
        <w:snapToGrid/>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FFFFFF"/>
      </w:tcPr>
    </w:tblStylePr>
    <w:tblStylePr w:type="lastCol">
      <w:pPr>
        <w:snapToGrid/>
      </w:pPr>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FFFFFF"/>
      </w:tcPr>
    </w:tblStylePr>
    <w:tblStylePr w:type="band1Vert">
      <w:pPr>
        <w:snapToGrid/>
      </w:pPr>
      <w:tblPr/>
      <w:tcPr>
        <w:shd w:val="clear" w:color="FDE4D0" w:fill="FDE4D0" w:themeFill="accent6" w:themeFillTint="40"/>
      </w:tcPr>
    </w:tblStylePr>
    <w:tblStylePr w:type="band2Vert">
      <w:pPr>
        <w:snapToGrid/>
      </w:pPr>
    </w:tblStylePr>
    <w:tblStylePr w:type="band1Horz">
      <w:pPr>
        <w:snapToGrid/>
      </w:pPr>
      <w:rPr>
        <w:rFonts w:ascii="Arial" w:hAnsi="Arial"/>
        <w:color w:val="FABF8F" w:themeColor="accent6" w:themeTint="99"/>
        <w:sz w:val="22"/>
      </w:rPr>
      <w:tblPr/>
      <w:tcPr>
        <w:shd w:val="clear" w:color="FDE4D0" w:fill="FDE4D0" w:themeFill="accent6" w:themeFillTint="40"/>
      </w:tcPr>
    </w:tblStylePr>
    <w:tblStylePr w:type="band2Horz">
      <w:pPr>
        <w:snapToGrid/>
      </w:pPr>
      <w:rPr>
        <w:rFonts w:ascii="Arial" w:hAnsi="Arial"/>
        <w:color w:val="FABF8F"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
    <w:name w:val="Lined - Accent"/>
    <w:basedOn w:val="TableNormal"/>
    <w:uiPriority w:val="99"/>
    <w:qFormat/>
    <w:rPr>
      <w:color w:val="404040"/>
    </w:rPr>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1">
    <w:name w:val="Lined - Accent 1"/>
    <w:basedOn w:val="TableNormal"/>
    <w:uiPriority w:val="99"/>
    <w:qFormat/>
    <w:rPr>
      <w:color w:val="404040"/>
    </w:rPr>
    <w:tblPr/>
    <w:tblStylePr w:type="firstRow">
      <w:pPr>
        <w:snapToGrid/>
      </w:pPr>
      <w:rPr>
        <w:rFonts w:ascii="Arial" w:hAnsi="Arial"/>
        <w:color w:val="F2F2F2"/>
        <w:sz w:val="22"/>
      </w:rPr>
      <w:tblPr/>
      <w:tcPr>
        <w:shd w:val="clear" w:color="5D8AC2" w:fill="5D8AC2" w:themeFill="accent1" w:themeFillTint="EA"/>
      </w:tcPr>
    </w:tblStylePr>
    <w:tblStylePr w:type="lastRow">
      <w:pPr>
        <w:snapToGrid/>
      </w:pPr>
      <w:rPr>
        <w:rFonts w:ascii="Arial" w:hAnsi="Arial"/>
        <w:color w:val="F2F2F2"/>
        <w:sz w:val="22"/>
      </w:rPr>
      <w:tblPr/>
      <w:tcPr>
        <w:shd w:val="clear" w:color="5D8AC2" w:fill="5D8AC2" w:themeFill="accent1" w:themeFillTint="EA"/>
      </w:tcPr>
    </w:tblStylePr>
    <w:tblStylePr w:type="firstCol">
      <w:pPr>
        <w:snapToGrid/>
      </w:pPr>
      <w:rPr>
        <w:rFonts w:ascii="Arial" w:hAnsi="Arial"/>
        <w:color w:val="F2F2F2"/>
        <w:sz w:val="22"/>
      </w:rPr>
      <w:tblPr/>
      <w:tcPr>
        <w:shd w:val="clear" w:color="5D8AC2" w:fill="5D8AC2" w:themeFill="accent1" w:themeFillTint="EA"/>
      </w:tcPr>
    </w:tblStylePr>
    <w:tblStylePr w:type="lastCol">
      <w:pPr>
        <w:snapToGrid/>
      </w:pPr>
      <w:rPr>
        <w:rFonts w:ascii="Arial" w:hAnsi="Arial"/>
        <w:color w:val="F2F2F2"/>
        <w:sz w:val="22"/>
      </w:rPr>
      <w:tblPr/>
      <w:tcPr>
        <w:shd w:val="clear" w:color="5D8AC2"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7D7EA"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7D7EA"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2">
    <w:name w:val="Lined - Accent 2"/>
    <w:basedOn w:val="TableNormal"/>
    <w:uiPriority w:val="99"/>
    <w:qFormat/>
    <w:rPr>
      <w:color w:val="404040"/>
    </w:rPr>
    <w:tblPr/>
    <w:tblStylePr w:type="firstRow">
      <w:pPr>
        <w:snapToGrid/>
      </w:pPr>
      <w:rPr>
        <w:rFonts w:ascii="Arial" w:hAnsi="Arial"/>
        <w:color w:val="F2F2F2"/>
        <w:sz w:val="22"/>
      </w:rPr>
      <w:tblPr/>
      <w:tcPr>
        <w:shd w:val="clear" w:color="D99695" w:fill="D99695" w:themeFill="accent2" w:themeFillTint="97"/>
      </w:tcPr>
    </w:tblStylePr>
    <w:tblStylePr w:type="lastRow">
      <w:pPr>
        <w:snapToGrid/>
      </w:pPr>
      <w:rPr>
        <w:rFonts w:ascii="Arial" w:hAnsi="Arial"/>
        <w:color w:val="F2F2F2"/>
        <w:sz w:val="22"/>
      </w:rPr>
      <w:tblPr/>
      <w:tcPr>
        <w:shd w:val="clear" w:color="D99695" w:fill="D99695" w:themeFill="accent2" w:themeFillTint="97"/>
      </w:tcPr>
    </w:tblStylePr>
    <w:tblStylePr w:type="firstCol">
      <w:pPr>
        <w:snapToGrid/>
      </w:pPr>
      <w:rPr>
        <w:rFonts w:ascii="Arial" w:hAnsi="Arial"/>
        <w:color w:val="F2F2F2"/>
        <w:sz w:val="22"/>
      </w:rPr>
      <w:tblPr/>
      <w:tcPr>
        <w:shd w:val="clear" w:color="D99695" w:fill="D99695" w:themeFill="accent2" w:themeFillTint="97"/>
      </w:tcPr>
    </w:tblStylePr>
    <w:tblStylePr w:type="lastCol">
      <w:pPr>
        <w:snapToGrid/>
      </w:pPr>
      <w:rPr>
        <w:rFonts w:ascii="Arial" w:hAnsi="Arial"/>
        <w:color w:val="F2F2F2"/>
        <w:sz w:val="22"/>
      </w:rPr>
      <w:tblPr/>
      <w:tcPr>
        <w:shd w:val="clear" w:color="D99695"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DCDC"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DCDC"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3">
    <w:name w:val="Lined - Accent 3"/>
    <w:basedOn w:val="TableNormal"/>
    <w:uiPriority w:val="99"/>
    <w:qFormat/>
    <w:rPr>
      <w:color w:val="404040"/>
    </w:rPr>
    <w:tblPr/>
    <w:tblStylePr w:type="firstRow">
      <w:pPr>
        <w:snapToGrid/>
      </w:pPr>
      <w:rPr>
        <w:rFonts w:ascii="Arial" w:hAnsi="Arial"/>
        <w:color w:val="F2F2F2"/>
        <w:sz w:val="22"/>
      </w:rPr>
      <w:tblPr/>
      <w:tcPr>
        <w:shd w:val="clear" w:color="9ABB59" w:fill="9ABB59" w:themeFill="accent3" w:themeFillTint="FE"/>
      </w:tcPr>
    </w:tblStylePr>
    <w:tblStylePr w:type="lastRow">
      <w:pPr>
        <w:snapToGrid/>
      </w:pPr>
      <w:rPr>
        <w:rFonts w:ascii="Arial" w:hAnsi="Arial"/>
        <w:color w:val="F2F2F2"/>
        <w:sz w:val="22"/>
      </w:rPr>
      <w:tblPr/>
      <w:tcPr>
        <w:shd w:val="clear" w:color="9ABB59" w:fill="9ABB59" w:themeFill="accent3" w:themeFillTint="FE"/>
      </w:tcPr>
    </w:tblStylePr>
    <w:tblStylePr w:type="firstCol">
      <w:pPr>
        <w:snapToGrid/>
      </w:pPr>
      <w:rPr>
        <w:rFonts w:ascii="Arial" w:hAnsi="Arial"/>
        <w:color w:val="F2F2F2"/>
        <w:sz w:val="22"/>
      </w:rPr>
      <w:tblPr/>
      <w:tcPr>
        <w:shd w:val="clear" w:color="9ABB59" w:fill="9ABB59" w:themeFill="accent3" w:themeFillTint="FE"/>
      </w:tcPr>
    </w:tblStylePr>
    <w:tblStylePr w:type="lastCol">
      <w:pPr>
        <w:snapToGrid/>
      </w:pPr>
      <w:rPr>
        <w:rFonts w:ascii="Arial" w:hAnsi="Arial"/>
        <w:color w:val="F2F2F2"/>
        <w:sz w:val="22"/>
      </w:rPr>
      <w:tblPr/>
      <w:tcPr>
        <w:shd w:val="clear" w:color="9ABB59"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AF1DC"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AF1DC"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4">
    <w:name w:val="Lined - Accent 4"/>
    <w:basedOn w:val="TableNormal"/>
    <w:uiPriority w:val="99"/>
    <w:qFormat/>
    <w:rPr>
      <w:color w:val="404040"/>
    </w:rPr>
    <w:tblPr/>
    <w:tblStylePr w:type="firstRow">
      <w:pPr>
        <w:snapToGrid/>
      </w:pPr>
      <w:rPr>
        <w:rFonts w:ascii="Arial" w:hAnsi="Arial"/>
        <w:color w:val="F2F2F2"/>
        <w:sz w:val="22"/>
      </w:rPr>
      <w:tblPr/>
      <w:tcPr>
        <w:shd w:val="clear" w:color="B2A1C6" w:fill="B2A1C6" w:themeFill="accent4" w:themeFillTint="9A"/>
      </w:tcPr>
    </w:tblStylePr>
    <w:tblStylePr w:type="lastRow">
      <w:pPr>
        <w:snapToGrid/>
      </w:pPr>
      <w:rPr>
        <w:rFonts w:ascii="Arial" w:hAnsi="Arial"/>
        <w:color w:val="F2F2F2"/>
        <w:sz w:val="22"/>
      </w:rPr>
      <w:tblPr/>
      <w:tcPr>
        <w:shd w:val="clear" w:color="B2A1C6" w:fill="B2A1C6" w:themeFill="accent4" w:themeFillTint="9A"/>
      </w:tcPr>
    </w:tblStylePr>
    <w:tblStylePr w:type="firstCol">
      <w:pPr>
        <w:snapToGrid/>
      </w:pPr>
      <w:rPr>
        <w:rFonts w:ascii="Arial" w:hAnsi="Arial"/>
        <w:color w:val="F2F2F2"/>
        <w:sz w:val="22"/>
      </w:rPr>
      <w:tblPr/>
      <w:tcPr>
        <w:shd w:val="clear" w:color="B2A1C6" w:fill="B2A1C6" w:themeFill="accent4" w:themeFillTint="9A"/>
      </w:tcPr>
    </w:tblStylePr>
    <w:tblStylePr w:type="lastCol">
      <w:pPr>
        <w:snapToGrid/>
      </w:pPr>
      <w:rPr>
        <w:rFonts w:ascii="Arial" w:hAnsi="Arial"/>
        <w:color w:val="F2F2F2"/>
        <w:sz w:val="22"/>
      </w:rPr>
      <w:tblPr/>
      <w:tcPr>
        <w:shd w:val="clear" w:color="B2A1C6"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5DFEC"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5DFEC"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5">
    <w:name w:val="Lined - Accent 5"/>
    <w:basedOn w:val="TableNormal"/>
    <w:uiPriority w:val="99"/>
    <w:qFormat/>
    <w:rPr>
      <w:color w:val="404040"/>
    </w:rPr>
    <w:tblPr/>
    <w:tblStylePr w:type="firstRow">
      <w:pPr>
        <w:snapToGrid/>
      </w:pPr>
      <w:rPr>
        <w:rFonts w:ascii="Arial" w:hAnsi="Arial"/>
        <w:color w:val="F2F2F2"/>
        <w:sz w:val="22"/>
      </w:rPr>
      <w:tblPr/>
      <w:tcPr>
        <w:shd w:val="clear" w:color="4BACC6" w:fill="4BACC6" w:themeFill="accent5"/>
      </w:tcPr>
    </w:tblStylePr>
    <w:tblStylePr w:type="lastRow">
      <w:pPr>
        <w:snapToGrid/>
      </w:pPr>
      <w:rPr>
        <w:rFonts w:ascii="Arial" w:hAnsi="Arial"/>
        <w:color w:val="F2F2F2"/>
        <w:sz w:val="22"/>
      </w:rPr>
      <w:tblPr/>
      <w:tcPr>
        <w:shd w:val="clear" w:color="4BACC6" w:fill="4BACC6" w:themeFill="accent5"/>
      </w:tcPr>
    </w:tblStylePr>
    <w:tblStylePr w:type="firstCol">
      <w:pPr>
        <w:snapToGrid/>
      </w:pPr>
      <w:rPr>
        <w:rFonts w:ascii="Arial" w:hAnsi="Arial"/>
        <w:color w:val="F2F2F2"/>
        <w:sz w:val="22"/>
      </w:rPr>
      <w:tblPr/>
      <w:tcPr>
        <w:shd w:val="clear" w:color="4BACC6" w:fill="4BACC6" w:themeFill="accent5"/>
      </w:tcPr>
    </w:tblStylePr>
    <w:tblStylePr w:type="lastCol">
      <w:pPr>
        <w:snapToGrid/>
      </w:pPr>
      <w:rPr>
        <w:rFonts w:ascii="Arial" w:hAnsi="Arial"/>
        <w:color w:val="F2F2F2"/>
        <w:sz w:val="22"/>
      </w:rPr>
      <w:tblPr/>
      <w:tcPr>
        <w:shd w:val="clear" w:color="4BACC6"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AEEF3"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AEEF3"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6">
    <w:name w:val="Lined - Accent 6"/>
    <w:basedOn w:val="TableNormal"/>
    <w:uiPriority w:val="99"/>
    <w:qFormat/>
    <w:rPr>
      <w:color w:val="404040"/>
    </w:rPr>
    <w:tblPr/>
    <w:tblStylePr w:type="firstRow">
      <w:pPr>
        <w:snapToGrid/>
      </w:pPr>
      <w:rPr>
        <w:rFonts w:ascii="Arial" w:hAnsi="Arial"/>
        <w:color w:val="F2F2F2"/>
        <w:sz w:val="22"/>
      </w:rPr>
      <w:tblPr/>
      <w:tcPr>
        <w:shd w:val="clear" w:color="F79646" w:fill="F79646" w:themeFill="accent6"/>
      </w:tcPr>
    </w:tblStylePr>
    <w:tblStylePr w:type="lastRow">
      <w:pPr>
        <w:snapToGrid/>
      </w:pPr>
      <w:rPr>
        <w:rFonts w:ascii="Arial" w:hAnsi="Arial"/>
        <w:color w:val="F2F2F2"/>
        <w:sz w:val="22"/>
      </w:rPr>
      <w:tblPr/>
      <w:tcPr>
        <w:shd w:val="clear" w:color="F79646" w:fill="F79646" w:themeFill="accent6"/>
      </w:tcPr>
    </w:tblStylePr>
    <w:tblStylePr w:type="firstCol">
      <w:pPr>
        <w:snapToGrid/>
      </w:pPr>
      <w:rPr>
        <w:rFonts w:ascii="Arial" w:hAnsi="Arial"/>
        <w:color w:val="F2F2F2"/>
        <w:sz w:val="22"/>
      </w:rPr>
      <w:tblPr/>
      <w:tcPr>
        <w:shd w:val="clear" w:color="F79646" w:fill="F79646" w:themeFill="accent6"/>
      </w:tcPr>
    </w:tblStylePr>
    <w:tblStylePr w:type="lastCol">
      <w:pPr>
        <w:snapToGrid/>
      </w:pPr>
      <w:rPr>
        <w:rFonts w:ascii="Arial" w:hAnsi="Arial"/>
        <w:color w:val="F2F2F2"/>
        <w:sz w:val="22"/>
      </w:rPr>
      <w:tblPr/>
      <w:tcPr>
        <w:shd w:val="clear" w:color="F79646"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DE9D8"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DE9D8"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
    <w:name w:val="Bordered &amp; Lined - Accent"/>
    <w:basedOn w:val="TableNormal"/>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1">
    <w:name w:val="Bordered &amp; Lined - Accent 1"/>
    <w:basedOn w:val="TableNormal"/>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pPr>
        <w:snapToGrid/>
      </w:pPr>
      <w:rPr>
        <w:rFonts w:ascii="Arial" w:hAnsi="Arial"/>
        <w:color w:val="F2F2F2"/>
        <w:sz w:val="22"/>
      </w:rPr>
      <w:tblPr/>
      <w:tcPr>
        <w:shd w:val="clear" w:color="5D8AC2" w:fill="5D8AC2" w:themeFill="accent1" w:themeFillTint="EA"/>
      </w:tcPr>
    </w:tblStylePr>
    <w:tblStylePr w:type="lastRow">
      <w:pPr>
        <w:snapToGrid/>
      </w:pPr>
      <w:rPr>
        <w:rFonts w:ascii="Arial" w:hAnsi="Arial"/>
        <w:color w:val="F2F2F2"/>
        <w:sz w:val="22"/>
      </w:rPr>
      <w:tblPr/>
      <w:tcPr>
        <w:shd w:val="clear" w:color="5D8AC2" w:fill="5D8AC2" w:themeFill="accent1" w:themeFillTint="EA"/>
      </w:tcPr>
    </w:tblStylePr>
    <w:tblStylePr w:type="firstCol">
      <w:pPr>
        <w:snapToGrid/>
      </w:pPr>
      <w:rPr>
        <w:rFonts w:ascii="Arial" w:hAnsi="Arial"/>
        <w:color w:val="F2F2F2"/>
        <w:sz w:val="22"/>
      </w:rPr>
      <w:tblPr/>
      <w:tcPr>
        <w:shd w:val="clear" w:color="5D8AC2" w:fill="5D8AC2" w:themeFill="accent1" w:themeFillTint="EA"/>
      </w:tcPr>
    </w:tblStylePr>
    <w:tblStylePr w:type="lastCol">
      <w:pPr>
        <w:snapToGrid/>
      </w:pPr>
      <w:rPr>
        <w:rFonts w:ascii="Arial" w:hAnsi="Arial"/>
        <w:color w:val="F2F2F2"/>
        <w:sz w:val="22"/>
      </w:rPr>
      <w:tblPr/>
      <w:tcPr>
        <w:shd w:val="clear" w:color="5D8AC2"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7D7EA"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7D7EA"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2">
    <w:name w:val="Bordered &amp; Lined - Accent 2"/>
    <w:basedOn w:val="TableNormal"/>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pPr>
        <w:snapToGrid/>
      </w:pPr>
      <w:rPr>
        <w:rFonts w:ascii="Arial" w:hAnsi="Arial"/>
        <w:color w:val="F2F2F2"/>
        <w:sz w:val="22"/>
      </w:rPr>
      <w:tblPr/>
      <w:tcPr>
        <w:shd w:val="clear" w:color="D99695" w:fill="D99695" w:themeFill="accent2" w:themeFillTint="97"/>
      </w:tcPr>
    </w:tblStylePr>
    <w:tblStylePr w:type="lastRow">
      <w:pPr>
        <w:snapToGrid/>
      </w:pPr>
      <w:rPr>
        <w:rFonts w:ascii="Arial" w:hAnsi="Arial"/>
        <w:color w:val="F2F2F2"/>
        <w:sz w:val="22"/>
      </w:rPr>
      <w:tblPr/>
      <w:tcPr>
        <w:shd w:val="clear" w:color="D99695" w:fill="D99695" w:themeFill="accent2" w:themeFillTint="97"/>
      </w:tcPr>
    </w:tblStylePr>
    <w:tblStylePr w:type="firstCol">
      <w:pPr>
        <w:snapToGrid/>
      </w:pPr>
      <w:rPr>
        <w:rFonts w:ascii="Arial" w:hAnsi="Arial"/>
        <w:color w:val="F2F2F2"/>
        <w:sz w:val="22"/>
      </w:rPr>
      <w:tblPr/>
      <w:tcPr>
        <w:shd w:val="clear" w:color="D99695" w:fill="D99695" w:themeFill="accent2" w:themeFillTint="97"/>
      </w:tcPr>
    </w:tblStylePr>
    <w:tblStylePr w:type="lastCol">
      <w:pPr>
        <w:snapToGrid/>
      </w:pPr>
      <w:rPr>
        <w:rFonts w:ascii="Arial" w:hAnsi="Arial"/>
        <w:color w:val="F2F2F2"/>
        <w:sz w:val="22"/>
      </w:rPr>
      <w:tblPr/>
      <w:tcPr>
        <w:shd w:val="clear" w:color="D99695"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DCDC"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DCDC"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3">
    <w:name w:val="Bordered &amp; Lined - Accent 3"/>
    <w:basedOn w:val="TableNormal"/>
    <w:uiPriority w:val="99"/>
    <w:qFormat/>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pPr>
        <w:snapToGrid/>
      </w:pPr>
      <w:rPr>
        <w:rFonts w:ascii="Arial" w:hAnsi="Arial"/>
        <w:color w:val="F2F2F2"/>
        <w:sz w:val="22"/>
      </w:rPr>
      <w:tblPr/>
      <w:tcPr>
        <w:shd w:val="clear" w:color="9ABB59" w:fill="9ABB59" w:themeFill="accent3" w:themeFillTint="FE"/>
      </w:tcPr>
    </w:tblStylePr>
    <w:tblStylePr w:type="lastRow">
      <w:pPr>
        <w:snapToGrid/>
      </w:pPr>
      <w:rPr>
        <w:rFonts w:ascii="Arial" w:hAnsi="Arial"/>
        <w:color w:val="F2F2F2"/>
        <w:sz w:val="22"/>
      </w:rPr>
      <w:tblPr/>
      <w:tcPr>
        <w:shd w:val="clear" w:color="9ABB59" w:fill="9ABB59" w:themeFill="accent3" w:themeFillTint="FE"/>
      </w:tcPr>
    </w:tblStylePr>
    <w:tblStylePr w:type="firstCol">
      <w:pPr>
        <w:snapToGrid/>
      </w:pPr>
      <w:rPr>
        <w:rFonts w:ascii="Arial" w:hAnsi="Arial"/>
        <w:color w:val="F2F2F2"/>
        <w:sz w:val="22"/>
      </w:rPr>
      <w:tblPr/>
      <w:tcPr>
        <w:shd w:val="clear" w:color="9ABB59" w:fill="9ABB59" w:themeFill="accent3" w:themeFillTint="FE"/>
      </w:tcPr>
    </w:tblStylePr>
    <w:tblStylePr w:type="lastCol">
      <w:pPr>
        <w:snapToGrid/>
      </w:pPr>
      <w:rPr>
        <w:rFonts w:ascii="Arial" w:hAnsi="Arial"/>
        <w:color w:val="F2F2F2"/>
        <w:sz w:val="22"/>
      </w:rPr>
      <w:tblPr/>
      <w:tcPr>
        <w:shd w:val="clear" w:color="9ABB59"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AF1DC"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AF1DC"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4">
    <w:name w:val="Bordered &amp; Lined - Accent 4"/>
    <w:basedOn w:val="TableNormal"/>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pPr>
        <w:snapToGrid/>
      </w:pPr>
      <w:rPr>
        <w:rFonts w:ascii="Arial" w:hAnsi="Arial"/>
        <w:color w:val="F2F2F2"/>
        <w:sz w:val="22"/>
      </w:rPr>
      <w:tblPr/>
      <w:tcPr>
        <w:shd w:val="clear" w:color="B2A1C6" w:fill="B2A1C6" w:themeFill="accent4" w:themeFillTint="9A"/>
      </w:tcPr>
    </w:tblStylePr>
    <w:tblStylePr w:type="lastRow">
      <w:pPr>
        <w:snapToGrid/>
      </w:pPr>
      <w:rPr>
        <w:rFonts w:ascii="Arial" w:hAnsi="Arial"/>
        <w:color w:val="F2F2F2"/>
        <w:sz w:val="22"/>
      </w:rPr>
      <w:tblPr/>
      <w:tcPr>
        <w:shd w:val="clear" w:color="B2A1C6" w:fill="B2A1C6" w:themeFill="accent4" w:themeFillTint="9A"/>
      </w:tcPr>
    </w:tblStylePr>
    <w:tblStylePr w:type="firstCol">
      <w:pPr>
        <w:snapToGrid/>
      </w:pPr>
      <w:rPr>
        <w:rFonts w:ascii="Arial" w:hAnsi="Arial"/>
        <w:color w:val="F2F2F2"/>
        <w:sz w:val="22"/>
      </w:rPr>
      <w:tblPr/>
      <w:tcPr>
        <w:shd w:val="clear" w:color="B2A1C6" w:fill="B2A1C6" w:themeFill="accent4" w:themeFillTint="9A"/>
      </w:tcPr>
    </w:tblStylePr>
    <w:tblStylePr w:type="lastCol">
      <w:pPr>
        <w:snapToGrid/>
      </w:pPr>
      <w:rPr>
        <w:rFonts w:ascii="Arial" w:hAnsi="Arial"/>
        <w:color w:val="F2F2F2"/>
        <w:sz w:val="22"/>
      </w:rPr>
      <w:tblPr/>
      <w:tcPr>
        <w:shd w:val="clear" w:color="B2A1C6"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5DFEC"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5DFEC"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5">
    <w:name w:val="Bordered &amp; Lined - Accent 5"/>
    <w:basedOn w:val="TableNormal"/>
    <w:uiPriority w:val="99"/>
    <w:qFormat/>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pPr>
        <w:snapToGrid/>
      </w:pPr>
      <w:rPr>
        <w:rFonts w:ascii="Arial" w:hAnsi="Arial"/>
        <w:color w:val="F2F2F2"/>
        <w:sz w:val="22"/>
      </w:rPr>
      <w:tblPr/>
      <w:tcPr>
        <w:shd w:val="clear" w:color="4BACC6" w:fill="4BACC6" w:themeFill="accent5"/>
      </w:tcPr>
    </w:tblStylePr>
    <w:tblStylePr w:type="lastRow">
      <w:pPr>
        <w:snapToGrid/>
      </w:pPr>
      <w:rPr>
        <w:rFonts w:ascii="Arial" w:hAnsi="Arial"/>
        <w:color w:val="F2F2F2"/>
        <w:sz w:val="22"/>
      </w:rPr>
      <w:tblPr/>
      <w:tcPr>
        <w:shd w:val="clear" w:color="4BACC6" w:fill="4BACC6" w:themeFill="accent5"/>
      </w:tcPr>
    </w:tblStylePr>
    <w:tblStylePr w:type="firstCol">
      <w:pPr>
        <w:snapToGrid/>
      </w:pPr>
      <w:rPr>
        <w:rFonts w:ascii="Arial" w:hAnsi="Arial"/>
        <w:color w:val="F2F2F2"/>
        <w:sz w:val="22"/>
      </w:rPr>
      <w:tblPr/>
      <w:tcPr>
        <w:shd w:val="clear" w:color="4BACC6" w:fill="4BACC6" w:themeFill="accent5"/>
      </w:tcPr>
    </w:tblStylePr>
    <w:tblStylePr w:type="lastCol">
      <w:pPr>
        <w:snapToGrid/>
      </w:pPr>
      <w:rPr>
        <w:rFonts w:ascii="Arial" w:hAnsi="Arial"/>
        <w:color w:val="F2F2F2"/>
        <w:sz w:val="22"/>
      </w:rPr>
      <w:tblPr/>
      <w:tcPr>
        <w:shd w:val="clear" w:color="4BACC6"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AEEF3"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AEEF3"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6">
    <w:name w:val="Bordered &amp; Lined - Accent 6"/>
    <w:basedOn w:val="TableNormal"/>
    <w:uiPriority w:val="99"/>
    <w:qFormat/>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pPr>
        <w:snapToGrid/>
      </w:pPr>
      <w:rPr>
        <w:rFonts w:ascii="Arial" w:hAnsi="Arial"/>
        <w:color w:val="F2F2F2"/>
        <w:sz w:val="22"/>
      </w:rPr>
      <w:tblPr/>
      <w:tcPr>
        <w:shd w:val="clear" w:color="F79646" w:fill="F79646" w:themeFill="accent6"/>
      </w:tcPr>
    </w:tblStylePr>
    <w:tblStylePr w:type="lastRow">
      <w:pPr>
        <w:snapToGrid/>
      </w:pPr>
      <w:rPr>
        <w:rFonts w:ascii="Arial" w:hAnsi="Arial"/>
        <w:color w:val="F2F2F2"/>
        <w:sz w:val="22"/>
      </w:rPr>
      <w:tblPr/>
      <w:tcPr>
        <w:shd w:val="clear" w:color="F79646" w:fill="F79646" w:themeFill="accent6"/>
      </w:tcPr>
    </w:tblStylePr>
    <w:tblStylePr w:type="firstCol">
      <w:pPr>
        <w:snapToGrid/>
      </w:pPr>
      <w:rPr>
        <w:rFonts w:ascii="Arial" w:hAnsi="Arial"/>
        <w:color w:val="F2F2F2"/>
        <w:sz w:val="22"/>
      </w:rPr>
      <w:tblPr/>
      <w:tcPr>
        <w:shd w:val="clear" w:color="F79646" w:fill="F79646" w:themeFill="accent6"/>
      </w:tcPr>
    </w:tblStylePr>
    <w:tblStylePr w:type="lastCol">
      <w:pPr>
        <w:snapToGrid/>
      </w:pPr>
      <w:rPr>
        <w:rFonts w:ascii="Arial" w:hAnsi="Arial"/>
        <w:color w:val="F2F2F2"/>
        <w:sz w:val="22"/>
      </w:rPr>
      <w:tblPr/>
      <w:tcPr>
        <w:shd w:val="clear" w:color="F79646"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DE9D8"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DE9D8"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
    <w:name w:val="Bordered"/>
    <w:basedOn w:val="TableNormal"/>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pPr>
        <w:snapToGrid/>
      </w:pPr>
      <w:rPr>
        <w:rFonts w:ascii="Arial" w:hAnsi="Arial"/>
        <w:color w:val="404040"/>
        <w:sz w:val="22"/>
      </w:rPr>
      <w:tblPr/>
      <w:tcPr>
        <w:tcBorders>
          <w:bottom w:val="single" w:sz="12" w:space="0" w:color="7F7F7F" w:themeColor="text1" w:themeTint="80"/>
        </w:tcBorders>
      </w:tcPr>
    </w:tblStylePr>
    <w:tblStylePr w:type="lastRow">
      <w:pPr>
        <w:snapToGrid/>
      </w:pPr>
      <w:rPr>
        <w:rFonts w:ascii="Arial" w:hAnsi="Arial"/>
        <w:color w:val="404040"/>
        <w:sz w:val="22"/>
      </w:rPr>
      <w:tblPr/>
      <w:tcPr>
        <w:tcBorders>
          <w:top w:val="single" w:sz="12" w:space="0" w:color="7F7F7F" w:themeColor="text1" w:themeTint="8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7F7F7F" w:themeColor="text1" w:themeTint="80"/>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1">
    <w:name w:val="Bordered - Accent 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pPr>
        <w:snapToGrid/>
      </w:pPr>
      <w:rPr>
        <w:rFonts w:ascii="Arial" w:hAnsi="Arial"/>
        <w:color w:val="404040"/>
        <w:sz w:val="22"/>
      </w:rPr>
      <w:tblPr/>
      <w:tcPr>
        <w:tcBorders>
          <w:bottom w:val="single" w:sz="12" w:space="0" w:color="4F81BD" w:themeColor="accent1"/>
        </w:tcBorders>
      </w:tcPr>
    </w:tblStylePr>
    <w:tblStylePr w:type="lastRow">
      <w:pPr>
        <w:snapToGrid/>
      </w:pPr>
      <w:rPr>
        <w:rFonts w:ascii="Arial" w:hAnsi="Arial"/>
        <w:color w:val="404040"/>
        <w:sz w:val="22"/>
      </w:rPr>
      <w:tblPr/>
      <w:tcPr>
        <w:tcBorders>
          <w:top w:val="single" w:sz="12" w:space="0" w:color="4F81BD" w:themeColor="accent1"/>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4F81BD" w:themeColor="accent1"/>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2">
    <w:name w:val="Bordered - Accent 2"/>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pPr>
        <w:snapToGrid/>
      </w:pPr>
      <w:rPr>
        <w:rFonts w:ascii="Arial" w:hAnsi="Arial"/>
        <w:color w:val="404040"/>
        <w:sz w:val="22"/>
      </w:rPr>
      <w:tblPr/>
      <w:tcPr>
        <w:tcBorders>
          <w:bottom w:val="single" w:sz="12" w:space="0" w:color="D99695" w:themeColor="accent2" w:themeTint="97"/>
        </w:tcBorders>
      </w:tcPr>
    </w:tblStylePr>
    <w:tblStylePr w:type="lastRow">
      <w:pPr>
        <w:snapToGrid/>
      </w:pPr>
      <w:rPr>
        <w:rFonts w:ascii="Arial" w:hAnsi="Arial"/>
        <w:color w:val="404040"/>
        <w:sz w:val="22"/>
      </w:rPr>
      <w:tblPr/>
      <w:tcPr>
        <w:tcBorders>
          <w:top w:val="single" w:sz="12" w:space="0" w:color="D99695" w:themeColor="accent2" w:themeTint="97"/>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D99695" w:themeColor="accent2" w:themeTint="97"/>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3">
    <w:name w:val="Bordered - Accent 3"/>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pPr>
        <w:snapToGrid/>
      </w:pPr>
      <w:rPr>
        <w:rFonts w:ascii="Arial" w:hAnsi="Arial"/>
        <w:color w:val="404040"/>
        <w:sz w:val="22"/>
      </w:rPr>
      <w:tblPr/>
      <w:tcPr>
        <w:tcBorders>
          <w:bottom w:val="single" w:sz="12" w:space="0" w:color="C3D69B" w:themeColor="accent3" w:themeTint="98"/>
        </w:tcBorders>
      </w:tcPr>
    </w:tblStylePr>
    <w:tblStylePr w:type="lastRow">
      <w:pPr>
        <w:snapToGrid/>
      </w:pPr>
      <w:rPr>
        <w:rFonts w:ascii="Arial" w:hAnsi="Arial"/>
        <w:color w:val="404040"/>
        <w:sz w:val="22"/>
      </w:rPr>
      <w:tblPr/>
      <w:tcPr>
        <w:tcBorders>
          <w:top w:val="single" w:sz="12" w:space="0" w:color="C3D69B" w:themeColor="accent3"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C3D69B" w:themeColor="accent3"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4">
    <w:name w:val="Bordered - Accent 4"/>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pPr>
        <w:snapToGrid/>
      </w:pPr>
      <w:rPr>
        <w:rFonts w:ascii="Arial" w:hAnsi="Arial"/>
        <w:color w:val="404040"/>
        <w:sz w:val="22"/>
      </w:rPr>
      <w:tblPr/>
      <w:tcPr>
        <w:tcBorders>
          <w:bottom w:val="single" w:sz="12" w:space="0" w:color="B2A1C6" w:themeColor="accent4" w:themeTint="9A"/>
        </w:tcBorders>
      </w:tcPr>
    </w:tblStylePr>
    <w:tblStylePr w:type="lastRow">
      <w:pPr>
        <w:snapToGrid/>
      </w:pPr>
      <w:rPr>
        <w:rFonts w:ascii="Arial" w:hAnsi="Arial"/>
        <w:color w:val="404040"/>
        <w:sz w:val="22"/>
      </w:rPr>
      <w:tblPr/>
      <w:tcPr>
        <w:tcBorders>
          <w:top w:val="single" w:sz="12" w:space="0" w:color="B2A1C6" w:themeColor="accent4"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B2A1C6" w:themeColor="accent4"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5">
    <w:name w:val="Bordered - Accent 5"/>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pPr>
        <w:snapToGrid/>
      </w:pPr>
      <w:rPr>
        <w:rFonts w:ascii="Arial" w:hAnsi="Arial"/>
        <w:color w:val="404040"/>
        <w:sz w:val="22"/>
      </w:rPr>
      <w:tblPr/>
      <w:tcPr>
        <w:tcBorders>
          <w:bottom w:val="single" w:sz="12" w:space="0" w:color="92CCDC" w:themeColor="accent5" w:themeTint="9A"/>
        </w:tcBorders>
      </w:tcPr>
    </w:tblStylePr>
    <w:tblStylePr w:type="lastRow">
      <w:pPr>
        <w:snapToGrid/>
      </w:pPr>
      <w:rPr>
        <w:rFonts w:ascii="Arial" w:hAnsi="Arial"/>
        <w:color w:val="404040"/>
        <w:sz w:val="22"/>
      </w:rPr>
      <w:tblPr/>
      <w:tcPr>
        <w:tcBorders>
          <w:top w:val="single" w:sz="12" w:space="0" w:color="92CCDC" w:themeColor="accent5"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92CCDC" w:themeColor="accent5"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6">
    <w:name w:val="Bordered - Accent 6"/>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pPr>
        <w:snapToGrid/>
      </w:pPr>
      <w:rPr>
        <w:rFonts w:ascii="Arial" w:hAnsi="Arial"/>
        <w:color w:val="404040"/>
        <w:sz w:val="22"/>
      </w:rPr>
      <w:tblPr/>
      <w:tcPr>
        <w:tcBorders>
          <w:bottom w:val="single" w:sz="12" w:space="0" w:color="FAC090" w:themeColor="accent6" w:themeTint="98"/>
        </w:tcBorders>
      </w:tcPr>
    </w:tblStylePr>
    <w:tblStylePr w:type="lastRow">
      <w:pPr>
        <w:snapToGrid/>
      </w:pPr>
      <w:rPr>
        <w:rFonts w:ascii="Arial" w:hAnsi="Arial"/>
        <w:color w:val="404040"/>
        <w:sz w:val="22"/>
      </w:rPr>
      <w:tblPr/>
      <w:tcPr>
        <w:tcBorders>
          <w:top w:val="single" w:sz="12" w:space="0" w:color="FAC090" w:themeColor="accent6"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AC090" w:themeColor="accent6"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customStyle="1" w:styleId="a4">
    <w:name w:val="脚注文本 字符"/>
    <w:link w:val="FootnoteText"/>
    <w:uiPriority w:val="99"/>
    <w:qFormat/>
    <w:rPr>
      <w:sz w:val="18"/>
    </w:rPr>
  </w:style>
  <w:style w:type="paragraph" w:customStyle="1" w:styleId="TOC10">
    <w:name w:val="TOC 标题1"/>
    <w:uiPriority w:val="39"/>
    <w:unhideWhenUsed/>
    <w:qFormat/>
    <w:pPr>
      <w:pBdr>
        <w:top w:val="nil"/>
        <w:left w:val="nil"/>
        <w:bottom w:val="nil"/>
        <w:right w:val="nil"/>
        <w:between w:val="nil"/>
      </w:pBdr>
      <w:shd w:val="clear" w:color="FFFFFF" w:fill="FFFFFF"/>
    </w:pPr>
    <w:rPr>
      <w:sz w:val="21"/>
      <w:szCs w:val="22"/>
    </w:rPr>
  </w:style>
  <w:style w:type="character" w:customStyle="1" w:styleId="2Char">
    <w:name w:val="标题 2 Char"/>
    <w:basedOn w:val="DefaultParagraphFont"/>
    <w:link w:val="21"/>
    <w:qFormat/>
    <w:rPr>
      <w:rFonts w:ascii="Arial" w:eastAsia="黑体" w:hAnsi="Arial" w:cs="Times New Roman"/>
      <w:b/>
      <w:sz w:val="32"/>
      <w:szCs w:val="20"/>
    </w:rPr>
  </w:style>
  <w:style w:type="character" w:customStyle="1" w:styleId="Char">
    <w:name w:val="页眉 Char"/>
    <w:basedOn w:val="DefaultParagraphFont"/>
    <w:link w:val="12"/>
    <w:uiPriority w:val="99"/>
    <w:qFormat/>
    <w:rPr>
      <w:rFonts w:ascii="Times New Roman" w:eastAsia="宋体" w:hAnsi="Times New Roman" w:cs="Times New Roman"/>
      <w:sz w:val="18"/>
      <w:szCs w:val="18"/>
    </w:rPr>
  </w:style>
  <w:style w:type="character" w:customStyle="1" w:styleId="Char0">
    <w:name w:val="页脚 Char"/>
    <w:basedOn w:val="DefaultParagraphFont"/>
    <w:link w:val="10"/>
    <w:uiPriority w:val="99"/>
    <w:qFormat/>
    <w:rPr>
      <w:rFonts w:ascii="Times New Roman" w:eastAsia="宋体" w:hAnsi="Times New Roman" w:cs="Times New Roman"/>
      <w:sz w:val="18"/>
      <w:szCs w:val="18"/>
    </w:rPr>
  </w:style>
  <w:style w:type="paragraph" w:customStyle="1" w:styleId="wz1">
    <w:name w:val="wz1"/>
    <w:basedOn w:val="Normal"/>
    <w:qFormat/>
    <w:pPr>
      <w:widowControl/>
      <w:spacing w:before="100" w:beforeAutospacing="1" w:after="100" w:afterAutospacing="1" w:line="245" w:lineRule="atLeast"/>
      <w:jc w:val="left"/>
    </w:pPr>
    <w:rPr>
      <w:rFonts w:ascii="Arial Unicode MS" w:hAnsi="Arial Unicode MS" w:cs="Arial Unicode MS"/>
      <w:color w:val="CC0000"/>
      <w:sz w:val="22"/>
      <w:szCs w:val="22"/>
    </w:rPr>
  </w:style>
  <w:style w:type="character" w:customStyle="1" w:styleId="a5">
    <w:name w:val="正文文本 字符"/>
    <w:basedOn w:val="DefaultParagraphFont"/>
    <w:link w:val="BodyText"/>
    <w:qFormat/>
    <w:rPr>
      <w:rFonts w:ascii="仿宋_GB2312" w:eastAsia="仿宋_GB2312" w:hAnsi="Times New Roman" w:cs="Times New Roman"/>
      <w:color w:val="000000"/>
      <w:sz w:val="24"/>
      <w:szCs w:val="28"/>
    </w:rPr>
  </w:style>
  <w:style w:type="character" w:customStyle="1" w:styleId="read">
    <w:name w:val="read"/>
    <w:basedOn w:val="DefaultParagraphFont"/>
    <w:qFormat/>
  </w:style>
  <w:style w:type="character" w:customStyle="1" w:styleId="a6">
    <w:name w:val="正文文本缩进 字符"/>
    <w:basedOn w:val="DefaultParagraphFont"/>
    <w:link w:val="BodyTextIndent"/>
    <w:rPr>
      <w:rFonts w:ascii="Times New Roman" w:eastAsia="方正仿宋简体" w:hAnsi="Times New Roman" w:cs="Times New Roman"/>
      <w:sz w:val="24"/>
      <w:szCs w:val="30"/>
    </w:rPr>
  </w:style>
  <w:style w:type="character" w:customStyle="1" w:styleId="20">
    <w:name w:val="正文文本缩进 2 字符"/>
    <w:basedOn w:val="DefaultParagraphFont"/>
    <w:link w:val="BodyTextIndent2"/>
    <w:qFormat/>
    <w:rPr>
      <w:rFonts w:ascii="宋体" w:eastAsia="宋体" w:hAnsi="宋体" w:cs="Times New Roman"/>
      <w:sz w:val="28"/>
      <w:szCs w:val="20"/>
    </w:rPr>
  </w:style>
  <w:style w:type="character" w:customStyle="1" w:styleId="30">
    <w:name w:val="正文文本缩进 3 字符"/>
    <w:basedOn w:val="DefaultParagraphFont"/>
    <w:link w:val="BodyTextIndent3"/>
    <w:qFormat/>
    <w:rPr>
      <w:rFonts w:ascii="仿宋_GB2312" w:eastAsia="仿宋_GB2312" w:hAnsi="宋体" w:cs="Arial"/>
      <w:color w:val="000000"/>
      <w:sz w:val="24"/>
      <w:szCs w:val="24"/>
    </w:rPr>
  </w:style>
  <w:style w:type="character" w:customStyle="1" w:styleId="a7">
    <w:name w:val="批注框文本 字符"/>
    <w:basedOn w:val="DefaultParagraphFont"/>
    <w:link w:val="BalloonText"/>
    <w:semiHidden/>
    <w:rPr>
      <w:rFonts w:ascii="Times New Roman" w:eastAsia="宋体" w:hAnsi="Times New Roman" w:cs="Times New Roman"/>
      <w:sz w:val="18"/>
      <w:szCs w:val="18"/>
    </w:rPr>
  </w:style>
  <w:style w:type="paragraph" w:customStyle="1" w:styleId="Char1">
    <w:name w:val="Char"/>
    <w:basedOn w:val="Normal"/>
  </w:style>
  <w:style w:type="paragraph" w:customStyle="1" w:styleId="Char10">
    <w:name w:val="Char1"/>
    <w:basedOn w:val="Normal"/>
    <w:qFormat/>
    <w:pPr>
      <w:tabs>
        <w:tab w:val="left" w:pos="832"/>
      </w:tabs>
      <w:ind w:left="832" w:hanging="420"/>
      <w:jc w:val="center"/>
    </w:pPr>
    <w:rPr>
      <w:rFonts w:ascii="楷体_GB2312" w:eastAsia="楷体_GB2312"/>
      <w:b/>
      <w:color w:val="000080"/>
      <w:sz w:val="30"/>
      <w:szCs w:val="30"/>
    </w:rPr>
  </w:style>
  <w:style w:type="paragraph" w:customStyle="1" w:styleId="CharCharChar">
    <w:name w:val="Char Char Char"/>
    <w:basedOn w:val="Normal"/>
  </w:style>
  <w:style w:type="character" w:customStyle="1" w:styleId="a8">
    <w:name w:val="批注文字 字符"/>
    <w:basedOn w:val="DefaultParagraphFont"/>
    <w:link w:val="CommentText"/>
    <w:qFormat/>
    <w:rPr>
      <w:rFonts w:ascii="Times New Roman" w:eastAsia="宋体" w:hAnsi="Times New Roman" w:cs="Times New Roman"/>
      <w:sz w:val="24"/>
      <w:szCs w:val="24"/>
    </w:rPr>
  </w:style>
  <w:style w:type="paragraph" w:customStyle="1" w:styleId="CharCharCharCharCharCharChar1CharCharCharCharCharChar">
    <w:name w:val="Char Char Char Char Char Char Char1 Char Char Char Char Char Char"/>
    <w:basedOn w:val="Normal"/>
    <w:qFormat/>
  </w:style>
  <w:style w:type="paragraph" w:customStyle="1" w:styleId="CharChar">
    <w:name w:val="Char Char"/>
    <w:basedOn w:val="Normal"/>
    <w:qFormat/>
    <w:rPr>
      <w:sz w:val="20"/>
      <w:szCs w:val="20"/>
    </w:rPr>
  </w:style>
  <w:style w:type="character" w:customStyle="1" w:styleId="HTML">
    <w:name w:val="HTML 预设格式 字符"/>
    <w:basedOn w:val="DefaultParagraphFont"/>
    <w:link w:val="HTMLPreformatted"/>
    <w:uiPriority w:val="99"/>
    <w:rPr>
      <w:rFonts w:ascii="宋体" w:eastAsia="宋体" w:hAnsi="宋体" w:cs="宋体"/>
      <w:sz w:val="24"/>
      <w:szCs w:val="24"/>
    </w:rPr>
  </w:style>
  <w:style w:type="character" w:customStyle="1" w:styleId="a9">
    <w:name w:val="批注主题 字符"/>
    <w:basedOn w:val="a8"/>
    <w:link w:val="CommentSubject"/>
    <w:qFormat/>
    <w:rPr>
      <w:rFonts w:ascii="Times New Roman" w:eastAsia="宋体" w:hAnsi="Times New Roman" w:cs="Times New Roman"/>
      <w:b/>
      <w:bCs/>
      <w:sz w:val="24"/>
      <w:szCs w:val="24"/>
    </w:rPr>
  </w:style>
  <w:style w:type="paragraph" w:customStyle="1" w:styleId="StGen0">
    <w:name w:val="StGen0"/>
    <w:uiPriority w:val="99"/>
    <w:unhideWhenUsed/>
    <w:qFormat/>
    <w:pPr>
      <w:widowControl w:val="0"/>
      <w:pBdr>
        <w:top w:val="nil"/>
        <w:left w:val="nil"/>
        <w:bottom w:val="nil"/>
        <w:right w:val="nil"/>
        <w:between w:val="nil"/>
      </w:pBdr>
      <w:shd w:val="clear" w:color="FFFFFF" w:fill="FFFFFF"/>
      <w:jc w:val="both"/>
    </w:pPr>
    <w:rPr>
      <w:rFonts w:ascii="Times New Roman" w:hAnsi="Times New Roman" w:cs="Times New Roman"/>
      <w:sz w:val="21"/>
      <w:szCs w:val="24"/>
    </w:rPr>
  </w:style>
  <w:style w:type="paragraph" w:customStyle="1" w:styleId="14">
    <w:name w:val="修订1"/>
    <w:hidden/>
    <w:uiPriority w:val="99"/>
    <w:semiHidden/>
    <w:qFormat/>
    <w:pPr>
      <w:pBdr>
        <w:top w:val="nil"/>
        <w:left w:val="nil"/>
        <w:bottom w:val="nil"/>
        <w:right w:val="nil"/>
        <w:between w:val="nil"/>
      </w:pBdr>
      <w:shd w:val="clear" w:color="FFFFFF" w:fill="FFFFFF"/>
    </w:pPr>
    <w:rPr>
      <w:rFonts w:ascii="Times New Roman" w:hAnsi="Times New Roman" w:cs="Times New Roman"/>
      <w:sz w:val="21"/>
      <w:szCs w:val="24"/>
    </w:rPr>
  </w:style>
  <w:style w:type="paragraph" w:customStyle="1" w:styleId="Default">
    <w:name w:val="Default"/>
    <w:pPr>
      <w:widowControl w:val="0"/>
      <w:pBdr>
        <w:top w:val="nil"/>
        <w:left w:val="nil"/>
        <w:bottom w:val="nil"/>
        <w:right w:val="nil"/>
        <w:between w:val="nil"/>
      </w:pBdr>
      <w:shd w:val="clear" w:color="FFFFFF" w:fill="FFFFFF"/>
    </w:pPr>
    <w:rPr>
      <w:rFonts w:ascii="宋体" w:cs="宋体"/>
      <w:color w:val="000000"/>
      <w:sz w:val="24"/>
      <w:szCs w:val="24"/>
    </w:rPr>
  </w:style>
  <w:style w:type="character" w:customStyle="1" w:styleId="1Char">
    <w:name w:val="标题 1 Char"/>
    <w:basedOn w:val="DefaultParagraphFont"/>
    <w:link w:val="11"/>
    <w:uiPriority w:val="9"/>
    <w:qFormat/>
    <w:rPr>
      <w:rFonts w:ascii="Times New Roman" w:eastAsia="宋体" w:hAnsi="Times New Roman" w:cs="Times New Roman"/>
      <w:b/>
      <w:bCs/>
      <w:sz w:val="44"/>
      <w:szCs w:val="44"/>
    </w:rPr>
  </w:style>
  <w:style w:type="paragraph" w:styleId="Header">
    <w:name w:val="header"/>
    <w:basedOn w:val="Normal"/>
    <w:link w:val="a10"/>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10">
    <w:name w:val="页眉 字符"/>
    <w:basedOn w:val="DefaultParagraphFont"/>
    <w:link w:val="Header"/>
    <w:uiPriority w:val="99"/>
    <w:rPr>
      <w:rFonts w:ascii="Times New Roman" w:hAnsi="Times New Roman" w:cs="Times New Roman"/>
      <w:sz w:val="18"/>
      <w:szCs w:val="18"/>
      <w:shd w:val="clear" w:color="FFFFFF" w:fill="FFFFFF"/>
    </w:rPr>
  </w:style>
  <w:style w:type="paragraph" w:styleId="Footer">
    <w:name w:val="footer"/>
    <w:basedOn w:val="Normal"/>
    <w:link w:val="a11"/>
    <w:uiPriority w:val="99"/>
    <w:unhideWhenUsed/>
    <w:pPr>
      <w:tabs>
        <w:tab w:val="center" w:pos="4153"/>
        <w:tab w:val="right" w:pos="8306"/>
      </w:tabs>
      <w:snapToGrid w:val="0"/>
      <w:jc w:val="left"/>
    </w:pPr>
    <w:rPr>
      <w:sz w:val="18"/>
      <w:szCs w:val="18"/>
    </w:rPr>
  </w:style>
  <w:style w:type="character" w:customStyle="1" w:styleId="a11">
    <w:name w:val="页脚 字符"/>
    <w:basedOn w:val="DefaultParagraphFont"/>
    <w:link w:val="Footer"/>
    <w:uiPriority w:val="99"/>
    <w:rPr>
      <w:rFonts w:ascii="Times New Roman" w:hAnsi="Times New Roman" w:cs="Times New Roman"/>
      <w:sz w:val="18"/>
      <w:szCs w:val="18"/>
      <w:shd w:val="clear" w:color="FFFFFF" w:fill="FFFFFF"/>
    </w:rPr>
  </w:style>
  <w:style w:type="paragraph" w:styleId="Revision">
    <w:name w:val="Revision"/>
    <w:hidden/>
    <w:uiPriority w:val="99"/>
    <w:semiHidden/>
    <w:rsid w:val="005452D3"/>
    <w:rPr>
      <w:rFonts w:ascii="Times New Roman" w:hAnsi="Times New Roman" w:cs="Times New Roman"/>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15"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header" Target="head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eader" Target="header2.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a1149f66b8240a793fee1d912384d1a"/>
        <w:category>
          <w:name w:val="(Empty Category)"/>
          <w:gallery w:val="any"/>
        </w:category>
        <w:behaviors>
          <w:behavior w:val="content"/>
        </w:behaviors>
        <w:guid w:val="{7D628958-ADD9-4E26-813A-52F4EC5EAD55}"/>
      </w:docPartPr>
      <w:docPartBody>
        <w:p w:rsidR="0031110D">
          <w:r>
            <w:t>请在此放置您的文字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Calibri"/>
    <w:charset w:val="00"/>
    <w:family w:val="auto"/>
    <w:pitch w:val="default"/>
  </w:font>
  <w:font w:name="方正仿宋简体">
    <w:charset w:val="00"/>
    <w:family w:val="auto"/>
    <w:pitch w:val="default"/>
  </w:font>
  <w:font w:name="Arial Unicode MS">
    <w:altName w:val="Arial"/>
    <w:panose1 w:val="020B0604020202020204"/>
    <w:charset w:val="00"/>
    <w:family w:val="auto"/>
    <w:pitch w:val="default"/>
  </w:font>
  <w:font w:name="楷体_GB2312">
    <w:altName w:val="微软雅黑"/>
    <w:charset w:val="00"/>
    <w:family w:val="auto"/>
    <w:pitch w:val="default"/>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compressPunctuation"/>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110D"/>
    <w:rsid w:val="000D371C"/>
    <w:rsid w:val="001C0490"/>
    <w:rsid w:val="00286485"/>
    <w:rsid w:val="0031110D"/>
    <w:rsid w:val="007A2D80"/>
    <w:rsid w:val="008F3005"/>
    <w:rsid w:val="009C2E48"/>
    <w:rsid w:val="00AE04E4"/>
    <w:rsid w:val="00D61E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宋体"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1"/>
    <w:uiPriority w:val="9"/>
    <w:qFormat/>
    <w:pPr>
      <w:keepNext/>
      <w:keepLines/>
      <w:spacing w:before="480" w:after="200"/>
      <w:outlineLvl w:val="0"/>
    </w:pPr>
    <w:rPr>
      <w:sz w:val="40"/>
      <w:szCs w:val="40"/>
    </w:rPr>
  </w:style>
  <w:style w:type="paragraph" w:styleId="Heading2">
    <w:name w:val="heading 2"/>
    <w:basedOn w:val="Normal"/>
    <w:next w:val="Normal"/>
    <w:link w:val="2"/>
    <w:uiPriority w:val="9"/>
    <w:unhideWhenUsed/>
    <w:qFormat/>
    <w:pPr>
      <w:keepNext/>
      <w:keepLines/>
      <w:spacing w:before="360" w:after="200"/>
      <w:outlineLvl w:val="1"/>
    </w:pPr>
    <w:rPr>
      <w:sz w:val="34"/>
    </w:rPr>
  </w:style>
  <w:style w:type="paragraph" w:styleId="Heading3">
    <w:name w:val="heading 3"/>
    <w:basedOn w:val="Normal"/>
    <w:next w:val="Normal"/>
    <w:link w:val="3"/>
    <w:uiPriority w:val="9"/>
    <w:unhideWhenUsed/>
    <w:qFormat/>
    <w:pPr>
      <w:keepNext/>
      <w:keepLines/>
      <w:spacing w:before="320" w:after="200"/>
      <w:outlineLvl w:val="2"/>
    </w:pPr>
    <w:rPr>
      <w:sz w:val="30"/>
      <w:szCs w:val="30"/>
    </w:rPr>
  </w:style>
  <w:style w:type="paragraph" w:styleId="Heading4">
    <w:name w:val="heading 4"/>
    <w:basedOn w:val="Normal"/>
    <w:next w:val="Normal"/>
    <w:link w:val="4"/>
    <w:uiPriority w:val="9"/>
    <w:unhideWhenUsed/>
    <w:qFormat/>
    <w:pPr>
      <w:keepNext/>
      <w:keepLines/>
      <w:spacing w:before="320" w:after="200"/>
      <w:outlineLvl w:val="3"/>
    </w:pPr>
    <w:rPr>
      <w:b/>
      <w:bCs/>
      <w:sz w:val="26"/>
      <w:szCs w:val="26"/>
    </w:rPr>
  </w:style>
  <w:style w:type="paragraph" w:styleId="Heading5">
    <w:name w:val="heading 5"/>
    <w:basedOn w:val="Normal"/>
    <w:next w:val="Normal"/>
    <w:link w:val="5"/>
    <w:uiPriority w:val="9"/>
    <w:unhideWhenUsed/>
    <w:qFormat/>
    <w:pPr>
      <w:keepNext/>
      <w:keepLines/>
      <w:spacing w:before="320" w:after="200"/>
      <w:outlineLvl w:val="4"/>
    </w:pPr>
    <w:rPr>
      <w:b/>
      <w:bCs/>
      <w:sz w:val="24"/>
      <w:szCs w:val="24"/>
    </w:rPr>
  </w:style>
  <w:style w:type="paragraph" w:styleId="Heading6">
    <w:name w:val="heading 6"/>
    <w:basedOn w:val="Normal"/>
    <w:next w:val="Normal"/>
    <w:link w:val="6"/>
    <w:uiPriority w:val="9"/>
    <w:unhideWhenUsed/>
    <w:qFormat/>
    <w:pPr>
      <w:keepNext/>
      <w:keepLines/>
      <w:spacing w:before="320" w:after="200"/>
      <w:outlineLvl w:val="5"/>
    </w:pPr>
    <w:rPr>
      <w:b/>
      <w:bCs/>
    </w:rPr>
  </w:style>
  <w:style w:type="paragraph" w:styleId="Heading7">
    <w:name w:val="heading 7"/>
    <w:basedOn w:val="Normal"/>
    <w:next w:val="Normal"/>
    <w:link w:val="7"/>
    <w:uiPriority w:val="9"/>
    <w:unhideWhenUsed/>
    <w:qFormat/>
    <w:pPr>
      <w:keepNext/>
      <w:keepLines/>
      <w:spacing w:before="320" w:after="200"/>
      <w:outlineLvl w:val="6"/>
    </w:pPr>
    <w:rPr>
      <w:b/>
      <w:bCs/>
      <w:i/>
      <w:iCs/>
    </w:rPr>
  </w:style>
  <w:style w:type="paragraph" w:styleId="Heading8">
    <w:name w:val="heading 8"/>
    <w:basedOn w:val="Normal"/>
    <w:next w:val="Normal"/>
    <w:link w:val="8"/>
    <w:uiPriority w:val="9"/>
    <w:unhideWhenUsed/>
    <w:qFormat/>
    <w:pPr>
      <w:keepNext/>
      <w:keepLines/>
      <w:spacing w:before="320" w:after="200"/>
      <w:outlineLvl w:val="7"/>
    </w:pPr>
    <w:rPr>
      <w:i/>
      <w:iCs/>
    </w:rPr>
  </w:style>
  <w:style w:type="paragraph" w:styleId="Heading9">
    <w:name w:val="heading 9"/>
    <w:basedOn w:val="Normal"/>
    <w:next w:val="Normal"/>
    <w:link w:val="9"/>
    <w:uiPriority w:val="9"/>
    <w:unhideWhenUsed/>
    <w:qFormat/>
    <w:pPr>
      <w:keepNext/>
      <w:keepLines/>
      <w:spacing w:before="320" w:after="200"/>
      <w:outlineLvl w:val="8"/>
    </w:pPr>
    <w:rPr>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Pr>
      <w:rFonts w:ascii="Arial" w:hAnsi="Arial" w:cs="Arial"/>
      <w:sz w:val="40"/>
      <w:szCs w:val="40"/>
    </w:rPr>
  </w:style>
  <w:style w:type="character" w:customStyle="1" w:styleId="2">
    <w:name w:val="标题 2 字符"/>
    <w:basedOn w:val="DefaultParagraphFont"/>
    <w:link w:val="Heading2"/>
    <w:uiPriority w:val="9"/>
    <w:rPr>
      <w:rFonts w:ascii="Arial" w:hAnsi="Arial" w:cs="Arial"/>
      <w:sz w:val="34"/>
    </w:rPr>
  </w:style>
  <w:style w:type="character" w:customStyle="1" w:styleId="3">
    <w:name w:val="标题 3 字符"/>
    <w:basedOn w:val="DefaultParagraphFont"/>
    <w:link w:val="Heading3"/>
    <w:uiPriority w:val="9"/>
    <w:rPr>
      <w:rFonts w:ascii="Arial" w:hAnsi="Arial" w:cs="Arial"/>
      <w:sz w:val="30"/>
      <w:szCs w:val="30"/>
    </w:rPr>
  </w:style>
  <w:style w:type="character" w:customStyle="1" w:styleId="4">
    <w:name w:val="标题 4 字符"/>
    <w:basedOn w:val="DefaultParagraphFont"/>
    <w:link w:val="Heading4"/>
    <w:uiPriority w:val="9"/>
    <w:rPr>
      <w:rFonts w:ascii="Arial" w:hAnsi="Arial" w:cs="Arial"/>
      <w:b/>
      <w:bCs/>
      <w:sz w:val="26"/>
      <w:szCs w:val="26"/>
    </w:rPr>
  </w:style>
  <w:style w:type="character" w:customStyle="1" w:styleId="5">
    <w:name w:val="标题 5 字符"/>
    <w:basedOn w:val="DefaultParagraphFont"/>
    <w:link w:val="Heading5"/>
    <w:uiPriority w:val="9"/>
    <w:rPr>
      <w:rFonts w:ascii="Arial" w:hAnsi="Arial" w:cs="Arial"/>
      <w:b/>
      <w:bCs/>
      <w:sz w:val="24"/>
      <w:szCs w:val="24"/>
    </w:rPr>
  </w:style>
  <w:style w:type="character" w:customStyle="1" w:styleId="6">
    <w:name w:val="标题 6 字符"/>
    <w:basedOn w:val="DefaultParagraphFont"/>
    <w:link w:val="Heading6"/>
    <w:uiPriority w:val="9"/>
    <w:rPr>
      <w:rFonts w:ascii="Arial" w:hAnsi="Arial" w:cs="Arial"/>
      <w:b/>
      <w:bCs/>
      <w:sz w:val="22"/>
      <w:szCs w:val="22"/>
    </w:rPr>
  </w:style>
  <w:style w:type="character" w:customStyle="1" w:styleId="7">
    <w:name w:val="标题 7 字符"/>
    <w:basedOn w:val="DefaultParagraphFont"/>
    <w:link w:val="Heading7"/>
    <w:uiPriority w:val="9"/>
    <w:rPr>
      <w:rFonts w:ascii="Arial" w:hAnsi="Arial" w:cs="Arial"/>
      <w:b/>
      <w:bCs/>
      <w:i/>
      <w:iCs/>
      <w:sz w:val="22"/>
      <w:szCs w:val="22"/>
    </w:rPr>
  </w:style>
  <w:style w:type="character" w:customStyle="1" w:styleId="8">
    <w:name w:val="标题 8 字符"/>
    <w:basedOn w:val="DefaultParagraphFont"/>
    <w:link w:val="Heading8"/>
    <w:uiPriority w:val="9"/>
    <w:rPr>
      <w:rFonts w:ascii="Arial" w:hAnsi="Arial" w:cs="Arial"/>
      <w:i/>
      <w:iCs/>
      <w:sz w:val="22"/>
      <w:szCs w:val="22"/>
    </w:rPr>
  </w:style>
  <w:style w:type="character" w:customStyle="1" w:styleId="9">
    <w:name w:val="标题 9 字符"/>
    <w:basedOn w:val="DefaultParagraphFont"/>
    <w:link w:val="Heading9"/>
    <w:uiPriority w:val="9"/>
    <w:rPr>
      <w:rFonts w:ascii="Arial" w:hAnsi="Arial" w:cs="Arial"/>
      <w:i/>
      <w:iCs/>
      <w:sz w:val="21"/>
      <w:szCs w:val="21"/>
    </w:rPr>
  </w:style>
  <w:style w:type="paragraph" w:styleId="ListParagraph">
    <w:name w:val="List Paragraph"/>
    <w:basedOn w:val="Normal"/>
    <w:uiPriority w:val="34"/>
    <w:qFormat/>
    <w:pPr>
      <w:ind w:left="720"/>
      <w:contextualSpacing/>
    </w:pPr>
  </w:style>
  <w:style w:type="paragraph" w:styleId="NoSpacing">
    <w:name w:val="No Spacing"/>
    <w:uiPriority w:val="1"/>
    <w:qFormat/>
  </w:style>
  <w:style w:type="paragraph" w:styleId="Title">
    <w:name w:val="Title"/>
    <w:basedOn w:val="Normal"/>
    <w:next w:val="Normal"/>
    <w:link w:val="a"/>
    <w:uiPriority w:val="10"/>
    <w:qFormat/>
    <w:pPr>
      <w:spacing w:before="300" w:after="200"/>
      <w:contextualSpacing/>
    </w:pPr>
    <w:rPr>
      <w:sz w:val="48"/>
      <w:szCs w:val="48"/>
    </w:rPr>
  </w:style>
  <w:style w:type="character" w:customStyle="1" w:styleId="a">
    <w:name w:val="标题 字符"/>
    <w:basedOn w:val="DefaultParagraphFont"/>
    <w:link w:val="Title"/>
    <w:uiPriority w:val="10"/>
    <w:rPr>
      <w:sz w:val="48"/>
      <w:szCs w:val="48"/>
    </w:rPr>
  </w:style>
  <w:style w:type="paragraph" w:styleId="Subtitle">
    <w:name w:val="Subtitle"/>
    <w:basedOn w:val="Normal"/>
    <w:next w:val="Normal"/>
    <w:link w:val="a0"/>
    <w:uiPriority w:val="11"/>
    <w:qFormat/>
    <w:pPr>
      <w:spacing w:before="200" w:after="200"/>
    </w:pPr>
    <w:rPr>
      <w:sz w:val="24"/>
      <w:szCs w:val="24"/>
    </w:rPr>
  </w:style>
  <w:style w:type="character" w:customStyle="1" w:styleId="a0">
    <w:name w:val="副标题 字符"/>
    <w:basedOn w:val="DefaultParagraphFont"/>
    <w:link w:val="Subtitle"/>
    <w:uiPriority w:val="11"/>
    <w:rPr>
      <w:sz w:val="24"/>
      <w:szCs w:val="24"/>
    </w:rPr>
  </w:style>
  <w:style w:type="paragraph" w:styleId="Quote">
    <w:name w:val="Quote"/>
    <w:basedOn w:val="Normal"/>
    <w:next w:val="Normal"/>
    <w:link w:val="a1"/>
    <w:uiPriority w:val="29"/>
    <w:qFormat/>
    <w:pPr>
      <w:ind w:left="720" w:right="720"/>
    </w:pPr>
    <w:rPr>
      <w:i/>
    </w:rPr>
  </w:style>
  <w:style w:type="character" w:customStyle="1" w:styleId="a1">
    <w:name w:val="引用 字符"/>
    <w:link w:val="Quote"/>
    <w:uiPriority w:val="29"/>
    <w:rPr>
      <w:i/>
    </w:rPr>
  </w:style>
  <w:style w:type="paragraph" w:styleId="IntenseQuote">
    <w:name w:val="Intense Quote"/>
    <w:basedOn w:val="Normal"/>
    <w:next w:val="Normal"/>
    <w:link w:val="a2"/>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2">
    <w:name w:val="明显引用 字符"/>
    <w:link w:val="IntenseQuote"/>
    <w:uiPriority w:val="30"/>
    <w:rPr>
      <w:i/>
    </w:rPr>
  </w:style>
  <w:style w:type="paragraph" w:styleId="Header">
    <w:name w:val="header"/>
    <w:basedOn w:val="Normal"/>
    <w:link w:val="a3"/>
    <w:uiPriority w:val="99"/>
    <w:unhideWhenUsed/>
    <w:pPr>
      <w:tabs>
        <w:tab w:val="center" w:pos="7143"/>
        <w:tab w:val="right" w:pos="14287"/>
      </w:tabs>
    </w:pPr>
  </w:style>
  <w:style w:type="character" w:customStyle="1" w:styleId="a3">
    <w:name w:val="页眉 字符"/>
    <w:basedOn w:val="DefaultParagraphFont"/>
    <w:link w:val="Header"/>
    <w:uiPriority w:val="99"/>
  </w:style>
  <w:style w:type="paragraph" w:styleId="Footer">
    <w:name w:val="footer"/>
    <w:basedOn w:val="Normal"/>
    <w:link w:val="a4"/>
    <w:uiPriority w:val="99"/>
    <w:unhideWhenUsed/>
    <w:pPr>
      <w:tabs>
        <w:tab w:val="center" w:pos="7143"/>
        <w:tab w:val="right" w:pos="14287"/>
      </w:tabs>
    </w:pPr>
  </w:style>
  <w:style w:type="paragraph" w:styleId="Caption">
    <w:name w:val="caption"/>
    <w:basedOn w:val="Normal"/>
    <w:next w:val="Normal"/>
    <w:uiPriority w:val="35"/>
    <w:semiHidden/>
    <w:unhideWhenUsed/>
    <w:qFormat/>
    <w:pPr>
      <w:spacing w:line="276" w:lineRule="auto"/>
    </w:pPr>
    <w:rPr>
      <w:b/>
      <w:bCs/>
      <w:color w:val="156082" w:themeColor="accent1"/>
      <w:sz w:val="18"/>
      <w:szCs w:val="18"/>
    </w:rPr>
  </w:style>
  <w:style w:type="character" w:customStyle="1" w:styleId="a4">
    <w:name w:val="页脚 字符"/>
    <w:link w:val="Footer"/>
    <w:uiPriority w:val="99"/>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TableGridLight">
    <w:name w:val="Table Grid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2F2F2" w:fill="F2F2F2" w:themeFill="text1" w:themeFillTint="0D"/>
      </w:tcPr>
    </w:tblStylePr>
    <w:tblStylePr w:type="band2Vert">
      <w:pPr>
        <w:snapToGrid/>
      </w:pPr>
    </w:tblStylePr>
    <w:tblStylePr w:type="band1Horz">
      <w:pPr>
        <w:snapToGrid/>
      </w:p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2">
    <w:name w:val="Plain Table 2"/>
    <w:basedOn w:val="TableNormal"/>
    <w:uiPriority w:val="59"/>
    <w:tblPr>
      <w:tblBorders>
        <w:top w:val="single" w:sz="4" w:space="0" w:color="000000" w:themeColor="text1"/>
        <w:left w:val="nil"/>
        <w:bottom w:val="single" w:sz="4" w:space="0" w:color="000000" w:themeColor="text1"/>
        <w:right w:val="nil"/>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3">
    <w:name w:val="Plain Table 3"/>
    <w:basedOn w:val="TableNormal"/>
    <w:uiPriority w:val="99"/>
    <w:tblPr>
      <w:tblStyleRowBandSize w:val="1"/>
      <w:tblStyleColBandSize w:val="1"/>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4">
    <w:name w:val="Plain Table 4"/>
    <w:basedOn w:val="TableNormal"/>
    <w:uiPriority w:val="99"/>
    <w:tblPr>
      <w:tblStyleRowBandSize w:val="1"/>
      <w:tblStyleColBandSize w:val="1"/>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5">
    <w:name w:val="Plain Table 5"/>
    <w:basedOn w:val="TableNormal"/>
    <w:uiPriority w:val="99"/>
    <w:tblPr>
      <w:tblStyleRowBandSize w:val="1"/>
      <w:tblStyleColBandSize w:val="1"/>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1">
    <w:name w:val="Grid Table 1 Light - Accent 1"/>
    <w:basedOn w:val="TableNormal"/>
    <w:uiPriority w:val="99"/>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pPr>
        <w:snapToGrid/>
      </w:pPr>
      <w:rPr>
        <w:b/>
        <w:color w:val="404040"/>
      </w:rPr>
      <w:tblPr/>
      <w:tcPr>
        <w:tcBorders>
          <w:bottom w:val="single" w:sz="12" w:space="0" w:color="4AB2E1" w:themeColor="accen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2">
    <w:name w:val="Grid Table 1 Light - Accent 2"/>
    <w:basedOn w:val="TableNormal"/>
    <w:uiPriority w:val="99"/>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pPr>
        <w:snapToGrid/>
      </w:pPr>
      <w:rPr>
        <w:b/>
        <w:color w:val="404040"/>
      </w:rPr>
      <w:tblPr/>
      <w:tcPr>
        <w:tcBorders>
          <w:bottom w:val="single" w:sz="12" w:space="0" w:color="F2AB87" w:themeColor="accent2"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3">
    <w:name w:val="Grid Table 1 Light - Accent 3"/>
    <w:basedOn w:val="TableNormal"/>
    <w:uiPriority w:val="99"/>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pPr>
        <w:snapToGrid/>
      </w:pPr>
      <w:rPr>
        <w:b/>
        <w:color w:val="404040"/>
      </w:rPr>
      <w:tblPr/>
      <w:tcPr>
        <w:tcBorders>
          <w:bottom w:val="single" w:sz="12" w:space="0" w:color="4BD55E" w:themeColor="accent3"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4">
    <w:name w:val="Grid Table 1 Light - Accent 4"/>
    <w:basedOn w:val="TableNormal"/>
    <w:uiPriority w:val="99"/>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pPr>
        <w:snapToGrid/>
      </w:pPr>
      <w:rPr>
        <w:b/>
        <w:color w:val="404040"/>
      </w:rPr>
      <w:tblPr/>
      <w:tcPr>
        <w:tcBorders>
          <w:bottom w:val="single" w:sz="12" w:space="0" w:color="64CCF4" w:themeColor="accent4"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5">
    <w:name w:val="Grid Table 1 Light - Accent 5"/>
    <w:basedOn w:val="TableNormal"/>
    <w:uiPriority w:val="99"/>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pPr>
        <w:snapToGrid/>
      </w:pPr>
      <w:rPr>
        <w:b/>
        <w:color w:val="404040"/>
      </w:rPr>
      <w:tblPr/>
      <w:tcPr>
        <w:tcBorders>
          <w:bottom w:val="single" w:sz="12" w:space="0" w:color="D971CD" w:themeColor="accent5"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6">
    <w:name w:val="Grid Table 1 Light - Accent 6"/>
    <w:basedOn w:val="TableNormal"/>
    <w:uiPriority w:val="99"/>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pPr>
        <w:snapToGrid/>
      </w:pPr>
      <w:rPr>
        <w:b/>
        <w:color w:val="404040"/>
      </w:rPr>
      <w:tblPr/>
      <w:tcPr>
        <w:tcBorders>
          <w:bottom w:val="single" w:sz="12" w:space="0" w:color="90D976" w:themeColor="accent6"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1">
    <w:name w:val="Grid Table 2 - Accent 1"/>
    <w:basedOn w:val="TableNormal"/>
    <w:uiPriority w:val="99"/>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pPr>
        <w:snapToGrid/>
      </w:pPr>
      <w:rPr>
        <w:b/>
        <w:color w:val="404040"/>
      </w:rPr>
      <w:tblPr/>
      <w:tcPr>
        <w:tcBorders>
          <w:top w:val="nil"/>
          <w:left w:val="nil"/>
          <w:bottom w:val="single" w:sz="12" w:space="0" w:color="19729B" w:themeColor="accent1" w:themeTint="EA"/>
          <w:right w:val="nil"/>
        </w:tcBorders>
        <w:shd w:val="clear" w:color="FFFFFF" w:fill="FFFFFF"/>
      </w:tcPr>
    </w:tblStylePr>
    <w:tblStylePr w:type="lastRow">
      <w:pPr>
        <w:snapToGrid/>
      </w:pPr>
      <w:rPr>
        <w:b/>
        <w:color w:val="404040"/>
      </w:rPr>
      <w:tblPr/>
      <w:tcPr>
        <w:tcBorders>
          <w:top w:val="single" w:sz="4" w:space="0" w:color="19729B" w:themeColor="accent1" w:themeTint="E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DEAF6" w:fill="BFE4F4" w:themeFill="accent1" w:themeFillTint="34"/>
      </w:tcPr>
    </w:tblStylePr>
    <w:tblStylePr w:type="band2Vert">
      <w:pPr>
        <w:snapToGrid/>
      </w:pPr>
    </w:tblStylePr>
    <w:tblStylePr w:type="band1Horz">
      <w:pPr>
        <w:snapToGrid/>
      </w:pPr>
      <w:rPr>
        <w:rFonts w:ascii="Arial" w:hAnsi="Arial"/>
        <w:color w:val="404040"/>
        <w:sz w:val="22"/>
      </w:rPr>
      <w:tblPr/>
      <w:tcPr>
        <w:shd w:val="clear" w:color="DDEAF6" w:fill="BFE4F4"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2">
    <w:name w:val="Grid Table 2 - Accent 2"/>
    <w:basedOn w:val="TableNormal"/>
    <w:uiPriority w:val="99"/>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pPr>
        <w:snapToGrid/>
      </w:pPr>
      <w:rPr>
        <w:b/>
        <w:color w:val="404040"/>
      </w:rPr>
      <w:tblPr/>
      <w:tcPr>
        <w:tcBorders>
          <w:top w:val="nil"/>
          <w:left w:val="nil"/>
          <w:bottom w:val="single" w:sz="12" w:space="0" w:color="F2AA85" w:themeColor="accent2" w:themeTint="97"/>
          <w:right w:val="nil"/>
        </w:tcBorders>
        <w:shd w:val="clear" w:color="FFFFFF" w:fill="FFFFFF"/>
      </w:tcPr>
    </w:tblStylePr>
    <w:tblStylePr w:type="lastRow">
      <w:pPr>
        <w:snapToGrid/>
      </w:pPr>
      <w:rPr>
        <w:b/>
        <w:color w:val="404040"/>
      </w:rPr>
      <w:tblPr/>
      <w:tcPr>
        <w:tcBorders>
          <w:top w:val="single" w:sz="4" w:space="0" w:color="F2AA85" w:themeColor="accent2" w:themeTint="97"/>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BE5D6" w:fill="FAE2D6" w:themeFill="accent2" w:themeFillTint="32"/>
      </w:tcPr>
    </w:tblStylePr>
    <w:tblStylePr w:type="band2Vert">
      <w:pPr>
        <w:snapToGrid/>
      </w:pPr>
    </w:tblStylePr>
    <w:tblStylePr w:type="band1Horz">
      <w:pPr>
        <w:snapToGrid/>
      </w:pPr>
      <w:rPr>
        <w:rFonts w:ascii="Arial" w:hAnsi="Arial"/>
        <w:color w:val="404040"/>
        <w:sz w:val="22"/>
      </w:rPr>
      <w:tblPr/>
      <w:tcPr>
        <w:shd w:val="clear" w:color="FBE5D6" w:fill="FAE2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3">
    <w:name w:val="Grid Table 2 - Accent 3"/>
    <w:basedOn w:val="TableNormal"/>
    <w:uiPriority w:val="99"/>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pPr>
        <w:snapToGrid/>
      </w:pPr>
      <w:rPr>
        <w:b/>
        <w:color w:val="404040"/>
      </w:rPr>
      <w:tblPr/>
      <w:tcPr>
        <w:tcBorders>
          <w:top w:val="nil"/>
          <w:left w:val="nil"/>
          <w:bottom w:val="single" w:sz="12" w:space="0" w:color="196C24" w:themeColor="accent3" w:themeTint="FE"/>
          <w:right w:val="nil"/>
        </w:tcBorders>
        <w:shd w:val="clear" w:color="FFFFFF" w:fill="FFFFFF"/>
      </w:tcPr>
    </w:tblStylePr>
    <w:tblStylePr w:type="lastRow">
      <w:pPr>
        <w:snapToGrid/>
      </w:pPr>
      <w:rPr>
        <w:b/>
        <w:color w:val="404040"/>
      </w:rPr>
      <w:tblPr/>
      <w:tcPr>
        <w:tcBorders>
          <w:top w:val="single" w:sz="4" w:space="0" w:color="196C24" w:themeColor="accent3" w:themeTint="FE"/>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CECEC" w:fill="C0F0C6" w:themeFill="accent3" w:themeFillTint="34"/>
      </w:tcPr>
    </w:tblStylePr>
    <w:tblStylePr w:type="band2Vert">
      <w:pPr>
        <w:snapToGrid/>
      </w:pPr>
    </w:tblStylePr>
    <w:tblStylePr w:type="band1Horz">
      <w:pPr>
        <w:snapToGrid/>
      </w:pPr>
      <w:rPr>
        <w:rFonts w:ascii="Arial" w:hAnsi="Arial"/>
        <w:color w:val="404040"/>
        <w:sz w:val="22"/>
      </w:rPr>
      <w:tblPr/>
      <w:tcPr>
        <w:shd w:val="clear" w:color="ECECEC" w:fill="C0F0C6"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4">
    <w:name w:val="Grid Table 2 - Accent 4"/>
    <w:basedOn w:val="TableNormal"/>
    <w:uiPriority w:val="99"/>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pPr>
        <w:snapToGrid/>
      </w:pPr>
      <w:rPr>
        <w:b/>
        <w:color w:val="404040"/>
      </w:rPr>
      <w:tblPr/>
      <w:tcPr>
        <w:tcBorders>
          <w:top w:val="nil"/>
          <w:left w:val="nil"/>
          <w:bottom w:val="single" w:sz="12" w:space="0" w:color="5FCAF3" w:themeColor="accent4" w:themeTint="9A"/>
          <w:right w:val="nil"/>
        </w:tcBorders>
        <w:shd w:val="clear" w:color="FFFFFF" w:fill="FFFFFF"/>
      </w:tcPr>
    </w:tblStylePr>
    <w:tblStylePr w:type="lastRow">
      <w:pPr>
        <w:snapToGrid/>
      </w:pPr>
      <w:rPr>
        <w:b/>
        <w:color w:val="404040"/>
      </w:rPr>
      <w:tblPr/>
      <w:tcPr>
        <w:tcBorders>
          <w:top w:val="single" w:sz="4" w:space="0" w:color="5FCAF3" w:themeColor="accent4" w:themeTint="9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2CB" w:fill="C9EDFB" w:themeFill="accent4" w:themeFillTint="34"/>
      </w:tcPr>
    </w:tblStylePr>
    <w:tblStylePr w:type="band2Vert">
      <w:pPr>
        <w:snapToGrid/>
      </w:pPr>
    </w:tblStylePr>
    <w:tblStylePr w:type="band1Horz">
      <w:pPr>
        <w:snapToGrid/>
      </w:pPr>
      <w:rPr>
        <w:rFonts w:ascii="Arial" w:hAnsi="Arial"/>
        <w:color w:val="404040"/>
        <w:sz w:val="22"/>
      </w:rPr>
      <w:tblPr/>
      <w:tcPr>
        <w:shd w:val="clear" w:color="FFF2CB" w:fill="C9EDFB"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5">
    <w:name w:val="Grid Table 2 - Accent 5"/>
    <w:basedOn w:val="TableNormal"/>
    <w:uiPriority w:val="99"/>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pPr>
        <w:snapToGrid/>
      </w:pPr>
      <w:rPr>
        <w:b/>
        <w:color w:val="404040"/>
      </w:rPr>
      <w:tblPr/>
      <w:tcPr>
        <w:tcBorders>
          <w:top w:val="nil"/>
          <w:left w:val="nil"/>
          <w:bottom w:val="single" w:sz="12" w:space="0" w:color="A02B93" w:themeColor="accent5"/>
          <w:right w:val="nil"/>
        </w:tcBorders>
        <w:shd w:val="clear" w:color="FFFFFF" w:fill="FFFFFF"/>
      </w:tcPr>
    </w:tblStylePr>
    <w:tblStylePr w:type="lastRow">
      <w:pPr>
        <w:snapToGrid/>
      </w:pPr>
      <w:rPr>
        <w:b/>
        <w:color w:val="404040"/>
      </w:rPr>
      <w:tblPr/>
      <w:tcPr>
        <w:tcBorders>
          <w:top w:val="single" w:sz="4" w:space="0" w:color="A02B93" w:themeColor="accent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8E2F3" w:fill="F1CDED" w:themeFill="accent5" w:themeFillTint="34"/>
      </w:tcPr>
    </w:tblStylePr>
    <w:tblStylePr w:type="band2Vert">
      <w:pPr>
        <w:snapToGrid/>
      </w:pPr>
    </w:tblStylePr>
    <w:tblStylePr w:type="band1Horz">
      <w:pPr>
        <w:snapToGrid/>
      </w:pPr>
      <w:rPr>
        <w:rFonts w:ascii="Arial" w:hAnsi="Arial"/>
        <w:color w:val="404040"/>
        <w:sz w:val="22"/>
      </w:rPr>
      <w:tblPr/>
      <w:tcPr>
        <w:shd w:val="clear" w:color="D8E2F3" w:fill="F1CDED"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6">
    <w:name w:val="Grid Table 2 - Accent 6"/>
    <w:basedOn w:val="TableNormal"/>
    <w:uiPriority w:val="99"/>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pPr>
        <w:snapToGrid/>
      </w:pPr>
      <w:rPr>
        <w:b/>
        <w:color w:val="404040"/>
      </w:rPr>
      <w:tblPr/>
      <w:tcPr>
        <w:tcBorders>
          <w:top w:val="nil"/>
          <w:left w:val="nil"/>
          <w:bottom w:val="single" w:sz="12" w:space="0" w:color="4EA72E" w:themeColor="accent6"/>
          <w:right w:val="nil"/>
        </w:tcBorders>
        <w:shd w:val="clear" w:color="FFFFFF" w:fill="FFFFFF"/>
      </w:tcPr>
    </w:tblStylePr>
    <w:tblStylePr w:type="lastRow">
      <w:pPr>
        <w:snapToGrid/>
      </w:pPr>
      <w:rPr>
        <w:b/>
        <w:color w:val="404040"/>
      </w:rPr>
      <w:tblPr/>
      <w:tcPr>
        <w:tcBorders>
          <w:top w:val="single" w:sz="4" w:space="0" w:color="4EA72E" w:themeColor="accent6"/>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1EFD8" w:fill="D8F2CF" w:themeFill="accent6" w:themeFillTint="34"/>
      </w:tcPr>
    </w:tblStylePr>
    <w:tblStylePr w:type="band2Vert">
      <w:pPr>
        <w:snapToGrid/>
      </w:pPr>
    </w:tblStylePr>
    <w:tblStylePr w:type="band1Horz">
      <w:pPr>
        <w:snapToGrid/>
      </w:pPr>
      <w:rPr>
        <w:rFonts w:ascii="Arial" w:hAnsi="Arial"/>
        <w:color w:val="404040"/>
        <w:sz w:val="22"/>
      </w:rPr>
      <w:tblPr/>
      <w:tcPr>
        <w:shd w:val="clear" w:color="E1EFD8" w:fill="D8F2CF"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1">
    <w:name w:val="Grid Table 3 - Accent 1"/>
    <w:basedOn w:val="TableNormal"/>
    <w:uiPriority w:val="99"/>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DEAF6" w:fill="BFE4F4" w:themeFill="accent1" w:themeFillTint="34"/>
      </w:tcPr>
    </w:tblStylePr>
    <w:tblStylePr w:type="band2Vert">
      <w:pPr>
        <w:snapToGrid/>
      </w:pPr>
    </w:tblStylePr>
    <w:tblStylePr w:type="band1Horz">
      <w:pPr>
        <w:snapToGrid/>
      </w:pPr>
      <w:rPr>
        <w:rFonts w:ascii="Arial" w:hAnsi="Arial"/>
        <w:color w:val="404040"/>
        <w:sz w:val="22"/>
      </w:rPr>
      <w:tblPr/>
      <w:tcPr>
        <w:shd w:val="clear" w:color="DDEAF6" w:fill="BFE4F4"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2">
    <w:name w:val="Grid Table 3 - Accent 2"/>
    <w:basedOn w:val="TableNormal"/>
    <w:uiPriority w:val="99"/>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BE5D6" w:fill="FAE2D6" w:themeFill="accent2" w:themeFillTint="32"/>
      </w:tcPr>
    </w:tblStylePr>
    <w:tblStylePr w:type="band2Vert">
      <w:pPr>
        <w:snapToGrid/>
      </w:pPr>
    </w:tblStylePr>
    <w:tblStylePr w:type="band1Horz">
      <w:pPr>
        <w:snapToGrid/>
      </w:pPr>
      <w:rPr>
        <w:rFonts w:ascii="Arial" w:hAnsi="Arial"/>
        <w:color w:val="404040"/>
        <w:sz w:val="22"/>
      </w:rPr>
      <w:tblPr/>
      <w:tcPr>
        <w:shd w:val="clear" w:color="FBE5D6" w:fill="FAE2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3">
    <w:name w:val="Grid Table 3 - Accent 3"/>
    <w:basedOn w:val="TableNormal"/>
    <w:uiPriority w:val="99"/>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CECEC" w:fill="C0F0C6" w:themeFill="accent3" w:themeFillTint="34"/>
      </w:tcPr>
    </w:tblStylePr>
    <w:tblStylePr w:type="band2Vert">
      <w:pPr>
        <w:snapToGrid/>
      </w:pPr>
    </w:tblStylePr>
    <w:tblStylePr w:type="band1Horz">
      <w:pPr>
        <w:snapToGrid/>
      </w:pPr>
      <w:rPr>
        <w:rFonts w:ascii="Arial" w:hAnsi="Arial"/>
        <w:color w:val="404040"/>
        <w:sz w:val="22"/>
      </w:rPr>
      <w:tblPr/>
      <w:tcPr>
        <w:shd w:val="clear" w:color="ECECEC" w:fill="C0F0C6"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4">
    <w:name w:val="Grid Table 3 - Accent 4"/>
    <w:basedOn w:val="TableNormal"/>
    <w:uiPriority w:val="99"/>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2CB" w:fill="C9EDFB" w:themeFill="accent4" w:themeFillTint="34"/>
      </w:tcPr>
    </w:tblStylePr>
    <w:tblStylePr w:type="band2Vert">
      <w:pPr>
        <w:snapToGrid/>
      </w:pPr>
    </w:tblStylePr>
    <w:tblStylePr w:type="band1Horz">
      <w:pPr>
        <w:snapToGrid/>
      </w:pPr>
      <w:rPr>
        <w:rFonts w:ascii="Arial" w:hAnsi="Arial"/>
        <w:color w:val="404040"/>
        <w:sz w:val="22"/>
      </w:rPr>
      <w:tblPr/>
      <w:tcPr>
        <w:shd w:val="clear" w:color="FFF2CB" w:fill="C9EDFB"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5">
    <w:name w:val="Grid Table 3 - Accent 5"/>
    <w:basedOn w:val="TableNormal"/>
    <w:uiPriority w:val="99"/>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8E2F3" w:fill="F1CDED" w:themeFill="accent5" w:themeFillTint="34"/>
      </w:tcPr>
    </w:tblStylePr>
    <w:tblStylePr w:type="band2Vert">
      <w:pPr>
        <w:snapToGrid/>
      </w:pPr>
    </w:tblStylePr>
    <w:tblStylePr w:type="band1Horz">
      <w:pPr>
        <w:snapToGrid/>
      </w:pPr>
      <w:rPr>
        <w:rFonts w:ascii="Arial" w:hAnsi="Arial"/>
        <w:color w:val="404040"/>
        <w:sz w:val="22"/>
      </w:rPr>
      <w:tblPr/>
      <w:tcPr>
        <w:shd w:val="clear" w:color="D8E2F3" w:fill="F1CDED"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6">
    <w:name w:val="Grid Table 3 - Accent 6"/>
    <w:basedOn w:val="TableNormal"/>
    <w:uiPriority w:val="99"/>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1EFD8" w:fill="D8F2CF" w:themeFill="accent6" w:themeFillTint="34"/>
      </w:tcPr>
    </w:tblStylePr>
    <w:tblStylePr w:type="band2Vert">
      <w:pPr>
        <w:snapToGrid/>
      </w:pPr>
    </w:tblStylePr>
    <w:tblStylePr w:type="band1Horz">
      <w:pPr>
        <w:snapToGrid/>
      </w:pPr>
      <w:rPr>
        <w:rFonts w:ascii="Arial" w:hAnsi="Arial"/>
        <w:color w:val="404040"/>
        <w:sz w:val="22"/>
      </w:rPr>
      <w:tblPr/>
      <w:tcPr>
        <w:shd w:val="clear" w:color="E1EFD8" w:fill="D8F2CF"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1">
    <w:name w:val="Grid Table 4 - Accent 1"/>
    <w:basedOn w:val="TableNormal"/>
    <w:uiPriority w:val="59"/>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pPr>
        <w:snapToGrid/>
      </w:pPr>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68A2D8" w:fill="19729B" w:themeFill="accent1" w:themeFillTint="EA"/>
      </w:tcPr>
    </w:tblStylePr>
    <w:tblStylePr w:type="lastRow">
      <w:pPr>
        <w:snapToGrid/>
      </w:pPr>
      <w:rPr>
        <w:b/>
        <w:color w:val="404040"/>
      </w:rPr>
      <w:tblPr/>
      <w:tcPr>
        <w:tcBorders>
          <w:top w:val="single" w:sz="4" w:space="0" w:color="19729B" w:themeColor="accent1" w:themeTint="E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EEBF6" w:fill="C2E5F5" w:themeFill="accent1" w:themeFillTint="32"/>
      </w:tcPr>
    </w:tblStylePr>
    <w:tblStylePr w:type="band2Vert">
      <w:pPr>
        <w:snapToGrid/>
      </w:pPr>
    </w:tblStylePr>
    <w:tblStylePr w:type="band1Horz">
      <w:pPr>
        <w:snapToGrid/>
      </w:pPr>
      <w:rPr>
        <w:rFonts w:ascii="Arial" w:hAnsi="Arial"/>
        <w:color w:val="404040"/>
        <w:sz w:val="22"/>
      </w:rPr>
      <w:tblPr/>
      <w:tcPr>
        <w:shd w:val="clear" w:color="DEEBF6" w:fill="C2E5F5"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2">
    <w:name w:val="Grid Table 4 - Accent 2"/>
    <w:basedOn w:val="TableNormal"/>
    <w:uiPriority w:val="59"/>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pPr>
        <w:snapToGrid/>
      </w:pPr>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4B184" w:fill="F2AA85" w:themeFill="accent2" w:themeFillTint="97"/>
      </w:tcPr>
    </w:tblStylePr>
    <w:tblStylePr w:type="lastRow">
      <w:pPr>
        <w:snapToGrid/>
      </w:pPr>
      <w:rPr>
        <w:b/>
        <w:color w:val="404040"/>
      </w:rPr>
      <w:tblPr/>
      <w:tcPr>
        <w:tcBorders>
          <w:top w:val="single" w:sz="4" w:space="0" w:color="F2AA85" w:themeColor="accent2" w:themeTint="97"/>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BE5D6" w:fill="FAE2D6" w:themeFill="accent2" w:themeFillTint="32"/>
      </w:tcPr>
    </w:tblStylePr>
    <w:tblStylePr w:type="band2Vert">
      <w:pPr>
        <w:snapToGrid/>
      </w:pPr>
    </w:tblStylePr>
    <w:tblStylePr w:type="band1Horz">
      <w:pPr>
        <w:snapToGrid/>
      </w:pPr>
      <w:rPr>
        <w:rFonts w:ascii="Arial" w:hAnsi="Arial"/>
        <w:color w:val="404040"/>
        <w:sz w:val="22"/>
      </w:rPr>
      <w:tblPr/>
      <w:tcPr>
        <w:shd w:val="clear" w:color="FBE5D6" w:fill="FAE2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3">
    <w:name w:val="Grid Table 4 - Accent 3"/>
    <w:basedOn w:val="TableNormal"/>
    <w:uiPriority w:val="59"/>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pPr>
        <w:snapToGrid/>
      </w:pPr>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A5A5A5" w:fill="196C24" w:themeFill="accent3" w:themeFillTint="FE"/>
      </w:tcPr>
    </w:tblStylePr>
    <w:tblStylePr w:type="lastRow">
      <w:pPr>
        <w:snapToGrid/>
      </w:pPr>
      <w:rPr>
        <w:b/>
        <w:color w:val="404040"/>
      </w:rPr>
      <w:tblPr/>
      <w:tcPr>
        <w:tcBorders>
          <w:top w:val="single" w:sz="4" w:space="0" w:color="196C24" w:themeColor="accent3" w:themeTint="F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CECEC" w:fill="C0F0C6" w:themeFill="accent3" w:themeFillTint="34"/>
      </w:tcPr>
    </w:tblStylePr>
    <w:tblStylePr w:type="band2Vert">
      <w:pPr>
        <w:snapToGrid/>
      </w:pPr>
    </w:tblStylePr>
    <w:tblStylePr w:type="band1Horz">
      <w:pPr>
        <w:snapToGrid/>
      </w:pPr>
      <w:rPr>
        <w:rFonts w:ascii="Arial" w:hAnsi="Arial"/>
        <w:color w:val="404040"/>
        <w:sz w:val="22"/>
      </w:rPr>
      <w:tblPr/>
      <w:tcPr>
        <w:shd w:val="clear" w:color="ECECEC" w:fill="C0F0C6"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4">
    <w:name w:val="Grid Table 4 - Accent 4"/>
    <w:basedOn w:val="TableNormal"/>
    <w:uiPriority w:val="59"/>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pPr>
        <w:snapToGrid/>
      </w:pPr>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FFD865" w:fill="5FCAF3" w:themeFill="accent4" w:themeFillTint="9A"/>
      </w:tcPr>
    </w:tblStylePr>
    <w:tblStylePr w:type="lastRow">
      <w:pPr>
        <w:snapToGrid/>
      </w:pPr>
      <w:rPr>
        <w:b/>
        <w:color w:val="404040"/>
      </w:rPr>
      <w:tblPr/>
      <w:tcPr>
        <w:tcBorders>
          <w:top w:val="single" w:sz="4" w:space="0" w:color="5FCAF3" w:themeColor="accent4" w:themeTint="9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2CB" w:fill="C9EDFB" w:themeFill="accent4" w:themeFillTint="34"/>
      </w:tcPr>
    </w:tblStylePr>
    <w:tblStylePr w:type="band2Vert">
      <w:pPr>
        <w:snapToGrid/>
      </w:pPr>
    </w:tblStylePr>
    <w:tblStylePr w:type="band1Horz">
      <w:pPr>
        <w:snapToGrid/>
      </w:pPr>
      <w:rPr>
        <w:rFonts w:ascii="Arial" w:hAnsi="Arial"/>
        <w:color w:val="404040"/>
        <w:sz w:val="22"/>
      </w:rPr>
      <w:tblPr/>
      <w:tcPr>
        <w:shd w:val="clear" w:color="FFF2CB" w:fill="C9EDFB"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5">
    <w:name w:val="Grid Table 4 - Accent 5"/>
    <w:basedOn w:val="TableNormal"/>
    <w:uiPriority w:val="59"/>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pPr>
        <w:snapToGrid/>
      </w:pPr>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4472C4" w:fill="A02B93" w:themeFill="accent5"/>
      </w:tcPr>
    </w:tblStylePr>
    <w:tblStylePr w:type="lastRow">
      <w:pPr>
        <w:snapToGrid/>
      </w:pPr>
      <w:rPr>
        <w:b/>
        <w:color w:val="404040"/>
      </w:rPr>
      <w:tblPr/>
      <w:tcPr>
        <w:tcBorders>
          <w:top w:val="single" w:sz="4" w:space="0" w:color="A02B93" w:themeColor="accent5"/>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8E2F3" w:fill="F1CDED" w:themeFill="accent5" w:themeFillTint="34"/>
      </w:tcPr>
    </w:tblStylePr>
    <w:tblStylePr w:type="band2Vert">
      <w:pPr>
        <w:snapToGrid/>
      </w:pPr>
    </w:tblStylePr>
    <w:tblStylePr w:type="band1Horz">
      <w:pPr>
        <w:snapToGrid/>
      </w:pPr>
      <w:rPr>
        <w:rFonts w:ascii="Arial" w:hAnsi="Arial"/>
        <w:color w:val="404040"/>
        <w:sz w:val="22"/>
      </w:rPr>
      <w:tblPr/>
      <w:tcPr>
        <w:shd w:val="clear" w:color="D8E2F3" w:fill="F1CDED"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6">
    <w:name w:val="Grid Table 4 - Accent 6"/>
    <w:basedOn w:val="TableNormal"/>
    <w:uiPriority w:val="59"/>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pPr>
        <w:snapToGrid/>
      </w:pPr>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70AD47" w:fill="4EA72E" w:themeFill="accent6"/>
      </w:tcPr>
    </w:tblStylePr>
    <w:tblStylePr w:type="lastRow">
      <w:pPr>
        <w:snapToGrid/>
      </w:pPr>
      <w:rPr>
        <w:b/>
        <w:color w:val="404040"/>
      </w:rPr>
      <w:tblPr/>
      <w:tcPr>
        <w:tcBorders>
          <w:top w:val="single" w:sz="4" w:space="0" w:color="4EA72E" w:themeColor="accent6"/>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1EFD8" w:fill="D8F2CF" w:themeFill="accent6" w:themeFillTint="34"/>
      </w:tcPr>
    </w:tblStylePr>
    <w:tblStylePr w:type="band2Vert">
      <w:pPr>
        <w:snapToGrid/>
      </w:pPr>
    </w:tblStylePr>
    <w:tblStylePr w:type="band1Horz">
      <w:pPr>
        <w:snapToGrid/>
      </w:pPr>
      <w:rPr>
        <w:rFonts w:ascii="Arial" w:hAnsi="Arial"/>
        <w:color w:val="404040"/>
        <w:sz w:val="22"/>
      </w:rPr>
      <w:tblPr/>
      <w:tcPr>
        <w:shd w:val="clear" w:color="E1EFD8" w:fill="D8F2CF"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fill="BFBFBF" w:themeFill="text1" w:themeFillTint="40"/>
    </w:tblPr>
    <w:tblStylePr w:type="firstRow">
      <w:pPr>
        <w:snapToGrid/>
      </w:pPr>
      <w:rPr>
        <w:rFonts w:ascii="Arial" w:hAnsi="Arial"/>
        <w:b/>
        <w:color w:val="FFFFFF"/>
        <w:sz w:val="22"/>
      </w:rPr>
      <w:tblPr/>
      <w:tcPr>
        <w:shd w:val="clear" w:color="000000"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000000" w:fill="000000" w:themeFill="text1"/>
      </w:tcPr>
    </w:tblStylePr>
    <w:tblStylePr w:type="firstCol">
      <w:pPr>
        <w:snapToGrid/>
      </w:pPr>
      <w:rPr>
        <w:rFonts w:ascii="Arial" w:hAnsi="Arial"/>
        <w:b/>
        <w:color w:val="FFFFFF"/>
        <w:sz w:val="22"/>
      </w:rPr>
      <w:tblPr/>
      <w:tcPr>
        <w:shd w:val="clear" w:color="000000" w:fill="000000" w:themeFill="text1"/>
      </w:tcPr>
    </w:tblStylePr>
    <w:tblStylePr w:type="lastCol">
      <w:pPr>
        <w:snapToGrid/>
      </w:pPr>
      <w:rPr>
        <w:rFonts w:ascii="Arial" w:hAnsi="Arial"/>
        <w:b/>
        <w:color w:val="FFFFFF"/>
        <w:sz w:val="22"/>
      </w:rPr>
      <w:tblPr/>
      <w:tcPr>
        <w:shd w:val="clear" w:color="000000" w:fill="000000" w:themeFill="text1"/>
      </w:tcPr>
    </w:tblStylePr>
    <w:tblStylePr w:type="band1Vert">
      <w:pPr>
        <w:snapToGrid/>
      </w:pPr>
      <w:tblPr/>
      <w:tcPr>
        <w:shd w:val="clear" w:color="8A8A8A" w:fill="8A8A8A" w:themeFill="text1" w:themeFillTint="75"/>
      </w:tcPr>
    </w:tblStylePr>
    <w:tblStylePr w:type="band2Vert">
      <w:pPr>
        <w:snapToGrid/>
      </w:pPr>
    </w:tblStylePr>
    <w:tblStylePr w:type="band1Horz">
      <w:pPr>
        <w:snapToGrid/>
      </w:pPr>
      <w:tblPr/>
      <w:tcPr>
        <w:shd w:val="clear" w:color="8A8A8A"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fill="BFE4F4" w:themeFill="accent1" w:themeFillTint="34"/>
    </w:tblPr>
    <w:tblStylePr w:type="firstRow">
      <w:pPr>
        <w:snapToGrid/>
      </w:pPr>
      <w:rPr>
        <w:rFonts w:ascii="Arial" w:hAnsi="Arial"/>
        <w:b/>
        <w:color w:val="FFFFFF"/>
        <w:sz w:val="22"/>
      </w:rPr>
      <w:tblPr/>
      <w:tcPr>
        <w:shd w:val="clear" w:color="5B9BD5" w:fill="156082" w:themeFill="accent1"/>
      </w:tcPr>
    </w:tblStylePr>
    <w:tblStylePr w:type="lastRow">
      <w:pPr>
        <w:snapToGrid/>
      </w:pPr>
      <w:rPr>
        <w:rFonts w:ascii="Arial" w:hAnsi="Arial"/>
        <w:b/>
        <w:color w:val="FFFFFF"/>
        <w:sz w:val="22"/>
      </w:rPr>
      <w:tblPr/>
      <w:tcPr>
        <w:tcBorders>
          <w:top w:val="single" w:sz="4" w:space="0" w:color="FFFFFF" w:themeColor="light1"/>
        </w:tcBorders>
        <w:shd w:val="clear" w:color="5B9BD5" w:fill="156082" w:themeFill="accent1"/>
      </w:tcPr>
    </w:tblStylePr>
    <w:tblStylePr w:type="firstCol">
      <w:pPr>
        <w:snapToGrid/>
      </w:pPr>
      <w:rPr>
        <w:rFonts w:ascii="Arial" w:hAnsi="Arial"/>
        <w:b/>
        <w:color w:val="FFFFFF"/>
        <w:sz w:val="22"/>
      </w:rPr>
      <w:tblPr/>
      <w:tcPr>
        <w:shd w:val="clear" w:color="5B9BD5" w:fill="156082" w:themeFill="accent1"/>
      </w:tcPr>
    </w:tblStylePr>
    <w:tblStylePr w:type="lastCol">
      <w:pPr>
        <w:snapToGrid/>
      </w:pPr>
      <w:rPr>
        <w:rFonts w:ascii="Arial" w:hAnsi="Arial"/>
        <w:b/>
        <w:color w:val="FFFFFF"/>
        <w:sz w:val="22"/>
      </w:rPr>
      <w:tblPr/>
      <w:tcPr>
        <w:shd w:val="clear" w:color="5B9BD5" w:fill="156082" w:themeFill="accent1"/>
      </w:tcPr>
    </w:tblStylePr>
    <w:tblStylePr w:type="band1Vert">
      <w:pPr>
        <w:snapToGrid/>
      </w:pPr>
      <w:tblPr/>
      <w:tcPr>
        <w:shd w:val="clear" w:color="B3D0EB" w:fill="70C2E8" w:themeFill="accent1" w:themeFillTint="75"/>
      </w:tcPr>
    </w:tblStylePr>
    <w:tblStylePr w:type="band2Vert">
      <w:pPr>
        <w:snapToGrid/>
      </w:pPr>
    </w:tblStylePr>
    <w:tblStylePr w:type="band1Horz">
      <w:pPr>
        <w:snapToGrid/>
      </w:pPr>
      <w:tblPr/>
      <w:tcPr>
        <w:shd w:val="clear" w:color="B3D0EB" w:fill="70C2E8"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2">
    <w:name w:val="Grid Table 5 Dark -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fill="FAE2D6" w:themeFill="accent2" w:themeFillTint="32"/>
    </w:tblPr>
    <w:tblStylePr w:type="firstRow">
      <w:pPr>
        <w:snapToGrid/>
      </w:pPr>
      <w:rPr>
        <w:rFonts w:ascii="Arial" w:hAnsi="Arial"/>
        <w:b/>
        <w:color w:val="FFFFFF"/>
        <w:sz w:val="22"/>
      </w:rPr>
      <w:tblPr/>
      <w:tcPr>
        <w:shd w:val="clear" w:color="ED7D31" w:fill="E97132" w:themeFill="accent2"/>
      </w:tcPr>
    </w:tblStylePr>
    <w:tblStylePr w:type="lastRow">
      <w:pPr>
        <w:snapToGrid/>
      </w:pPr>
      <w:rPr>
        <w:rFonts w:ascii="Arial" w:hAnsi="Arial"/>
        <w:b/>
        <w:color w:val="FFFFFF"/>
        <w:sz w:val="22"/>
      </w:rPr>
      <w:tblPr/>
      <w:tcPr>
        <w:tcBorders>
          <w:top w:val="single" w:sz="4" w:space="0" w:color="FFFFFF" w:themeColor="light1"/>
        </w:tcBorders>
        <w:shd w:val="clear" w:color="ED7D31" w:fill="E97132" w:themeFill="accent2"/>
      </w:tcPr>
    </w:tblStylePr>
    <w:tblStylePr w:type="firstCol">
      <w:pPr>
        <w:snapToGrid/>
      </w:pPr>
      <w:rPr>
        <w:rFonts w:ascii="Arial" w:hAnsi="Arial"/>
        <w:b/>
        <w:color w:val="FFFFFF"/>
        <w:sz w:val="22"/>
      </w:rPr>
      <w:tblPr/>
      <w:tcPr>
        <w:shd w:val="clear" w:color="ED7D31" w:fill="E97132" w:themeFill="accent2"/>
      </w:tcPr>
    </w:tblStylePr>
    <w:tblStylePr w:type="lastCol">
      <w:pPr>
        <w:snapToGrid/>
      </w:pPr>
      <w:rPr>
        <w:rFonts w:ascii="Arial" w:hAnsi="Arial"/>
        <w:b/>
        <w:color w:val="FFFFFF"/>
        <w:sz w:val="22"/>
      </w:rPr>
      <w:tblPr/>
      <w:tcPr>
        <w:shd w:val="clear" w:color="ED7D31" w:fill="E97132" w:themeFill="accent2"/>
      </w:tcPr>
    </w:tblStylePr>
    <w:tblStylePr w:type="band1Vert">
      <w:pPr>
        <w:snapToGrid/>
      </w:pPr>
      <w:tblPr/>
      <w:tcPr>
        <w:shd w:val="clear" w:color="F6C3A0" w:fill="F5BDA0" w:themeFill="accent2" w:themeFillTint="75"/>
      </w:tcPr>
    </w:tblStylePr>
    <w:tblStylePr w:type="band2Vert">
      <w:pPr>
        <w:snapToGrid/>
      </w:pPr>
    </w:tblStylePr>
    <w:tblStylePr w:type="band1Horz">
      <w:pPr>
        <w:snapToGrid/>
      </w:pPr>
      <w:tblPr/>
      <w:tcPr>
        <w:shd w:val="clear" w:color="F6C3A0" w:fill="F5BDA0"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3">
    <w:name w:val="Grid Table 5 Dark -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fill="C0F0C6" w:themeFill="accent3" w:themeFillTint="34"/>
    </w:tblPr>
    <w:tblStylePr w:type="firstRow">
      <w:pPr>
        <w:snapToGrid/>
      </w:pPr>
      <w:rPr>
        <w:rFonts w:ascii="Arial" w:hAnsi="Arial"/>
        <w:b/>
        <w:color w:val="FFFFFF"/>
        <w:sz w:val="22"/>
      </w:rPr>
      <w:tblPr/>
      <w:tcPr>
        <w:shd w:val="clear" w:color="A5A5A5" w:fill="196B24" w:themeFill="accent3"/>
      </w:tcPr>
    </w:tblStylePr>
    <w:tblStylePr w:type="lastRow">
      <w:pPr>
        <w:snapToGrid/>
      </w:pPr>
      <w:rPr>
        <w:rFonts w:ascii="Arial" w:hAnsi="Arial"/>
        <w:b/>
        <w:color w:val="FFFFFF"/>
        <w:sz w:val="22"/>
      </w:rPr>
      <w:tblPr/>
      <w:tcPr>
        <w:tcBorders>
          <w:top w:val="single" w:sz="4" w:space="0" w:color="FFFFFF" w:themeColor="light1"/>
        </w:tcBorders>
        <w:shd w:val="clear" w:color="A5A5A5" w:fill="196B24" w:themeFill="accent3"/>
      </w:tcPr>
    </w:tblStylePr>
    <w:tblStylePr w:type="firstCol">
      <w:pPr>
        <w:snapToGrid/>
      </w:pPr>
      <w:rPr>
        <w:rFonts w:ascii="Arial" w:hAnsi="Arial"/>
        <w:b/>
        <w:color w:val="FFFFFF"/>
        <w:sz w:val="22"/>
      </w:rPr>
      <w:tblPr/>
      <w:tcPr>
        <w:shd w:val="clear" w:color="A5A5A5" w:fill="196B24" w:themeFill="accent3"/>
      </w:tcPr>
    </w:tblStylePr>
    <w:tblStylePr w:type="lastCol">
      <w:pPr>
        <w:snapToGrid/>
      </w:pPr>
      <w:rPr>
        <w:rFonts w:ascii="Arial" w:hAnsi="Arial"/>
        <w:b/>
        <w:color w:val="FFFFFF"/>
        <w:sz w:val="22"/>
      </w:rPr>
      <w:tblPr/>
      <w:tcPr>
        <w:shd w:val="clear" w:color="A5A5A5" w:fill="196B24" w:themeFill="accent3"/>
      </w:tcPr>
    </w:tblStylePr>
    <w:tblStylePr w:type="band1Vert">
      <w:pPr>
        <w:snapToGrid/>
      </w:pPr>
      <w:tblPr/>
      <w:tcPr>
        <w:shd w:val="clear" w:color="D5D5D5" w:fill="72DE80" w:themeFill="accent3" w:themeFillTint="75"/>
      </w:tcPr>
    </w:tblStylePr>
    <w:tblStylePr w:type="band2Vert">
      <w:pPr>
        <w:snapToGrid/>
      </w:pPr>
    </w:tblStylePr>
    <w:tblStylePr w:type="band1Horz">
      <w:pPr>
        <w:snapToGrid/>
      </w:pPr>
      <w:tblPr/>
      <w:tcPr>
        <w:shd w:val="clear" w:color="D5D5D5" w:fill="72DE80"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fill="C9EDFB" w:themeFill="accent4" w:themeFillTint="34"/>
    </w:tblPr>
    <w:tblStylePr w:type="firstRow">
      <w:pPr>
        <w:snapToGrid/>
      </w:pPr>
      <w:rPr>
        <w:rFonts w:ascii="Arial" w:hAnsi="Arial"/>
        <w:b/>
        <w:color w:val="FFFFFF"/>
        <w:sz w:val="22"/>
      </w:rPr>
      <w:tblPr/>
      <w:tcPr>
        <w:shd w:val="clear" w:color="FFC000" w:fill="0F9ED5" w:themeFill="accent4"/>
      </w:tcPr>
    </w:tblStylePr>
    <w:tblStylePr w:type="lastRow">
      <w:pPr>
        <w:snapToGrid/>
      </w:pPr>
      <w:rPr>
        <w:rFonts w:ascii="Arial" w:hAnsi="Arial"/>
        <w:b/>
        <w:color w:val="FFFFFF"/>
        <w:sz w:val="22"/>
      </w:rPr>
      <w:tblPr/>
      <w:tcPr>
        <w:tcBorders>
          <w:top w:val="single" w:sz="4" w:space="0" w:color="FFFFFF" w:themeColor="light1"/>
        </w:tcBorders>
        <w:shd w:val="clear" w:color="FFC000" w:fill="0F9ED5" w:themeFill="accent4"/>
      </w:tcPr>
    </w:tblStylePr>
    <w:tblStylePr w:type="firstCol">
      <w:pPr>
        <w:snapToGrid/>
      </w:pPr>
      <w:rPr>
        <w:rFonts w:ascii="Arial" w:hAnsi="Arial"/>
        <w:b/>
        <w:color w:val="FFFFFF"/>
        <w:sz w:val="22"/>
      </w:rPr>
      <w:tblPr/>
      <w:tcPr>
        <w:shd w:val="clear" w:color="FFC000" w:fill="0F9ED5" w:themeFill="accent4"/>
      </w:tcPr>
    </w:tblStylePr>
    <w:tblStylePr w:type="lastCol">
      <w:pPr>
        <w:snapToGrid/>
      </w:pPr>
      <w:rPr>
        <w:rFonts w:ascii="Arial" w:hAnsi="Arial"/>
        <w:b/>
        <w:color w:val="FFFFFF"/>
        <w:sz w:val="22"/>
      </w:rPr>
      <w:tblPr/>
      <w:tcPr>
        <w:shd w:val="clear" w:color="FFC000" w:fill="0F9ED5" w:themeFill="accent4"/>
      </w:tcPr>
    </w:tblStylePr>
    <w:tblStylePr w:type="band1Vert">
      <w:pPr>
        <w:snapToGrid/>
      </w:pPr>
      <w:tblPr/>
      <w:tcPr>
        <w:shd w:val="clear" w:color="FFE28A" w:fill="85D7F6" w:themeFill="accent4" w:themeFillTint="75"/>
      </w:tcPr>
    </w:tblStylePr>
    <w:tblStylePr w:type="band2Vert">
      <w:pPr>
        <w:snapToGrid/>
      </w:pPr>
    </w:tblStylePr>
    <w:tblStylePr w:type="band1Horz">
      <w:pPr>
        <w:snapToGrid/>
      </w:pPr>
      <w:tblPr/>
      <w:tcPr>
        <w:shd w:val="clear" w:color="FFE28A" w:fill="85D7F6"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5">
    <w:name w:val="Grid Table 5 Dark -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fill="F1CDED" w:themeFill="accent5" w:themeFillTint="34"/>
    </w:tblPr>
    <w:tblStylePr w:type="firstRow">
      <w:pPr>
        <w:snapToGrid/>
      </w:pPr>
      <w:rPr>
        <w:rFonts w:ascii="Arial" w:hAnsi="Arial"/>
        <w:b/>
        <w:color w:val="FFFFFF"/>
        <w:sz w:val="22"/>
      </w:rPr>
      <w:tblPr/>
      <w:tcPr>
        <w:shd w:val="clear" w:color="4472C4" w:fill="A02B93" w:themeFill="accent5"/>
      </w:tcPr>
    </w:tblStylePr>
    <w:tblStylePr w:type="lastRow">
      <w:pPr>
        <w:snapToGrid/>
      </w:pPr>
      <w:rPr>
        <w:rFonts w:ascii="Arial" w:hAnsi="Arial"/>
        <w:b/>
        <w:color w:val="FFFFFF"/>
        <w:sz w:val="22"/>
      </w:rPr>
      <w:tblPr/>
      <w:tcPr>
        <w:tcBorders>
          <w:top w:val="single" w:sz="4" w:space="0" w:color="FFFFFF" w:themeColor="light1"/>
        </w:tcBorders>
        <w:shd w:val="clear" w:color="4472C4" w:fill="A02B93" w:themeFill="accent5"/>
      </w:tcPr>
    </w:tblStylePr>
    <w:tblStylePr w:type="firstCol">
      <w:pPr>
        <w:snapToGrid/>
      </w:pPr>
      <w:rPr>
        <w:rFonts w:ascii="Arial" w:hAnsi="Arial"/>
        <w:b/>
        <w:color w:val="FFFFFF"/>
        <w:sz w:val="22"/>
      </w:rPr>
      <w:tblPr/>
      <w:tcPr>
        <w:shd w:val="clear" w:color="4472C4" w:fill="A02B93" w:themeFill="accent5"/>
      </w:tcPr>
    </w:tblStylePr>
    <w:tblStylePr w:type="lastCol">
      <w:pPr>
        <w:snapToGrid/>
      </w:pPr>
      <w:rPr>
        <w:rFonts w:ascii="Arial" w:hAnsi="Arial"/>
        <w:b/>
        <w:color w:val="FFFFFF"/>
        <w:sz w:val="22"/>
      </w:rPr>
      <w:tblPr/>
      <w:tcPr>
        <w:shd w:val="clear" w:color="4472C4" w:fill="A02B93" w:themeFill="accent5"/>
      </w:tcPr>
    </w:tblStylePr>
    <w:tblStylePr w:type="band1Vert">
      <w:pPr>
        <w:snapToGrid/>
      </w:pPr>
      <w:tblPr/>
      <w:tcPr>
        <w:shd w:val="clear" w:color="A9BEE4" w:fill="E18FD7" w:themeFill="accent5" w:themeFillTint="75"/>
      </w:tcPr>
    </w:tblStylePr>
    <w:tblStylePr w:type="band2Vert">
      <w:pPr>
        <w:snapToGrid/>
      </w:pPr>
    </w:tblStylePr>
    <w:tblStylePr w:type="band1Horz">
      <w:pPr>
        <w:snapToGrid/>
      </w:pPr>
      <w:tblPr/>
      <w:tcPr>
        <w:shd w:val="clear" w:color="A9BEE4" w:fill="E18FD7"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6">
    <w:name w:val="Grid Table 5 Dark -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fill="D8F2CF" w:themeFill="accent6" w:themeFillTint="34"/>
    </w:tblPr>
    <w:tblStylePr w:type="firstRow">
      <w:pPr>
        <w:snapToGrid/>
      </w:pPr>
      <w:rPr>
        <w:rFonts w:ascii="Arial" w:hAnsi="Arial"/>
        <w:b/>
        <w:color w:val="FFFFFF"/>
        <w:sz w:val="22"/>
      </w:rPr>
      <w:tblPr/>
      <w:tcPr>
        <w:shd w:val="clear" w:color="70AD47" w:fill="4EA72E" w:themeFill="accent6"/>
      </w:tcPr>
    </w:tblStylePr>
    <w:tblStylePr w:type="lastRow">
      <w:pPr>
        <w:snapToGrid/>
      </w:pPr>
      <w:rPr>
        <w:rFonts w:ascii="Arial" w:hAnsi="Arial"/>
        <w:b/>
        <w:color w:val="FFFFFF"/>
        <w:sz w:val="22"/>
      </w:rPr>
      <w:tblPr/>
      <w:tcPr>
        <w:tcBorders>
          <w:top w:val="single" w:sz="4" w:space="0" w:color="FFFFFF" w:themeColor="light1"/>
        </w:tcBorders>
        <w:shd w:val="clear" w:color="70AD47" w:fill="4EA72E" w:themeFill="accent6"/>
      </w:tcPr>
    </w:tblStylePr>
    <w:tblStylePr w:type="firstCol">
      <w:pPr>
        <w:snapToGrid/>
      </w:pPr>
      <w:rPr>
        <w:rFonts w:ascii="Arial" w:hAnsi="Arial"/>
        <w:b/>
        <w:color w:val="FFFFFF"/>
        <w:sz w:val="22"/>
      </w:rPr>
      <w:tblPr/>
      <w:tcPr>
        <w:shd w:val="clear" w:color="70AD47" w:fill="4EA72E" w:themeFill="accent6"/>
      </w:tcPr>
    </w:tblStylePr>
    <w:tblStylePr w:type="lastCol">
      <w:pPr>
        <w:snapToGrid/>
      </w:pPr>
      <w:rPr>
        <w:rFonts w:ascii="Arial" w:hAnsi="Arial"/>
        <w:b/>
        <w:color w:val="FFFFFF"/>
        <w:sz w:val="22"/>
      </w:rPr>
      <w:tblPr/>
      <w:tcPr>
        <w:shd w:val="clear" w:color="70AD47" w:fill="4EA72E" w:themeFill="accent6"/>
      </w:tcPr>
    </w:tblStylePr>
    <w:tblStylePr w:type="band1Vert">
      <w:pPr>
        <w:snapToGrid/>
      </w:pPr>
      <w:tblPr/>
      <w:tcPr>
        <w:shd w:val="clear" w:color="BCDBA8" w:fill="A8E194" w:themeFill="accent6" w:themeFillTint="75"/>
      </w:tcPr>
    </w:tblStylePr>
    <w:tblStylePr w:type="band2Vert">
      <w:pPr>
        <w:snapToGrid/>
      </w:pPr>
    </w:tblStylePr>
    <w:tblStylePr w:type="band1Horz">
      <w:pPr>
        <w:snapToGrid/>
      </w:pPr>
      <w:tblPr/>
      <w:tcPr>
        <w:shd w:val="clear" w:color="BCDBA8" w:fill="A8E194"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Shade="95" w:themeTint="80"/>
      </w:rPr>
      <w:tblPr/>
      <w:tcPr>
        <w:tcBorders>
          <w:bottom w:val="single" w:sz="12" w:space="0" w:color="7F7F7F" w:themeColor="text1" w:themeTint="80"/>
        </w:tcBorders>
      </w:tcPr>
    </w:tblStylePr>
    <w:tblStylePr w:type="lastRow">
      <w:pPr>
        <w:snapToGrid/>
      </w:pPr>
      <w:rPr>
        <w:b/>
        <w:color w:val="7F7F7F" w:themeColor="text1" w:themeShade="95" w:themeTint="80"/>
      </w:rPr>
    </w:tblStylePr>
    <w:tblStylePr w:type="firstCol">
      <w:pPr>
        <w:snapToGrid/>
      </w:pPr>
      <w:rPr>
        <w:b/>
        <w:color w:val="7F7F7F" w:themeColor="text1" w:themeShade="95" w:themeTint="80"/>
      </w:rPr>
    </w:tblStylePr>
    <w:tblStylePr w:type="lastCol">
      <w:pPr>
        <w:snapToGrid/>
      </w:pPr>
      <w:rPr>
        <w:b/>
        <w:color w:val="7F7F7F" w:themeColor="text1" w:themeShade="95" w:themeTint="80"/>
      </w:rPr>
    </w:tblStylePr>
    <w:tblStylePr w:type="band1Vert">
      <w:pPr>
        <w:snapToGrid/>
      </w:pPr>
      <w:tblPr/>
      <w:tcPr>
        <w:shd w:val="clear" w:color="CBCBCB" w:fill="CBCBCB" w:themeFill="text1" w:themeFillTint="34"/>
      </w:tcPr>
    </w:tblStylePr>
    <w:tblStylePr w:type="band2Vert">
      <w:pPr>
        <w:snapToGrid/>
      </w:pPr>
    </w:tblStylePr>
    <w:tblStylePr w:type="band1Horz">
      <w:pPr>
        <w:snapToGrid/>
      </w:pPr>
      <w:rPr>
        <w:rFonts w:ascii="Arial" w:hAnsi="Arial"/>
        <w:color w:val="7F7F7F" w:themeColor="text1" w:themeShade="95" w:themeTint="80"/>
        <w:sz w:val="22"/>
      </w:rPr>
      <w:tblPr/>
      <w:tcPr>
        <w:shd w:val="clear" w:color="CBCBCB" w:fill="CBCBCB" w:themeFill="text1" w:themeFillTint="34"/>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1">
    <w:name w:val="Grid Table 6 Colorful - Accent 1"/>
    <w:basedOn w:val="TableNormal"/>
    <w:uiPriority w:val="99"/>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pPr>
        <w:snapToGrid/>
      </w:pPr>
      <w:rPr>
        <w:b/>
        <w:color w:val="63BDE6" w:themeColor="accent1" w:themeShade="95" w:themeTint="80"/>
      </w:rPr>
      <w:tblPr/>
      <w:tcPr>
        <w:tcBorders>
          <w:bottom w:val="single" w:sz="12" w:space="0" w:color="63BDE6" w:themeColor="accent1" w:themeTint="80"/>
        </w:tcBorders>
      </w:tcPr>
    </w:tblStylePr>
    <w:tblStylePr w:type="lastRow">
      <w:pPr>
        <w:snapToGrid/>
      </w:pPr>
      <w:rPr>
        <w:b/>
        <w:color w:val="63BDE6" w:themeColor="accent1" w:themeShade="95" w:themeTint="80"/>
      </w:rPr>
    </w:tblStylePr>
    <w:tblStylePr w:type="firstCol">
      <w:pPr>
        <w:snapToGrid/>
      </w:pPr>
      <w:rPr>
        <w:b/>
        <w:color w:val="63BDE6" w:themeColor="accent1" w:themeShade="95" w:themeTint="80"/>
      </w:rPr>
    </w:tblStylePr>
    <w:tblStylePr w:type="lastCol">
      <w:pPr>
        <w:snapToGrid/>
      </w:pPr>
      <w:rPr>
        <w:b/>
        <w:color w:val="63BDE6" w:themeColor="accent1" w:themeShade="95" w:themeTint="80"/>
      </w:rPr>
    </w:tblStylePr>
    <w:tblStylePr w:type="band1Vert">
      <w:pPr>
        <w:snapToGrid/>
      </w:pPr>
      <w:tblPr/>
      <w:tcPr>
        <w:shd w:val="clear" w:color="DDEAF6" w:fill="BFE4F4" w:themeFill="accent1" w:themeFillTint="34"/>
      </w:tcPr>
    </w:tblStylePr>
    <w:tblStylePr w:type="band2Vert">
      <w:pPr>
        <w:snapToGrid/>
      </w:pPr>
    </w:tblStylePr>
    <w:tblStylePr w:type="band1Horz">
      <w:pPr>
        <w:snapToGrid/>
      </w:pPr>
      <w:rPr>
        <w:rFonts w:ascii="Arial" w:hAnsi="Arial"/>
        <w:color w:val="63BDE6" w:themeColor="accent1" w:themeShade="95" w:themeTint="80"/>
        <w:sz w:val="22"/>
      </w:rPr>
      <w:tblPr/>
      <w:tcPr>
        <w:shd w:val="clear" w:color="DDEAF6" w:fill="BFE4F4" w:themeFill="accent1" w:themeFillTint="34"/>
      </w:tcPr>
    </w:tblStylePr>
    <w:tblStylePr w:type="band2Horz">
      <w:pPr>
        <w:snapToGrid/>
      </w:pPr>
      <w:rPr>
        <w:rFonts w:ascii="Arial" w:hAnsi="Arial"/>
        <w:color w:val="63BDE6" w:themeColor="accen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2">
    <w:name w:val="Grid Table 6 Colorful - Accent 2"/>
    <w:basedOn w:val="TableNormal"/>
    <w:uiPriority w:val="99"/>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pPr>
        <w:snapToGrid/>
      </w:pPr>
      <w:rPr>
        <w:b/>
        <w:color w:val="F2AA85" w:themeColor="accent2" w:themeShade="95" w:themeTint="97"/>
      </w:rPr>
      <w:tblPr/>
      <w:tcPr>
        <w:tcBorders>
          <w:bottom w:val="single" w:sz="12" w:space="0" w:color="F2AA85" w:themeColor="accent2" w:themeTint="97"/>
        </w:tcBorders>
      </w:tcPr>
    </w:tblStylePr>
    <w:tblStylePr w:type="lastRow">
      <w:pPr>
        <w:snapToGrid/>
      </w:pPr>
      <w:rPr>
        <w:b/>
        <w:color w:val="F2AA85" w:themeColor="accent2" w:themeShade="95" w:themeTint="97"/>
      </w:rPr>
    </w:tblStylePr>
    <w:tblStylePr w:type="firstCol">
      <w:pPr>
        <w:snapToGrid/>
      </w:pPr>
      <w:rPr>
        <w:b/>
        <w:color w:val="F2AA85" w:themeColor="accent2" w:themeShade="95" w:themeTint="97"/>
      </w:rPr>
    </w:tblStylePr>
    <w:tblStylePr w:type="lastCol">
      <w:pPr>
        <w:snapToGrid/>
      </w:pPr>
      <w:rPr>
        <w:b/>
        <w:color w:val="F2AA85" w:themeColor="accent2" w:themeShade="95" w:themeTint="97"/>
      </w:rPr>
    </w:tblStylePr>
    <w:tblStylePr w:type="band1Vert">
      <w:pPr>
        <w:snapToGrid/>
      </w:pPr>
      <w:tblPr/>
      <w:tcPr>
        <w:shd w:val="clear" w:color="FBE5D6" w:fill="FAE2D6" w:themeFill="accent2" w:themeFillTint="32"/>
      </w:tcPr>
    </w:tblStylePr>
    <w:tblStylePr w:type="band2Vert">
      <w:pPr>
        <w:snapToGrid/>
      </w:pPr>
    </w:tblStylePr>
    <w:tblStylePr w:type="band1Horz">
      <w:pPr>
        <w:snapToGrid/>
      </w:pPr>
      <w:rPr>
        <w:rFonts w:ascii="Arial" w:hAnsi="Arial"/>
        <w:color w:val="F2AA85" w:themeColor="accent2" w:themeShade="95" w:themeTint="97"/>
        <w:sz w:val="22"/>
      </w:rPr>
      <w:tblPr/>
      <w:tcPr>
        <w:shd w:val="clear" w:color="FBE5D6" w:fill="FAE2D6" w:themeFill="accent2" w:themeFillTint="32"/>
      </w:tcPr>
    </w:tblStylePr>
    <w:tblStylePr w:type="band2Horz">
      <w:pPr>
        <w:snapToGrid/>
      </w:pPr>
      <w:rPr>
        <w:rFonts w:ascii="Arial" w:hAnsi="Arial"/>
        <w:color w:val="F2AA8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3">
    <w:name w:val="Grid Table 6 Colorful - Accent 3"/>
    <w:basedOn w:val="TableNormal"/>
    <w:uiPriority w:val="99"/>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pPr>
        <w:snapToGrid/>
      </w:pPr>
      <w:rPr>
        <w:b/>
        <w:color w:val="196C24" w:themeColor="accent3" w:themeShade="95" w:themeTint="FE"/>
      </w:rPr>
      <w:tblPr/>
      <w:tcPr>
        <w:tcBorders>
          <w:bottom w:val="single" w:sz="12" w:space="0" w:color="196C24" w:themeColor="accent3" w:themeTint="FE"/>
        </w:tcBorders>
      </w:tcPr>
    </w:tblStylePr>
    <w:tblStylePr w:type="lastRow">
      <w:pPr>
        <w:snapToGrid/>
      </w:pPr>
      <w:rPr>
        <w:b/>
        <w:color w:val="196C24" w:themeColor="accent3" w:themeShade="95" w:themeTint="FE"/>
      </w:rPr>
    </w:tblStylePr>
    <w:tblStylePr w:type="firstCol">
      <w:pPr>
        <w:snapToGrid/>
      </w:pPr>
      <w:rPr>
        <w:b/>
        <w:color w:val="196C24" w:themeColor="accent3" w:themeShade="95" w:themeTint="FE"/>
      </w:rPr>
    </w:tblStylePr>
    <w:tblStylePr w:type="lastCol">
      <w:pPr>
        <w:snapToGrid/>
      </w:pPr>
      <w:rPr>
        <w:b/>
        <w:color w:val="196C24" w:themeColor="accent3" w:themeShade="95" w:themeTint="FE"/>
      </w:rPr>
    </w:tblStylePr>
    <w:tblStylePr w:type="band1Vert">
      <w:pPr>
        <w:snapToGrid/>
      </w:pPr>
      <w:tblPr/>
      <w:tcPr>
        <w:shd w:val="clear" w:color="ECECEC" w:fill="C0F0C6" w:themeFill="accent3" w:themeFillTint="34"/>
      </w:tcPr>
    </w:tblStylePr>
    <w:tblStylePr w:type="band2Vert">
      <w:pPr>
        <w:snapToGrid/>
      </w:pPr>
    </w:tblStylePr>
    <w:tblStylePr w:type="band1Horz">
      <w:pPr>
        <w:snapToGrid/>
      </w:pPr>
      <w:rPr>
        <w:rFonts w:ascii="Arial" w:hAnsi="Arial"/>
        <w:color w:val="196C24" w:themeColor="accent3" w:themeShade="95" w:themeTint="FE"/>
        <w:sz w:val="22"/>
      </w:rPr>
      <w:tblPr/>
      <w:tcPr>
        <w:shd w:val="clear" w:color="ECECEC" w:fill="C0F0C6" w:themeFill="accent3" w:themeFillTint="34"/>
      </w:tcPr>
    </w:tblStylePr>
    <w:tblStylePr w:type="band2Horz">
      <w:pPr>
        <w:snapToGrid/>
      </w:pPr>
      <w:rPr>
        <w:rFonts w:ascii="Arial" w:hAnsi="Arial"/>
        <w:color w:val="196C24" w:themeColor="accent3" w:themeShade="95" w:themeTint="F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4">
    <w:name w:val="Grid Table 6 Colorful - Accent 4"/>
    <w:basedOn w:val="TableNormal"/>
    <w:uiPriority w:val="99"/>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pPr>
        <w:snapToGrid/>
      </w:pPr>
      <w:rPr>
        <w:b/>
        <w:color w:val="5FCAF3" w:themeColor="accent4" w:themeShade="95" w:themeTint="9A"/>
      </w:rPr>
      <w:tblPr/>
      <w:tcPr>
        <w:tcBorders>
          <w:bottom w:val="single" w:sz="12" w:space="0" w:color="5FCAF3" w:themeColor="accent4" w:themeTint="9A"/>
        </w:tcBorders>
      </w:tcPr>
    </w:tblStylePr>
    <w:tblStylePr w:type="lastRow">
      <w:pPr>
        <w:snapToGrid/>
      </w:pPr>
      <w:rPr>
        <w:b/>
        <w:color w:val="5FCAF3" w:themeColor="accent4" w:themeShade="95" w:themeTint="9A"/>
      </w:rPr>
    </w:tblStylePr>
    <w:tblStylePr w:type="firstCol">
      <w:pPr>
        <w:snapToGrid/>
      </w:pPr>
      <w:rPr>
        <w:b/>
        <w:color w:val="5FCAF3" w:themeColor="accent4" w:themeShade="95" w:themeTint="9A"/>
      </w:rPr>
    </w:tblStylePr>
    <w:tblStylePr w:type="lastCol">
      <w:pPr>
        <w:snapToGrid/>
      </w:pPr>
      <w:rPr>
        <w:b/>
        <w:color w:val="5FCAF3" w:themeColor="accent4" w:themeShade="95" w:themeTint="9A"/>
      </w:rPr>
    </w:tblStylePr>
    <w:tblStylePr w:type="band1Vert">
      <w:pPr>
        <w:snapToGrid/>
      </w:pPr>
      <w:tblPr/>
      <w:tcPr>
        <w:shd w:val="clear" w:color="FFF2CB" w:fill="C9EDFB" w:themeFill="accent4" w:themeFillTint="34"/>
      </w:tcPr>
    </w:tblStylePr>
    <w:tblStylePr w:type="band2Vert">
      <w:pPr>
        <w:snapToGrid/>
      </w:pPr>
    </w:tblStylePr>
    <w:tblStylePr w:type="band1Horz">
      <w:pPr>
        <w:snapToGrid/>
      </w:pPr>
      <w:rPr>
        <w:rFonts w:ascii="Arial" w:hAnsi="Arial"/>
        <w:color w:val="5FCAF3" w:themeColor="accent4" w:themeShade="95" w:themeTint="9A"/>
        <w:sz w:val="22"/>
      </w:rPr>
      <w:tblPr/>
      <w:tcPr>
        <w:shd w:val="clear" w:color="FFF2CB" w:fill="C9EDFB" w:themeFill="accent4" w:themeFillTint="34"/>
      </w:tcPr>
    </w:tblStylePr>
    <w:tblStylePr w:type="band2Horz">
      <w:pPr>
        <w:snapToGrid/>
      </w:pPr>
      <w:rPr>
        <w:rFonts w:ascii="Arial" w:hAnsi="Arial"/>
        <w:color w:val="5FCAF3"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5">
    <w:name w:val="Grid Table 6 Colorful - Accent 5"/>
    <w:basedOn w:val="TableNormal"/>
    <w:uiPriority w:val="99"/>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pPr>
        <w:snapToGrid/>
      </w:pPr>
      <w:rPr>
        <w:b/>
        <w:color w:val="5D1955" w:themeColor="accent5" w:themeShade="95"/>
      </w:rPr>
      <w:tblPr/>
      <w:tcPr>
        <w:tcBorders>
          <w:bottom w:val="single" w:sz="12" w:space="0" w:color="A02B93" w:themeColor="accent5"/>
        </w:tcBorders>
      </w:tcPr>
    </w:tblStylePr>
    <w:tblStylePr w:type="lastRow">
      <w:pPr>
        <w:snapToGrid/>
      </w:pPr>
      <w:rPr>
        <w:b/>
        <w:color w:val="5D1955" w:themeColor="accent5" w:themeShade="95"/>
      </w:rPr>
    </w:tblStylePr>
    <w:tblStylePr w:type="firstCol">
      <w:pPr>
        <w:snapToGrid/>
      </w:pPr>
      <w:rPr>
        <w:b/>
        <w:color w:val="5D1955" w:themeColor="accent5" w:themeShade="95"/>
      </w:rPr>
    </w:tblStylePr>
    <w:tblStylePr w:type="lastCol">
      <w:pPr>
        <w:snapToGrid/>
      </w:pPr>
      <w:rPr>
        <w:b/>
        <w:color w:val="5D1955" w:themeColor="accent5" w:themeShade="95"/>
      </w:rPr>
    </w:tblStylePr>
    <w:tblStylePr w:type="band1Vert">
      <w:pPr>
        <w:snapToGrid/>
      </w:pPr>
      <w:tblPr/>
      <w:tcPr>
        <w:shd w:val="clear" w:color="D8E2F3" w:fill="F1CDED" w:themeFill="accent5" w:themeFillTint="34"/>
      </w:tcPr>
    </w:tblStylePr>
    <w:tblStylePr w:type="band2Vert">
      <w:pPr>
        <w:snapToGrid/>
      </w:pPr>
    </w:tblStylePr>
    <w:tblStylePr w:type="band1Horz">
      <w:pPr>
        <w:snapToGrid/>
      </w:pPr>
      <w:rPr>
        <w:rFonts w:ascii="Arial" w:hAnsi="Arial"/>
        <w:color w:val="5D1955" w:themeColor="accent5" w:themeShade="95"/>
        <w:sz w:val="22"/>
      </w:rPr>
      <w:tblPr/>
      <w:tcPr>
        <w:shd w:val="clear" w:color="D8E2F3" w:fill="F1CDED" w:themeFill="accent5" w:themeFillTint="34"/>
      </w:tcPr>
    </w:tblStylePr>
    <w:tblStylePr w:type="band2Horz">
      <w:pPr>
        <w:snapToGrid/>
      </w:pPr>
      <w:rPr>
        <w:rFonts w:ascii="Arial" w:hAnsi="Arial"/>
        <w:color w:val="5D1955"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6">
    <w:name w:val="Grid Table 6 Colorful - Accent 6"/>
    <w:basedOn w:val="TableNormal"/>
    <w:uiPriority w:val="99"/>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pPr>
        <w:snapToGrid/>
      </w:pPr>
      <w:rPr>
        <w:b/>
        <w:color w:val="5D1955" w:themeColor="accent5" w:themeShade="95"/>
      </w:rPr>
      <w:tblPr/>
      <w:tcPr>
        <w:tcBorders>
          <w:bottom w:val="single" w:sz="12" w:space="0" w:color="4EA72E" w:themeColor="accent6"/>
        </w:tcBorders>
      </w:tcPr>
    </w:tblStylePr>
    <w:tblStylePr w:type="lastRow">
      <w:pPr>
        <w:snapToGrid/>
      </w:pPr>
      <w:rPr>
        <w:b/>
        <w:color w:val="5D1955" w:themeColor="accent5" w:themeShade="95"/>
      </w:rPr>
    </w:tblStylePr>
    <w:tblStylePr w:type="firstCol">
      <w:pPr>
        <w:snapToGrid/>
      </w:pPr>
      <w:rPr>
        <w:b/>
        <w:color w:val="5D1955" w:themeColor="accent5" w:themeShade="95"/>
      </w:rPr>
    </w:tblStylePr>
    <w:tblStylePr w:type="lastCol">
      <w:pPr>
        <w:snapToGrid/>
      </w:pPr>
      <w:rPr>
        <w:b/>
        <w:color w:val="5D1955" w:themeColor="accent5" w:themeShade="95"/>
      </w:rPr>
    </w:tblStylePr>
    <w:tblStylePr w:type="band1Vert">
      <w:pPr>
        <w:snapToGrid/>
      </w:pPr>
      <w:tblPr/>
      <w:tcPr>
        <w:shd w:val="clear" w:color="E1EFD8" w:fill="D8F2CF" w:themeFill="accent6" w:themeFillTint="34"/>
      </w:tcPr>
    </w:tblStylePr>
    <w:tblStylePr w:type="band2Vert">
      <w:pPr>
        <w:snapToGrid/>
      </w:pPr>
    </w:tblStylePr>
    <w:tblStylePr w:type="band1Horz">
      <w:pPr>
        <w:snapToGrid/>
      </w:pPr>
      <w:rPr>
        <w:rFonts w:ascii="Arial" w:hAnsi="Arial"/>
        <w:color w:val="5D1955" w:themeColor="accent5" w:themeShade="95"/>
        <w:sz w:val="22"/>
      </w:rPr>
      <w:tblPr/>
      <w:tcPr>
        <w:shd w:val="clear" w:color="E1EFD8" w:fill="D8F2CF" w:themeFill="accent6" w:themeFillTint="34"/>
      </w:tcPr>
    </w:tblStylePr>
    <w:tblStylePr w:type="band2Horz">
      <w:pPr>
        <w:snapToGrid/>
      </w:pPr>
      <w:rPr>
        <w:rFonts w:ascii="Arial" w:hAnsi="Arial"/>
        <w:color w:val="5D1955"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2F2F2" w:fill="F2F2F2" w:themeFill="text1" w:themeFillTint="0D"/>
      </w:tcPr>
    </w:tblStylePr>
    <w:tblStylePr w:type="band2Vert">
      <w:pPr>
        <w:snapToGrid/>
      </w:pPr>
    </w:tblStylePr>
    <w:tblStylePr w:type="band1Horz">
      <w:pPr>
        <w:snapToGrid/>
      </w:pPr>
      <w:rPr>
        <w:rFonts w:ascii="Arial" w:hAnsi="Arial"/>
        <w:color w:val="7F7F7F" w:themeColor="text1" w:themeShade="95" w:themeTint="80"/>
        <w:sz w:val="22"/>
      </w:rPr>
      <w:tblPr/>
      <w:tcPr>
        <w:shd w:val="clear" w:color="F2F2F2" w:fill="F2F2F2" w:themeFill="text1" w:themeFillTint="0D"/>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1">
    <w:name w:val="Grid Table 7 Colorful - Accent 1"/>
    <w:basedOn w:val="TableNormal"/>
    <w:uiPriority w:val="99"/>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pPr>
        <w:snapToGrid/>
      </w:pPr>
      <w:rPr>
        <w:rFonts w:ascii="Arial" w:hAnsi="Arial"/>
        <w:b/>
        <w:color w:val="63BDE6" w:themeColor="accent1" w:themeShade="95" w:themeTint="80"/>
        <w:sz w:val="22"/>
      </w:rPr>
      <w:tblPr/>
      <w:tcPr>
        <w:tcBorders>
          <w:top w:val="nil"/>
          <w:left w:val="nil"/>
          <w:bottom w:val="single" w:sz="4" w:space="0" w:color="63BDE6" w:themeColor="accent1" w:themeTint="80"/>
          <w:right w:val="nil"/>
        </w:tcBorders>
        <w:shd w:val="clear" w:color="FFFFFF" w:fill="FFFFFF" w:themeFill="light1"/>
      </w:tcPr>
    </w:tblStylePr>
    <w:tblStylePr w:type="lastRow">
      <w:pPr>
        <w:snapToGrid/>
      </w:pPr>
      <w:rPr>
        <w:rFonts w:ascii="Arial" w:hAnsi="Arial"/>
        <w:b/>
        <w:color w:val="63BDE6" w:themeColor="accent1" w:themeShade="95" w:themeTint="80"/>
        <w:sz w:val="22"/>
      </w:rPr>
      <w:tblPr/>
      <w:tcPr>
        <w:tcBorders>
          <w:top w:val="single" w:sz="4" w:space="0" w:color="63BDE6" w:themeColor="accent1" w:themeTint="80"/>
          <w:left w:val="nil"/>
          <w:bottom w:val="nil"/>
          <w:right w:val="nil"/>
        </w:tcBorders>
        <w:shd w:val="clear" w:color="FFFFFF" w:fill="FFFFFF" w:themeFill="light1"/>
      </w:tcPr>
    </w:tblStylePr>
    <w:tblStylePr w:type="firstCol">
      <w:pPr>
        <w:snapToGrid/>
        <w:jc w:val="right"/>
      </w:pPr>
      <w:rPr>
        <w:rFonts w:ascii="Arial" w:hAnsi="Arial"/>
        <w:i/>
        <w:color w:val="63BDE6" w:themeColor="accent1" w:themeShade="95" w:themeTint="80"/>
        <w:sz w:val="22"/>
      </w:rPr>
      <w:tblPr/>
      <w:tcPr>
        <w:tcBorders>
          <w:top w:val="nil"/>
          <w:left w:val="nil"/>
          <w:bottom w:val="nil"/>
          <w:right w:val="single" w:sz="4" w:space="0" w:color="63BDE6" w:themeColor="accent1" w:themeTint="80"/>
        </w:tcBorders>
        <w:shd w:val="clear" w:color="FFFFFF" w:fill="FFFFFF"/>
      </w:tcPr>
    </w:tblStylePr>
    <w:tblStylePr w:type="lastCol">
      <w:pPr>
        <w:snapToGrid/>
      </w:pPr>
      <w:rPr>
        <w:rFonts w:ascii="Arial" w:hAnsi="Arial"/>
        <w:i/>
        <w:color w:val="63BDE6" w:themeColor="accent1" w:themeShade="95" w:themeTint="80"/>
        <w:sz w:val="22"/>
      </w:rPr>
      <w:tblPr/>
      <w:tcPr>
        <w:tcBorders>
          <w:top w:val="nil"/>
          <w:left w:val="single" w:sz="4" w:space="0" w:color="63BDE6" w:themeColor="accent1" w:themeTint="80"/>
          <w:bottom w:val="nil"/>
          <w:right w:val="nil"/>
        </w:tcBorders>
        <w:shd w:val="clear" w:color="FFFFFF" w:fill="FFFFFF"/>
      </w:tcPr>
    </w:tblStylePr>
    <w:tblStylePr w:type="band1Vert">
      <w:pPr>
        <w:snapToGrid/>
      </w:pPr>
      <w:tblPr/>
      <w:tcPr>
        <w:shd w:val="clear" w:color="DDEAF6" w:fill="BFE4F4" w:themeFill="accent1" w:themeFillTint="34"/>
      </w:tcPr>
    </w:tblStylePr>
    <w:tblStylePr w:type="band2Vert">
      <w:pPr>
        <w:snapToGrid/>
      </w:pPr>
    </w:tblStylePr>
    <w:tblStylePr w:type="band1Horz">
      <w:pPr>
        <w:snapToGrid/>
      </w:pPr>
      <w:rPr>
        <w:rFonts w:ascii="Arial" w:hAnsi="Arial"/>
        <w:color w:val="63BDE6" w:themeColor="accent1" w:themeShade="95" w:themeTint="80"/>
        <w:sz w:val="22"/>
      </w:rPr>
      <w:tblPr/>
      <w:tcPr>
        <w:shd w:val="clear" w:color="DDEAF6" w:fill="BFE4F4" w:themeFill="accent1" w:themeFillTint="34"/>
      </w:tcPr>
    </w:tblStylePr>
    <w:tblStylePr w:type="band2Horz">
      <w:pPr>
        <w:snapToGrid/>
      </w:pPr>
      <w:rPr>
        <w:rFonts w:ascii="Arial" w:hAnsi="Arial"/>
        <w:color w:val="63BDE6" w:themeColor="accen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2">
    <w:name w:val="Grid Table 7 Colorful - Accent 2"/>
    <w:basedOn w:val="TableNormal"/>
    <w:uiPriority w:val="99"/>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pPr>
        <w:snapToGrid/>
      </w:pPr>
      <w:rPr>
        <w:rFonts w:ascii="Arial" w:hAnsi="Arial"/>
        <w:b/>
        <w:color w:val="F2AA85" w:themeColor="accent2" w:themeShade="95" w:themeTint="97"/>
        <w:sz w:val="22"/>
      </w:rPr>
      <w:tblPr/>
      <w:tcPr>
        <w:tcBorders>
          <w:top w:val="nil"/>
          <w:left w:val="nil"/>
          <w:bottom w:val="single" w:sz="4" w:space="0" w:color="F2AA85" w:themeColor="accent2" w:themeTint="97"/>
          <w:right w:val="nil"/>
        </w:tcBorders>
        <w:shd w:val="clear" w:color="FFFFFF" w:fill="FFFFFF" w:themeFill="light1"/>
      </w:tcPr>
    </w:tblStylePr>
    <w:tblStylePr w:type="lastRow">
      <w:pPr>
        <w:snapToGrid/>
      </w:pPr>
      <w:rPr>
        <w:rFonts w:ascii="Arial" w:hAnsi="Arial"/>
        <w:b/>
        <w:color w:val="F2AA85" w:themeColor="accent2" w:themeShade="95" w:themeTint="97"/>
        <w:sz w:val="22"/>
      </w:rPr>
      <w:tblPr/>
      <w:tcPr>
        <w:tcBorders>
          <w:top w:val="single" w:sz="4" w:space="0" w:color="F2AA85" w:themeColor="accent2" w:themeTint="97"/>
          <w:left w:val="nil"/>
          <w:bottom w:val="nil"/>
          <w:right w:val="nil"/>
        </w:tcBorders>
        <w:shd w:val="clear" w:color="FFFFFF" w:fill="FFFFFF" w:themeFill="light1"/>
      </w:tcPr>
    </w:tblStylePr>
    <w:tblStylePr w:type="firstCol">
      <w:pPr>
        <w:snapToGrid/>
        <w:jc w:val="right"/>
      </w:pPr>
      <w:rPr>
        <w:rFonts w:ascii="Arial" w:hAnsi="Arial"/>
        <w:i/>
        <w:color w:val="F2AA85" w:themeColor="accent2" w:themeShade="95" w:themeTint="97"/>
        <w:sz w:val="22"/>
      </w:rPr>
      <w:tblPr/>
      <w:tcPr>
        <w:tcBorders>
          <w:top w:val="nil"/>
          <w:left w:val="nil"/>
          <w:bottom w:val="nil"/>
          <w:right w:val="single" w:sz="4" w:space="0" w:color="F2AA85" w:themeColor="accent2" w:themeTint="97"/>
        </w:tcBorders>
        <w:shd w:val="clear" w:color="FFFFFF" w:fill="FFFFFF"/>
      </w:tcPr>
    </w:tblStylePr>
    <w:tblStylePr w:type="lastCol">
      <w:pPr>
        <w:snapToGrid/>
      </w:pPr>
      <w:rPr>
        <w:rFonts w:ascii="Arial" w:hAnsi="Arial"/>
        <w:i/>
        <w:color w:val="F2AA85" w:themeColor="accent2" w:themeShade="95" w:themeTint="97"/>
        <w:sz w:val="22"/>
      </w:rPr>
      <w:tblPr/>
      <w:tcPr>
        <w:tcBorders>
          <w:top w:val="nil"/>
          <w:left w:val="single" w:sz="4" w:space="0" w:color="F2AA85" w:themeColor="accent2" w:themeTint="97"/>
          <w:bottom w:val="nil"/>
          <w:right w:val="nil"/>
        </w:tcBorders>
        <w:shd w:val="clear" w:color="FFFFFF" w:fill="FFFFFF"/>
      </w:tcPr>
    </w:tblStylePr>
    <w:tblStylePr w:type="band1Vert">
      <w:pPr>
        <w:snapToGrid/>
      </w:pPr>
      <w:tblPr/>
      <w:tcPr>
        <w:shd w:val="clear" w:color="FBE5D6" w:fill="FAE2D6" w:themeFill="accent2" w:themeFillTint="32"/>
      </w:tcPr>
    </w:tblStylePr>
    <w:tblStylePr w:type="band2Vert">
      <w:pPr>
        <w:snapToGrid/>
      </w:pPr>
    </w:tblStylePr>
    <w:tblStylePr w:type="band1Horz">
      <w:pPr>
        <w:snapToGrid/>
      </w:pPr>
      <w:rPr>
        <w:rFonts w:ascii="Arial" w:hAnsi="Arial"/>
        <w:color w:val="F2AA85" w:themeColor="accent2" w:themeShade="95" w:themeTint="97"/>
        <w:sz w:val="22"/>
      </w:rPr>
      <w:tblPr/>
      <w:tcPr>
        <w:shd w:val="clear" w:color="FBE5D6" w:fill="FAE2D6" w:themeFill="accent2" w:themeFillTint="32"/>
      </w:tcPr>
    </w:tblStylePr>
    <w:tblStylePr w:type="band2Horz">
      <w:pPr>
        <w:snapToGrid/>
      </w:pPr>
      <w:rPr>
        <w:rFonts w:ascii="Arial" w:hAnsi="Arial"/>
        <w:color w:val="F2AA8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3">
    <w:name w:val="Grid Table 7 Colorful - Accent 3"/>
    <w:basedOn w:val="TableNormal"/>
    <w:uiPriority w:val="99"/>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pPr>
        <w:snapToGrid/>
      </w:pPr>
      <w:rPr>
        <w:rFonts w:ascii="Arial" w:hAnsi="Arial"/>
        <w:b/>
        <w:color w:val="196C24" w:themeColor="accent3" w:themeShade="95" w:themeTint="FE"/>
        <w:sz w:val="22"/>
      </w:rPr>
      <w:tblPr/>
      <w:tcPr>
        <w:tcBorders>
          <w:top w:val="nil"/>
          <w:left w:val="nil"/>
          <w:bottom w:val="single" w:sz="4" w:space="0" w:color="196C24" w:themeColor="accent3" w:themeTint="FE"/>
          <w:right w:val="nil"/>
        </w:tcBorders>
        <w:shd w:val="clear" w:color="FFFFFF" w:fill="FFFFFF" w:themeFill="light1"/>
      </w:tcPr>
    </w:tblStylePr>
    <w:tblStylePr w:type="lastRow">
      <w:pPr>
        <w:snapToGrid/>
      </w:pPr>
      <w:rPr>
        <w:rFonts w:ascii="Arial" w:hAnsi="Arial"/>
        <w:b/>
        <w:color w:val="196C24" w:themeColor="accent3" w:themeShade="95" w:themeTint="FE"/>
        <w:sz w:val="22"/>
      </w:rPr>
      <w:tblPr/>
      <w:tcPr>
        <w:tcBorders>
          <w:top w:val="single" w:sz="4" w:space="0" w:color="196C24" w:themeColor="accent3" w:themeTint="FE"/>
          <w:left w:val="nil"/>
          <w:bottom w:val="nil"/>
          <w:right w:val="nil"/>
        </w:tcBorders>
        <w:shd w:val="clear" w:color="FFFFFF" w:fill="FFFFFF" w:themeFill="light1"/>
      </w:tcPr>
    </w:tblStylePr>
    <w:tblStylePr w:type="firstCol">
      <w:pPr>
        <w:snapToGrid/>
        <w:jc w:val="right"/>
      </w:pPr>
      <w:rPr>
        <w:rFonts w:ascii="Arial" w:hAnsi="Arial"/>
        <w:i/>
        <w:color w:val="196C24" w:themeColor="accent3" w:themeShade="95" w:themeTint="FE"/>
        <w:sz w:val="22"/>
      </w:rPr>
      <w:tblPr/>
      <w:tcPr>
        <w:tcBorders>
          <w:top w:val="nil"/>
          <w:left w:val="nil"/>
          <w:bottom w:val="nil"/>
          <w:right w:val="single" w:sz="4" w:space="0" w:color="196C24" w:themeColor="accent3" w:themeTint="FE"/>
        </w:tcBorders>
        <w:shd w:val="clear" w:color="FFFFFF" w:fill="FFFFFF"/>
      </w:tcPr>
    </w:tblStylePr>
    <w:tblStylePr w:type="lastCol">
      <w:pPr>
        <w:snapToGrid/>
      </w:pPr>
      <w:rPr>
        <w:rFonts w:ascii="Arial" w:hAnsi="Arial"/>
        <w:i/>
        <w:color w:val="196C24" w:themeColor="accent3" w:themeShade="95" w:themeTint="FE"/>
        <w:sz w:val="22"/>
      </w:rPr>
      <w:tblPr/>
      <w:tcPr>
        <w:tcBorders>
          <w:top w:val="nil"/>
          <w:left w:val="single" w:sz="4" w:space="0" w:color="196C24" w:themeColor="accent3" w:themeTint="FE"/>
          <w:bottom w:val="nil"/>
          <w:right w:val="nil"/>
        </w:tcBorders>
        <w:shd w:val="clear" w:color="FFFFFF" w:fill="FFFFFF"/>
      </w:tcPr>
    </w:tblStylePr>
    <w:tblStylePr w:type="band1Vert">
      <w:pPr>
        <w:snapToGrid/>
      </w:pPr>
      <w:tblPr/>
      <w:tcPr>
        <w:shd w:val="clear" w:color="ECECEC" w:fill="C0F0C6" w:themeFill="accent3" w:themeFillTint="34"/>
      </w:tcPr>
    </w:tblStylePr>
    <w:tblStylePr w:type="band2Vert">
      <w:pPr>
        <w:snapToGrid/>
      </w:pPr>
    </w:tblStylePr>
    <w:tblStylePr w:type="band1Horz">
      <w:pPr>
        <w:snapToGrid/>
      </w:pPr>
      <w:rPr>
        <w:rFonts w:ascii="Arial" w:hAnsi="Arial"/>
        <w:color w:val="196C24" w:themeColor="accent3" w:themeShade="95" w:themeTint="FE"/>
        <w:sz w:val="22"/>
      </w:rPr>
      <w:tblPr/>
      <w:tcPr>
        <w:shd w:val="clear" w:color="ECECEC" w:fill="C0F0C6" w:themeFill="accent3" w:themeFillTint="34"/>
      </w:tcPr>
    </w:tblStylePr>
    <w:tblStylePr w:type="band2Horz">
      <w:pPr>
        <w:snapToGrid/>
      </w:pPr>
      <w:rPr>
        <w:rFonts w:ascii="Arial" w:hAnsi="Arial"/>
        <w:color w:val="196C24" w:themeColor="accent3" w:themeShade="95" w:themeTint="F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4">
    <w:name w:val="Grid Table 7 Colorful - Accent 4"/>
    <w:basedOn w:val="TableNormal"/>
    <w:uiPriority w:val="99"/>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pPr>
        <w:snapToGrid/>
      </w:pPr>
      <w:rPr>
        <w:rFonts w:ascii="Arial" w:hAnsi="Arial"/>
        <w:b/>
        <w:color w:val="5FCAF3" w:themeColor="accent4" w:themeShade="95" w:themeTint="9A"/>
        <w:sz w:val="22"/>
      </w:rPr>
      <w:tblPr/>
      <w:tcPr>
        <w:tcBorders>
          <w:top w:val="nil"/>
          <w:left w:val="nil"/>
          <w:bottom w:val="single" w:sz="4" w:space="0" w:color="5FCAF3" w:themeColor="accent4" w:themeTint="9A"/>
          <w:right w:val="nil"/>
        </w:tcBorders>
        <w:shd w:val="clear" w:color="FFFFFF" w:fill="FFFFFF" w:themeFill="light1"/>
      </w:tcPr>
    </w:tblStylePr>
    <w:tblStylePr w:type="lastRow">
      <w:pPr>
        <w:snapToGrid/>
      </w:pPr>
      <w:rPr>
        <w:rFonts w:ascii="Arial" w:hAnsi="Arial"/>
        <w:b/>
        <w:color w:val="5FCAF3" w:themeColor="accent4" w:themeShade="95" w:themeTint="9A"/>
        <w:sz w:val="22"/>
      </w:rPr>
      <w:tblPr/>
      <w:tcPr>
        <w:tcBorders>
          <w:top w:val="single" w:sz="4" w:space="0" w:color="5FCAF3" w:themeColor="accent4" w:themeTint="9A"/>
          <w:left w:val="nil"/>
          <w:bottom w:val="nil"/>
          <w:right w:val="nil"/>
        </w:tcBorders>
        <w:shd w:val="clear" w:color="FFFFFF" w:fill="FFFFFF" w:themeFill="light1"/>
      </w:tcPr>
    </w:tblStylePr>
    <w:tblStylePr w:type="firstCol">
      <w:pPr>
        <w:snapToGrid/>
        <w:jc w:val="right"/>
      </w:pPr>
      <w:rPr>
        <w:rFonts w:ascii="Arial" w:hAnsi="Arial"/>
        <w:i/>
        <w:color w:val="5FCAF3" w:themeColor="accent4" w:themeShade="95" w:themeTint="9A"/>
        <w:sz w:val="22"/>
      </w:rPr>
      <w:tblPr/>
      <w:tcPr>
        <w:tcBorders>
          <w:top w:val="nil"/>
          <w:left w:val="nil"/>
          <w:bottom w:val="nil"/>
          <w:right w:val="single" w:sz="4" w:space="0" w:color="5FCAF3" w:themeColor="accent4" w:themeTint="9A"/>
        </w:tcBorders>
        <w:shd w:val="clear" w:color="FFFFFF" w:fill="FFFFFF"/>
      </w:tcPr>
    </w:tblStylePr>
    <w:tblStylePr w:type="lastCol">
      <w:pPr>
        <w:snapToGrid/>
      </w:pPr>
      <w:rPr>
        <w:rFonts w:ascii="Arial" w:hAnsi="Arial"/>
        <w:i/>
        <w:color w:val="5FCAF3" w:themeColor="accent4" w:themeShade="95" w:themeTint="9A"/>
        <w:sz w:val="22"/>
      </w:rPr>
      <w:tblPr/>
      <w:tcPr>
        <w:tcBorders>
          <w:top w:val="nil"/>
          <w:left w:val="single" w:sz="4" w:space="0" w:color="5FCAF3" w:themeColor="accent4" w:themeTint="9A"/>
          <w:bottom w:val="nil"/>
          <w:right w:val="nil"/>
        </w:tcBorders>
        <w:shd w:val="clear" w:color="FFFFFF" w:fill="FFFFFF"/>
      </w:tcPr>
    </w:tblStylePr>
    <w:tblStylePr w:type="band1Vert">
      <w:pPr>
        <w:snapToGrid/>
      </w:pPr>
      <w:tblPr/>
      <w:tcPr>
        <w:shd w:val="clear" w:color="FFF2CB" w:fill="C9EDFB" w:themeFill="accent4" w:themeFillTint="34"/>
      </w:tcPr>
    </w:tblStylePr>
    <w:tblStylePr w:type="band2Vert">
      <w:pPr>
        <w:snapToGrid/>
      </w:pPr>
    </w:tblStylePr>
    <w:tblStylePr w:type="band1Horz">
      <w:pPr>
        <w:snapToGrid/>
      </w:pPr>
      <w:rPr>
        <w:rFonts w:ascii="Arial" w:hAnsi="Arial"/>
        <w:color w:val="5FCAF3" w:themeColor="accent4" w:themeShade="95" w:themeTint="9A"/>
        <w:sz w:val="22"/>
      </w:rPr>
      <w:tblPr/>
      <w:tcPr>
        <w:shd w:val="clear" w:color="FFF2CB" w:fill="C9EDFB" w:themeFill="accent4" w:themeFillTint="34"/>
      </w:tcPr>
    </w:tblStylePr>
    <w:tblStylePr w:type="band2Horz">
      <w:pPr>
        <w:snapToGrid/>
      </w:pPr>
      <w:rPr>
        <w:rFonts w:ascii="Arial" w:hAnsi="Arial"/>
        <w:color w:val="5FCAF3"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5">
    <w:name w:val="Grid Table 7 Colorful - Accent 5"/>
    <w:basedOn w:val="TableNormal"/>
    <w:uiPriority w:val="99"/>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pPr>
        <w:snapToGrid/>
      </w:pPr>
      <w:rPr>
        <w:rFonts w:ascii="Arial" w:hAnsi="Arial"/>
        <w:b/>
        <w:color w:val="5D1955" w:themeColor="accent5" w:themeShade="95"/>
        <w:sz w:val="22"/>
      </w:rPr>
      <w:tblPr/>
      <w:tcPr>
        <w:tcBorders>
          <w:top w:val="nil"/>
          <w:left w:val="nil"/>
          <w:bottom w:val="single" w:sz="4" w:space="0" w:color="DA76CE" w:themeColor="accent5" w:themeTint="90"/>
          <w:right w:val="nil"/>
        </w:tcBorders>
        <w:shd w:val="clear" w:color="FFFFFF" w:fill="FFFFFF" w:themeFill="light1"/>
      </w:tcPr>
    </w:tblStylePr>
    <w:tblStylePr w:type="lastRow">
      <w:pPr>
        <w:snapToGrid/>
      </w:pPr>
      <w:rPr>
        <w:rFonts w:ascii="Arial" w:hAnsi="Arial"/>
        <w:b/>
        <w:color w:val="5D1955" w:themeColor="accent5" w:themeShade="95"/>
        <w:sz w:val="22"/>
      </w:rPr>
      <w:tblPr/>
      <w:tcPr>
        <w:tcBorders>
          <w:top w:val="single" w:sz="4" w:space="0" w:color="DA76CE" w:themeColor="accent5" w:themeTint="90"/>
          <w:left w:val="nil"/>
          <w:bottom w:val="nil"/>
          <w:right w:val="nil"/>
        </w:tcBorders>
        <w:shd w:val="clear" w:color="FFFFFF" w:fill="FFFFFF" w:themeFill="light1"/>
      </w:tcPr>
    </w:tblStylePr>
    <w:tblStylePr w:type="firstCol">
      <w:pPr>
        <w:snapToGrid/>
        <w:jc w:val="right"/>
      </w:pPr>
      <w:rPr>
        <w:rFonts w:ascii="Arial" w:hAnsi="Arial"/>
        <w:i/>
        <w:color w:val="5D1955" w:themeColor="accent5" w:themeShade="95"/>
        <w:sz w:val="22"/>
      </w:rPr>
      <w:tblPr/>
      <w:tcPr>
        <w:tcBorders>
          <w:top w:val="nil"/>
          <w:left w:val="nil"/>
          <w:bottom w:val="nil"/>
          <w:right w:val="single" w:sz="4" w:space="0" w:color="DA76CE" w:themeColor="accent5" w:themeTint="90"/>
        </w:tcBorders>
        <w:shd w:val="clear" w:color="FFFFFF" w:fill="FFFFFF"/>
      </w:tcPr>
    </w:tblStylePr>
    <w:tblStylePr w:type="lastCol">
      <w:pPr>
        <w:snapToGrid/>
      </w:pPr>
      <w:rPr>
        <w:rFonts w:ascii="Arial" w:hAnsi="Arial"/>
        <w:i/>
        <w:color w:val="5D1955" w:themeColor="accent5" w:themeShade="95"/>
        <w:sz w:val="22"/>
      </w:rPr>
      <w:tblPr/>
      <w:tcPr>
        <w:tcBorders>
          <w:top w:val="nil"/>
          <w:left w:val="single" w:sz="4" w:space="0" w:color="DA76CE" w:themeColor="accent5" w:themeTint="90"/>
          <w:bottom w:val="nil"/>
          <w:right w:val="nil"/>
        </w:tcBorders>
        <w:shd w:val="clear" w:color="FFFFFF" w:fill="FFFFFF"/>
      </w:tcPr>
    </w:tblStylePr>
    <w:tblStylePr w:type="band1Vert">
      <w:pPr>
        <w:snapToGrid/>
      </w:pPr>
      <w:tblPr/>
      <w:tcPr>
        <w:shd w:val="clear" w:color="D8E2F3" w:fill="F1CDED" w:themeFill="accent5" w:themeFillTint="34"/>
      </w:tcPr>
    </w:tblStylePr>
    <w:tblStylePr w:type="band2Vert">
      <w:pPr>
        <w:snapToGrid/>
      </w:pPr>
    </w:tblStylePr>
    <w:tblStylePr w:type="band1Horz">
      <w:pPr>
        <w:snapToGrid/>
      </w:pPr>
      <w:rPr>
        <w:rFonts w:ascii="Arial" w:hAnsi="Arial"/>
        <w:color w:val="5D1955" w:themeColor="accent5" w:themeShade="95"/>
        <w:sz w:val="22"/>
      </w:rPr>
      <w:tblPr/>
      <w:tcPr>
        <w:shd w:val="clear" w:color="D8E2F3" w:fill="F1CDED" w:themeFill="accent5" w:themeFillTint="34"/>
      </w:tcPr>
    </w:tblStylePr>
    <w:tblStylePr w:type="band2Horz">
      <w:pPr>
        <w:snapToGrid/>
      </w:pPr>
      <w:rPr>
        <w:rFonts w:ascii="Arial" w:hAnsi="Arial"/>
        <w:color w:val="5D1955"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6">
    <w:name w:val="Grid Table 7 Colorful - Accent 6"/>
    <w:basedOn w:val="TableNormal"/>
    <w:uiPriority w:val="99"/>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pPr>
        <w:snapToGrid/>
      </w:pPr>
      <w:rPr>
        <w:rFonts w:ascii="Arial" w:hAnsi="Arial"/>
        <w:b/>
        <w:color w:val="2D611B" w:themeColor="accent6" w:themeShade="95"/>
        <w:sz w:val="22"/>
      </w:rPr>
      <w:tblPr/>
      <w:tcPr>
        <w:tcBorders>
          <w:top w:val="nil"/>
          <w:left w:val="nil"/>
          <w:bottom w:val="single" w:sz="4" w:space="0" w:color="94DA7B" w:themeColor="accent6" w:themeTint="90"/>
          <w:right w:val="nil"/>
        </w:tcBorders>
        <w:shd w:val="clear" w:color="FFFFFF" w:fill="FFFFFF" w:themeFill="light1"/>
      </w:tcPr>
    </w:tblStylePr>
    <w:tblStylePr w:type="lastRow">
      <w:pPr>
        <w:snapToGrid/>
      </w:pPr>
      <w:rPr>
        <w:rFonts w:ascii="Arial" w:hAnsi="Arial"/>
        <w:b/>
        <w:color w:val="2D611B" w:themeColor="accent6" w:themeShade="95"/>
        <w:sz w:val="22"/>
      </w:rPr>
      <w:tblPr/>
      <w:tcPr>
        <w:tcBorders>
          <w:top w:val="single" w:sz="4" w:space="0" w:color="94DA7B" w:themeColor="accent6" w:themeTint="90"/>
          <w:left w:val="nil"/>
          <w:bottom w:val="nil"/>
          <w:right w:val="nil"/>
        </w:tcBorders>
        <w:shd w:val="clear" w:color="FFFFFF" w:fill="FFFFFF" w:themeFill="light1"/>
      </w:tcPr>
    </w:tblStylePr>
    <w:tblStylePr w:type="firstCol">
      <w:pPr>
        <w:snapToGrid/>
        <w:jc w:val="right"/>
      </w:pPr>
      <w:rPr>
        <w:rFonts w:ascii="Arial" w:hAnsi="Arial"/>
        <w:i/>
        <w:color w:val="2D611B" w:themeColor="accent6" w:themeShade="95"/>
        <w:sz w:val="22"/>
      </w:rPr>
      <w:tblPr/>
      <w:tcPr>
        <w:tcBorders>
          <w:top w:val="nil"/>
          <w:left w:val="nil"/>
          <w:bottom w:val="nil"/>
          <w:right w:val="single" w:sz="4" w:space="0" w:color="94DA7B" w:themeColor="accent6" w:themeTint="90"/>
        </w:tcBorders>
        <w:shd w:val="clear" w:color="FFFFFF" w:fill="FFFFFF"/>
      </w:tcPr>
    </w:tblStylePr>
    <w:tblStylePr w:type="lastCol">
      <w:pPr>
        <w:snapToGrid/>
      </w:pPr>
      <w:rPr>
        <w:rFonts w:ascii="Arial" w:hAnsi="Arial"/>
        <w:i/>
        <w:color w:val="2D611B" w:themeColor="accent6" w:themeShade="95"/>
        <w:sz w:val="22"/>
      </w:rPr>
      <w:tblPr/>
      <w:tcPr>
        <w:tcBorders>
          <w:top w:val="nil"/>
          <w:left w:val="single" w:sz="4" w:space="0" w:color="94DA7B" w:themeColor="accent6" w:themeTint="90"/>
          <w:bottom w:val="nil"/>
          <w:right w:val="nil"/>
        </w:tcBorders>
        <w:shd w:val="clear" w:color="FFFFFF" w:fill="FFFFFF"/>
      </w:tcPr>
    </w:tblStylePr>
    <w:tblStylePr w:type="band1Vert">
      <w:pPr>
        <w:snapToGrid/>
      </w:pPr>
      <w:tblPr/>
      <w:tcPr>
        <w:shd w:val="clear" w:color="E1EFD8" w:fill="D8F2CF" w:themeFill="accent6" w:themeFillTint="34"/>
      </w:tcPr>
    </w:tblStylePr>
    <w:tblStylePr w:type="band2Vert">
      <w:pPr>
        <w:snapToGrid/>
      </w:pPr>
    </w:tblStylePr>
    <w:tblStylePr w:type="band1Horz">
      <w:pPr>
        <w:snapToGrid/>
      </w:pPr>
      <w:rPr>
        <w:rFonts w:ascii="Arial" w:hAnsi="Arial"/>
        <w:color w:val="2D611B" w:themeColor="accent6" w:themeShade="95"/>
        <w:sz w:val="22"/>
      </w:rPr>
      <w:tblPr/>
      <w:tcPr>
        <w:shd w:val="clear" w:color="E1EFD8" w:fill="D8F2CF" w:themeFill="accent6" w:themeFillTint="34"/>
      </w:tcPr>
    </w:tblStylePr>
    <w:tblStylePr w:type="band2Horz">
      <w:pPr>
        <w:snapToGrid/>
      </w:pPr>
      <w:rPr>
        <w:rFonts w:ascii="Arial" w:hAnsi="Arial"/>
        <w:color w:val="2D611B" w:themeColor="accent6"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1Light">
    <w:name w:val="List Table 1 Light"/>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1">
    <w:name w:val="List Table 1 Light - Accent 1"/>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156082" w:themeColor="accent1"/>
          <w:right w:val="nil"/>
        </w:tcBorders>
      </w:tcPr>
    </w:tblStylePr>
    <w:tblStylePr w:type="lastRow">
      <w:pPr>
        <w:snapToGrid/>
      </w:pPr>
      <w:rPr>
        <w:b/>
        <w:color w:val="404040"/>
      </w:rPr>
      <w:tblPr/>
      <w:tcPr>
        <w:tcBorders>
          <w:top w:val="single" w:sz="4" w:space="0" w:color="156082" w:themeColor="accen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5E5F4" w:fill="B1DEF2" w:themeFill="accent1" w:themeFillTint="40"/>
      </w:tcPr>
    </w:tblStylePr>
    <w:tblStylePr w:type="band2Vert">
      <w:pPr>
        <w:snapToGrid/>
      </w:pPr>
    </w:tblStylePr>
    <w:tblStylePr w:type="band1Horz">
      <w:pPr>
        <w:snapToGrid/>
      </w:pPr>
      <w:tblPr/>
      <w:tcPr>
        <w:shd w:val="clear" w:color="D5E5F4" w:fill="B1DEF2"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2">
    <w:name w:val="List Table 1 Light - Accent 2"/>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E97132" w:themeColor="accent2"/>
          <w:right w:val="nil"/>
        </w:tcBorders>
      </w:tcPr>
    </w:tblStylePr>
    <w:tblStylePr w:type="lastRow">
      <w:pPr>
        <w:snapToGrid/>
      </w:pPr>
      <w:rPr>
        <w:b/>
        <w:color w:val="404040"/>
      </w:rPr>
      <w:tblPr/>
      <w:tcPr>
        <w:tcBorders>
          <w:top w:val="single" w:sz="4" w:space="0" w:color="E97132" w:themeColor="accent2"/>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ADECB" w:fill="F9DBCB" w:themeFill="accent2" w:themeFillTint="40"/>
      </w:tcPr>
    </w:tblStylePr>
    <w:tblStylePr w:type="band2Vert">
      <w:pPr>
        <w:snapToGrid/>
      </w:pPr>
    </w:tblStylePr>
    <w:tblStylePr w:type="band1Horz">
      <w:pPr>
        <w:snapToGrid/>
      </w:pPr>
      <w:tblPr/>
      <w:tcPr>
        <w:shd w:val="clear" w:color="FADECB" w:fill="F9DB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3">
    <w:name w:val="List Table 1 Light - Accent 3"/>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196B24" w:themeColor="accent3"/>
          <w:right w:val="nil"/>
        </w:tcBorders>
      </w:tcPr>
    </w:tblStylePr>
    <w:tblStylePr w:type="lastRow">
      <w:pPr>
        <w:snapToGrid/>
      </w:pPr>
      <w:rPr>
        <w:b/>
        <w:color w:val="404040"/>
      </w:rPr>
      <w:tblPr/>
      <w:tcPr>
        <w:tcBorders>
          <w:top w:val="single" w:sz="4" w:space="0" w:color="196B24" w:themeColor="accent3"/>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E8E8E8" w:fill="B2EDB9" w:themeFill="accent3" w:themeFillTint="40"/>
      </w:tcPr>
    </w:tblStylePr>
    <w:tblStylePr w:type="band2Vert">
      <w:pPr>
        <w:snapToGrid/>
      </w:pPr>
    </w:tblStylePr>
    <w:tblStylePr w:type="band1Horz">
      <w:pPr>
        <w:snapToGrid/>
      </w:pPr>
      <w:tblPr/>
      <w:tcPr>
        <w:shd w:val="clear" w:color="E8E8E8" w:fill="B2EDB9"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4">
    <w:name w:val="List Table 1 Light - Accent 4"/>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0F9ED5" w:themeColor="accent4"/>
          <w:right w:val="nil"/>
        </w:tcBorders>
      </w:tcPr>
    </w:tblStylePr>
    <w:tblStylePr w:type="lastRow">
      <w:pPr>
        <w:snapToGrid/>
      </w:pPr>
      <w:rPr>
        <w:b/>
        <w:color w:val="404040"/>
      </w:rPr>
      <w:tblPr/>
      <w:tcPr>
        <w:tcBorders>
          <w:top w:val="single" w:sz="4" w:space="0" w:color="0F9ED5" w:themeColor="accent4"/>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EFBF" w:fill="BCE9FA" w:themeFill="accent4" w:themeFillTint="40"/>
      </w:tcPr>
    </w:tblStylePr>
    <w:tblStylePr w:type="band2Vert">
      <w:pPr>
        <w:snapToGrid/>
      </w:pPr>
    </w:tblStylePr>
    <w:tblStylePr w:type="band1Horz">
      <w:pPr>
        <w:snapToGrid/>
      </w:pPr>
      <w:tblPr/>
      <w:tcPr>
        <w:shd w:val="clear" w:color="FFEFBF" w:fill="BCE9FA"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5">
    <w:name w:val="List Table 1 Light - Accent 5"/>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A02B93" w:themeColor="accent5"/>
          <w:right w:val="nil"/>
        </w:tcBorders>
      </w:tcPr>
    </w:tblStylePr>
    <w:tblStylePr w:type="lastRow">
      <w:pPr>
        <w:snapToGrid/>
      </w:pPr>
      <w:rPr>
        <w:b/>
        <w:color w:val="404040"/>
      </w:rPr>
      <w:tblPr/>
      <w:tcPr>
        <w:tcBorders>
          <w:top w:val="single" w:sz="4" w:space="0" w:color="A02B93" w:themeColor="accent5"/>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CFDBF0" w:fill="EEC2E9" w:themeFill="accent5" w:themeFillTint="40"/>
      </w:tcPr>
    </w:tblStylePr>
    <w:tblStylePr w:type="band2Vert">
      <w:pPr>
        <w:snapToGrid/>
      </w:pPr>
    </w:tblStylePr>
    <w:tblStylePr w:type="band1Horz">
      <w:pPr>
        <w:snapToGrid/>
      </w:pPr>
      <w:tblPr/>
      <w:tcPr>
        <w:shd w:val="clear" w:color="CFDBF0" w:fill="EEC2E9"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6">
    <w:name w:val="List Table 1 Light - Accent 6"/>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4EA72E" w:themeColor="accent6"/>
          <w:right w:val="nil"/>
        </w:tcBorders>
      </w:tcPr>
    </w:tblStylePr>
    <w:tblStylePr w:type="lastRow">
      <w:pPr>
        <w:snapToGrid/>
      </w:pPr>
      <w:rPr>
        <w:b/>
        <w:color w:val="404040"/>
      </w:rPr>
      <w:tblPr/>
      <w:tcPr>
        <w:tcBorders>
          <w:top w:val="single" w:sz="4" w:space="0" w:color="4EA72E" w:themeColor="accent6"/>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AEBCF" w:fill="CFEFC4" w:themeFill="accent6" w:themeFillTint="40"/>
      </w:tcPr>
    </w:tblStylePr>
    <w:tblStylePr w:type="band2Vert">
      <w:pPr>
        <w:snapToGrid/>
      </w:pPr>
    </w:tblStylePr>
    <w:tblStylePr w:type="band1Horz">
      <w:pPr>
        <w:snapToGrid/>
      </w:pPr>
      <w:tblPr/>
      <w:tcPr>
        <w:shd w:val="clear" w:color="DAEBCF" w:fill="CFEFC4"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1">
    <w:name w:val="List Table 2 - Accent 1"/>
    <w:basedOn w:val="TableNormal"/>
    <w:uiPriority w:val="99"/>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pPr>
        <w:snapToGrid/>
      </w:pPr>
      <w:rPr>
        <w:rFonts w:ascii="Arial" w:hAnsi="Arial"/>
        <w:b/>
        <w:color w:val="404040"/>
        <w:sz w:val="22"/>
      </w:rPr>
      <w:tblPr/>
      <w:tcPr>
        <w:tcBorders>
          <w:top w:val="single" w:sz="4" w:space="0" w:color="50B4E2" w:themeColor="accent1" w:themeTint="90"/>
          <w:left w:val="nil"/>
          <w:bottom w:val="single" w:sz="4" w:space="0" w:color="50B4E2" w:themeColor="accent1" w:themeTint="90"/>
          <w:right w:val="nil"/>
        </w:tcBorders>
      </w:tcPr>
    </w:tblStylePr>
    <w:tblStylePr w:type="lastRow">
      <w:pPr>
        <w:snapToGrid/>
      </w:pPr>
      <w:rPr>
        <w:rFonts w:ascii="Arial" w:hAnsi="Arial"/>
        <w:b/>
        <w:color w:val="404040"/>
        <w:sz w:val="22"/>
      </w:rPr>
      <w:tblPr/>
      <w:tcPr>
        <w:tcBorders>
          <w:top w:val="single" w:sz="4" w:space="0" w:color="50B4E2" w:themeColor="accent1" w:themeTint="90"/>
          <w:left w:val="nil"/>
          <w:bottom w:val="single" w:sz="4" w:space="0" w:color="50B4E2" w:themeColor="accen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5E5F4" w:fill="B1DEF2" w:themeFill="accent1" w:themeFillTint="40"/>
      </w:tcPr>
    </w:tblStylePr>
    <w:tblStylePr w:type="band2Vert">
      <w:pPr>
        <w:snapToGrid/>
      </w:pPr>
    </w:tblStylePr>
    <w:tblStylePr w:type="band1Horz">
      <w:pPr>
        <w:snapToGrid/>
      </w:pPr>
      <w:rPr>
        <w:rFonts w:ascii="Arial" w:hAnsi="Arial"/>
        <w:color w:val="404040"/>
        <w:sz w:val="22"/>
      </w:rPr>
      <w:tblPr/>
      <w:tcPr>
        <w:shd w:val="clear" w:color="D5E5F4" w:fill="B1DEF2"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2">
    <w:name w:val="List Table 2 - Accent 2"/>
    <w:basedOn w:val="TableNormal"/>
    <w:uiPriority w:val="99"/>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pPr>
        <w:snapToGrid/>
      </w:pPr>
      <w:rPr>
        <w:rFonts w:ascii="Arial" w:hAnsi="Arial"/>
        <w:b/>
        <w:color w:val="404040"/>
        <w:sz w:val="22"/>
      </w:rPr>
      <w:tblPr/>
      <w:tcPr>
        <w:tcBorders>
          <w:top w:val="single" w:sz="4" w:space="0" w:color="F2AE8B" w:themeColor="accent2" w:themeTint="90"/>
          <w:left w:val="nil"/>
          <w:bottom w:val="single" w:sz="4" w:space="0" w:color="F2AE8B" w:themeColor="accent2" w:themeTint="90"/>
          <w:right w:val="nil"/>
        </w:tcBorders>
      </w:tcPr>
    </w:tblStylePr>
    <w:tblStylePr w:type="lastRow">
      <w:pPr>
        <w:snapToGrid/>
      </w:pPr>
      <w:rPr>
        <w:rFonts w:ascii="Arial" w:hAnsi="Arial"/>
        <w:b/>
        <w:color w:val="404040"/>
        <w:sz w:val="22"/>
      </w:rPr>
      <w:tblPr/>
      <w:tcPr>
        <w:tcBorders>
          <w:top w:val="single" w:sz="4" w:space="0" w:color="F2AE8B" w:themeColor="accent2" w:themeTint="90"/>
          <w:left w:val="nil"/>
          <w:bottom w:val="single" w:sz="4" w:space="0" w:color="F2AE8B" w:themeColor="accent2"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ADECB" w:fill="F9DBCB" w:themeFill="accent2" w:themeFillTint="40"/>
      </w:tcPr>
    </w:tblStylePr>
    <w:tblStylePr w:type="band2Vert">
      <w:pPr>
        <w:snapToGrid/>
      </w:pPr>
    </w:tblStylePr>
    <w:tblStylePr w:type="band1Horz">
      <w:pPr>
        <w:snapToGrid/>
      </w:pPr>
      <w:rPr>
        <w:rFonts w:ascii="Arial" w:hAnsi="Arial"/>
        <w:color w:val="404040"/>
        <w:sz w:val="22"/>
      </w:rPr>
      <w:tblPr/>
      <w:tcPr>
        <w:shd w:val="clear" w:color="FADECB" w:fill="F9DB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3">
    <w:name w:val="List Table 2 - Accent 3"/>
    <w:basedOn w:val="TableNormal"/>
    <w:uiPriority w:val="99"/>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pPr>
        <w:snapToGrid/>
      </w:pPr>
      <w:rPr>
        <w:rFonts w:ascii="Arial" w:hAnsi="Arial"/>
        <w:b/>
        <w:color w:val="404040"/>
        <w:sz w:val="22"/>
      </w:rPr>
      <w:tblPr/>
      <w:tcPr>
        <w:tcBorders>
          <w:top w:val="single" w:sz="4" w:space="0" w:color="51D663" w:themeColor="accent3" w:themeTint="90"/>
          <w:left w:val="nil"/>
          <w:bottom w:val="single" w:sz="4" w:space="0" w:color="51D663" w:themeColor="accent3" w:themeTint="90"/>
          <w:right w:val="nil"/>
        </w:tcBorders>
      </w:tcPr>
    </w:tblStylePr>
    <w:tblStylePr w:type="lastRow">
      <w:pPr>
        <w:snapToGrid/>
      </w:pPr>
      <w:rPr>
        <w:rFonts w:ascii="Arial" w:hAnsi="Arial"/>
        <w:b/>
        <w:color w:val="404040"/>
        <w:sz w:val="22"/>
      </w:rPr>
      <w:tblPr/>
      <w:tcPr>
        <w:tcBorders>
          <w:top w:val="single" w:sz="4" w:space="0" w:color="51D663" w:themeColor="accent3" w:themeTint="90"/>
          <w:left w:val="nil"/>
          <w:bottom w:val="single" w:sz="4" w:space="0" w:color="51D663" w:themeColor="accent3"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E8E8E8" w:fill="B2EDB9" w:themeFill="accent3" w:themeFillTint="40"/>
      </w:tcPr>
    </w:tblStylePr>
    <w:tblStylePr w:type="band2Vert">
      <w:pPr>
        <w:snapToGrid/>
      </w:pPr>
    </w:tblStylePr>
    <w:tblStylePr w:type="band1Horz">
      <w:pPr>
        <w:snapToGrid/>
      </w:pPr>
      <w:rPr>
        <w:rFonts w:ascii="Arial" w:hAnsi="Arial"/>
        <w:color w:val="404040"/>
        <w:sz w:val="22"/>
      </w:rPr>
      <w:tblPr/>
      <w:tcPr>
        <w:shd w:val="clear" w:color="E8E8E8" w:fill="B2EDB9"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4">
    <w:name w:val="List Table 2 - Accent 4"/>
    <w:basedOn w:val="TableNormal"/>
    <w:uiPriority w:val="99"/>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pPr>
        <w:snapToGrid/>
      </w:pPr>
      <w:rPr>
        <w:rFonts w:ascii="Arial" w:hAnsi="Arial"/>
        <w:b/>
        <w:color w:val="404040"/>
        <w:sz w:val="22"/>
      </w:rPr>
      <w:tblPr/>
      <w:tcPr>
        <w:tcBorders>
          <w:top w:val="single" w:sz="4" w:space="0" w:color="6ACDF4" w:themeColor="accent4" w:themeTint="90"/>
          <w:left w:val="nil"/>
          <w:bottom w:val="single" w:sz="4" w:space="0" w:color="6ACDF4" w:themeColor="accent4" w:themeTint="90"/>
          <w:right w:val="nil"/>
        </w:tcBorders>
      </w:tcPr>
    </w:tblStylePr>
    <w:tblStylePr w:type="lastRow">
      <w:pPr>
        <w:snapToGrid/>
      </w:pPr>
      <w:rPr>
        <w:rFonts w:ascii="Arial" w:hAnsi="Arial"/>
        <w:b/>
        <w:color w:val="404040"/>
        <w:sz w:val="22"/>
      </w:rPr>
      <w:tblPr/>
      <w:tcPr>
        <w:tcBorders>
          <w:top w:val="single" w:sz="4" w:space="0" w:color="6ACDF4" w:themeColor="accent4" w:themeTint="90"/>
          <w:left w:val="nil"/>
          <w:bottom w:val="single" w:sz="4" w:space="0" w:color="6ACDF4" w:themeColor="accent4"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EFBF" w:fill="BCE9FA" w:themeFill="accent4" w:themeFillTint="40"/>
      </w:tcPr>
    </w:tblStylePr>
    <w:tblStylePr w:type="band2Vert">
      <w:pPr>
        <w:snapToGrid/>
      </w:pPr>
    </w:tblStylePr>
    <w:tblStylePr w:type="band1Horz">
      <w:pPr>
        <w:snapToGrid/>
      </w:pPr>
      <w:rPr>
        <w:rFonts w:ascii="Arial" w:hAnsi="Arial"/>
        <w:color w:val="404040"/>
        <w:sz w:val="22"/>
      </w:rPr>
      <w:tblPr/>
      <w:tcPr>
        <w:shd w:val="clear" w:color="FFEFBF" w:fill="BCE9FA"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5">
    <w:name w:val="List Table 2 - Accent 5"/>
    <w:basedOn w:val="TableNormal"/>
    <w:uiPriority w:val="99"/>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pPr>
        <w:snapToGrid/>
      </w:pPr>
      <w:rPr>
        <w:rFonts w:ascii="Arial" w:hAnsi="Arial"/>
        <w:b/>
        <w:color w:val="404040"/>
        <w:sz w:val="22"/>
      </w:rPr>
      <w:tblPr/>
      <w:tcPr>
        <w:tcBorders>
          <w:top w:val="single" w:sz="4" w:space="0" w:color="DA76CE" w:themeColor="accent5" w:themeTint="90"/>
          <w:left w:val="nil"/>
          <w:bottom w:val="single" w:sz="4" w:space="0" w:color="DA76CE" w:themeColor="accent5" w:themeTint="90"/>
          <w:right w:val="nil"/>
        </w:tcBorders>
      </w:tcPr>
    </w:tblStylePr>
    <w:tblStylePr w:type="lastRow">
      <w:pPr>
        <w:snapToGrid/>
      </w:pPr>
      <w:rPr>
        <w:rFonts w:ascii="Arial" w:hAnsi="Arial"/>
        <w:b/>
        <w:color w:val="404040"/>
        <w:sz w:val="22"/>
      </w:rPr>
      <w:tblPr/>
      <w:tcPr>
        <w:tcBorders>
          <w:top w:val="single" w:sz="4" w:space="0" w:color="DA76CE" w:themeColor="accent5" w:themeTint="90"/>
          <w:left w:val="nil"/>
          <w:bottom w:val="single" w:sz="4" w:space="0" w:color="DA76CE" w:themeColor="accent5"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CFDBF0" w:fill="EEC2E9" w:themeFill="accent5" w:themeFillTint="40"/>
      </w:tcPr>
    </w:tblStylePr>
    <w:tblStylePr w:type="band2Vert">
      <w:pPr>
        <w:snapToGrid/>
      </w:pPr>
    </w:tblStylePr>
    <w:tblStylePr w:type="band1Horz">
      <w:pPr>
        <w:snapToGrid/>
      </w:pPr>
      <w:rPr>
        <w:rFonts w:ascii="Arial" w:hAnsi="Arial"/>
        <w:color w:val="404040"/>
        <w:sz w:val="22"/>
      </w:rPr>
      <w:tblPr/>
      <w:tcPr>
        <w:shd w:val="clear" w:color="CFDBF0" w:fill="EEC2E9"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6">
    <w:name w:val="List Table 2 - Accent 6"/>
    <w:basedOn w:val="TableNormal"/>
    <w:uiPriority w:val="99"/>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pPr>
        <w:snapToGrid/>
      </w:pPr>
      <w:rPr>
        <w:rFonts w:ascii="Arial" w:hAnsi="Arial"/>
        <w:b/>
        <w:color w:val="404040"/>
        <w:sz w:val="22"/>
      </w:rPr>
      <w:tblPr/>
      <w:tcPr>
        <w:tcBorders>
          <w:top w:val="single" w:sz="4" w:space="0" w:color="94DA7B" w:themeColor="accent6" w:themeTint="90"/>
          <w:left w:val="nil"/>
          <w:bottom w:val="single" w:sz="4" w:space="0" w:color="94DA7B" w:themeColor="accent6" w:themeTint="90"/>
          <w:right w:val="nil"/>
        </w:tcBorders>
      </w:tcPr>
    </w:tblStylePr>
    <w:tblStylePr w:type="lastRow">
      <w:pPr>
        <w:snapToGrid/>
      </w:pPr>
      <w:rPr>
        <w:rFonts w:ascii="Arial" w:hAnsi="Arial"/>
        <w:b/>
        <w:color w:val="404040"/>
        <w:sz w:val="22"/>
      </w:rPr>
      <w:tblPr/>
      <w:tcPr>
        <w:tcBorders>
          <w:top w:val="single" w:sz="4" w:space="0" w:color="94DA7B" w:themeColor="accent6" w:themeTint="90"/>
          <w:left w:val="nil"/>
          <w:bottom w:val="single" w:sz="4" w:space="0" w:color="94DA7B" w:themeColor="accent6"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AEBCF" w:fill="CFEFC4" w:themeFill="accent6" w:themeFillTint="40"/>
      </w:tcPr>
    </w:tblStylePr>
    <w:tblStylePr w:type="band2Vert">
      <w:pPr>
        <w:snapToGrid/>
      </w:pPr>
    </w:tblStylePr>
    <w:tblStylePr w:type="band1Horz">
      <w:pPr>
        <w:snapToGrid/>
      </w:pPr>
      <w:rPr>
        <w:rFonts w:ascii="Arial" w:hAnsi="Arial"/>
        <w:color w:val="404040"/>
        <w:sz w:val="22"/>
      </w:rPr>
      <w:tblPr/>
      <w:tcPr>
        <w:shd w:val="clear" w:color="DAEBCF" w:fill="CFEFC4"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1">
    <w:name w:val="List Table 3 - Accent 1"/>
    <w:basedOn w:val="TableNormal"/>
    <w:uiPriority w:val="99"/>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pPr>
        <w:snapToGrid/>
      </w:pPr>
      <w:rPr>
        <w:rFonts w:ascii="Arial" w:hAnsi="Arial"/>
        <w:b/>
        <w:color w:val="FFFFFF"/>
        <w:sz w:val="22"/>
      </w:rPr>
      <w:tblPr/>
      <w:tcPr>
        <w:shd w:val="clear" w:color="5B9BD5" w:fill="156082"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156082" w:themeColor="accent1"/>
          <w:right w:val="single" w:sz="4" w:space="0" w:color="156082" w:themeColor="accent1"/>
        </w:tcBorders>
      </w:tcPr>
    </w:tblStylePr>
    <w:tblStylePr w:type="band2Vert">
      <w:pPr>
        <w:snapToGrid/>
      </w:pPr>
    </w:tblStylePr>
    <w:tblStylePr w:type="band1Horz">
      <w:pPr>
        <w:snapToGrid/>
      </w:pPr>
      <w:rPr>
        <w:rFonts w:ascii="Arial" w:hAnsi="Arial"/>
        <w:color w:val="404040"/>
        <w:sz w:val="22"/>
      </w:rPr>
      <w:tblPr/>
      <w:tcPr>
        <w:tcBorders>
          <w:top w:val="single" w:sz="4" w:space="0" w:color="156082" w:themeColor="accent1"/>
          <w:bottom w:val="single" w:sz="4" w:space="0" w:color="156082" w:themeColor="accen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2">
    <w:name w:val="List Table 3 - Accent 2"/>
    <w:basedOn w:val="TableNormal"/>
    <w:uiPriority w:val="99"/>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pPr>
        <w:snapToGrid/>
      </w:pPr>
      <w:rPr>
        <w:rFonts w:ascii="Arial" w:hAnsi="Arial"/>
        <w:b/>
        <w:color w:val="FFFFFF"/>
        <w:sz w:val="22"/>
      </w:rPr>
      <w:tblPr/>
      <w:tcPr>
        <w:shd w:val="clear" w:color="F4B184" w:fill="F2AA85"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2Vert">
      <w:pPr>
        <w:snapToGrid/>
      </w:pPr>
    </w:tblStylePr>
    <w:tblStylePr w:type="band1Horz">
      <w:pPr>
        <w:snapToGrid/>
      </w:pPr>
      <w:rPr>
        <w:rFonts w:ascii="Arial" w:hAnsi="Arial"/>
        <w:color w:val="404040"/>
        <w:sz w:val="22"/>
      </w:rPr>
      <w:tblPr/>
      <w:tcPr>
        <w:tcBorders>
          <w:top w:val="single" w:sz="4" w:space="0" w:color="F2AA85" w:themeColor="accent2" w:themeTint="97"/>
          <w:bottom w:val="single" w:sz="4" w:space="0" w:color="F2AA85" w:themeColor="accent2" w:themeTint="9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3">
    <w:name w:val="List Table 3 - Accent 3"/>
    <w:basedOn w:val="TableNormal"/>
    <w:uiPriority w:val="99"/>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pPr>
        <w:snapToGrid/>
      </w:pPr>
      <w:rPr>
        <w:rFonts w:ascii="Arial" w:hAnsi="Arial"/>
        <w:b/>
        <w:color w:val="FFFFFF"/>
        <w:sz w:val="22"/>
      </w:rPr>
      <w:tblPr/>
      <w:tcPr>
        <w:shd w:val="clear" w:color="C9C9C9" w:fill="48D45B"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48D45B" w:themeColor="accent3" w:themeTint="98"/>
          <w:bottom w:val="single" w:sz="4" w:space="0" w:color="48D45B" w:themeColor="accent3"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4">
    <w:name w:val="List Table 3 - Accent 4"/>
    <w:basedOn w:val="TableNormal"/>
    <w:uiPriority w:val="99"/>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pPr>
        <w:snapToGrid/>
      </w:pPr>
      <w:rPr>
        <w:rFonts w:ascii="Arial" w:hAnsi="Arial"/>
        <w:b/>
        <w:color w:val="FFFFFF"/>
        <w:sz w:val="22"/>
      </w:rPr>
      <w:tblPr/>
      <w:tcPr>
        <w:shd w:val="clear" w:color="FFD865" w:fill="5FCAF3"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5FCAF3" w:themeColor="accent4" w:themeTint="9A"/>
          <w:bottom w:val="single" w:sz="4" w:space="0" w:color="5FCAF3" w:themeColor="accent4"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5">
    <w:name w:val="List Table 3 - Accent 5"/>
    <w:basedOn w:val="TableNormal"/>
    <w:uiPriority w:val="99"/>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pPr>
        <w:snapToGrid/>
      </w:pPr>
      <w:rPr>
        <w:rFonts w:ascii="Arial" w:hAnsi="Arial"/>
        <w:b/>
        <w:color w:val="FFFFFF"/>
        <w:sz w:val="22"/>
      </w:rPr>
      <w:tblPr/>
      <w:tcPr>
        <w:shd w:val="clear" w:color="8DA9DB" w:fill="D76CCB"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D76CCB" w:themeColor="accent5" w:themeTint="9A"/>
          <w:bottom w:val="single" w:sz="4" w:space="0" w:color="D76CCB" w:themeColor="accent5"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6">
    <w:name w:val="List Table 3 - Accent 6"/>
    <w:basedOn w:val="TableNormal"/>
    <w:uiPriority w:val="99"/>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pPr>
        <w:snapToGrid/>
      </w:pPr>
      <w:rPr>
        <w:rFonts w:ascii="Arial" w:hAnsi="Arial"/>
        <w:b/>
        <w:color w:val="FFFFFF"/>
        <w:sz w:val="22"/>
      </w:rPr>
      <w:tblPr/>
      <w:tcPr>
        <w:shd w:val="clear" w:color="A9D08E" w:fill="8ED873"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8ED873" w:themeColor="accent6" w:themeTint="98"/>
          <w:bottom w:val="single" w:sz="4" w:space="0" w:color="8ED873" w:themeColor="accent6"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1">
    <w:name w:val="List Table 4 - Accent 1"/>
    <w:basedOn w:val="TableNormal"/>
    <w:uiPriority w:val="99"/>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pPr>
        <w:snapToGrid/>
      </w:pPr>
      <w:rPr>
        <w:rFonts w:ascii="Arial" w:hAnsi="Arial"/>
        <w:b/>
        <w:color w:val="FFFFFF"/>
        <w:sz w:val="22"/>
      </w:rPr>
      <w:tblPr/>
      <w:tcPr>
        <w:shd w:val="clear" w:color="5B9BD5" w:fill="156082"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5E5F4" w:fill="B1DEF2" w:themeFill="accent1" w:themeFillTint="40"/>
      </w:tcPr>
    </w:tblStylePr>
    <w:tblStylePr w:type="band2Vert">
      <w:pPr>
        <w:snapToGrid/>
      </w:pPr>
    </w:tblStylePr>
    <w:tblStylePr w:type="band1Horz">
      <w:pPr>
        <w:snapToGrid/>
      </w:pPr>
      <w:rPr>
        <w:rFonts w:ascii="Arial" w:hAnsi="Arial"/>
        <w:color w:val="404040"/>
        <w:sz w:val="22"/>
      </w:rPr>
      <w:tblPr/>
      <w:tcPr>
        <w:shd w:val="clear" w:color="D5E5F4" w:fill="B1DEF2"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2">
    <w:name w:val="List Table 4 - Accent 2"/>
    <w:basedOn w:val="TableNormal"/>
    <w:uiPriority w:val="99"/>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pPr>
        <w:snapToGrid/>
      </w:pPr>
      <w:rPr>
        <w:rFonts w:ascii="Arial" w:hAnsi="Arial"/>
        <w:b/>
        <w:color w:val="FFFFFF"/>
        <w:sz w:val="22"/>
      </w:rPr>
      <w:tblPr/>
      <w:tcPr>
        <w:shd w:val="clear" w:color="ED7D31" w:fill="E97132"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ADECB" w:fill="F9DBCB" w:themeFill="accent2" w:themeFillTint="40"/>
      </w:tcPr>
    </w:tblStylePr>
    <w:tblStylePr w:type="band2Vert">
      <w:pPr>
        <w:snapToGrid/>
      </w:pPr>
    </w:tblStylePr>
    <w:tblStylePr w:type="band1Horz">
      <w:pPr>
        <w:snapToGrid/>
      </w:pPr>
      <w:rPr>
        <w:rFonts w:ascii="Arial" w:hAnsi="Arial"/>
        <w:color w:val="404040"/>
        <w:sz w:val="22"/>
      </w:rPr>
      <w:tblPr/>
      <w:tcPr>
        <w:shd w:val="clear" w:color="FADECB" w:fill="F9DB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3">
    <w:name w:val="List Table 4 - Accent 3"/>
    <w:basedOn w:val="TableNormal"/>
    <w:uiPriority w:val="99"/>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pPr>
        <w:snapToGrid/>
      </w:pPr>
      <w:rPr>
        <w:rFonts w:ascii="Arial" w:hAnsi="Arial"/>
        <w:b/>
        <w:color w:val="FFFFFF"/>
        <w:sz w:val="22"/>
      </w:rPr>
      <w:tblPr/>
      <w:tcPr>
        <w:shd w:val="clear" w:color="A5A5A5" w:fill="196B24"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8E8E8" w:fill="B2EDB9" w:themeFill="accent3" w:themeFillTint="40"/>
      </w:tcPr>
    </w:tblStylePr>
    <w:tblStylePr w:type="band2Vert">
      <w:pPr>
        <w:snapToGrid/>
      </w:pPr>
    </w:tblStylePr>
    <w:tblStylePr w:type="band1Horz">
      <w:pPr>
        <w:snapToGrid/>
      </w:pPr>
      <w:rPr>
        <w:rFonts w:ascii="Arial" w:hAnsi="Arial"/>
        <w:color w:val="404040"/>
        <w:sz w:val="22"/>
      </w:rPr>
      <w:tblPr/>
      <w:tcPr>
        <w:shd w:val="clear" w:color="E8E8E8" w:fill="B2EDB9"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4">
    <w:name w:val="List Table 4 - Accent 4"/>
    <w:basedOn w:val="TableNormal"/>
    <w:uiPriority w:val="99"/>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pPr>
        <w:snapToGrid/>
      </w:pPr>
      <w:rPr>
        <w:rFonts w:ascii="Arial" w:hAnsi="Arial"/>
        <w:b/>
        <w:color w:val="FFFFFF"/>
        <w:sz w:val="22"/>
      </w:rPr>
      <w:tblPr/>
      <w:tcPr>
        <w:shd w:val="clear" w:color="FFC000" w:fill="0F9ED5"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EFBF" w:fill="BCE9FA" w:themeFill="accent4" w:themeFillTint="40"/>
      </w:tcPr>
    </w:tblStylePr>
    <w:tblStylePr w:type="band2Vert">
      <w:pPr>
        <w:snapToGrid/>
      </w:pPr>
    </w:tblStylePr>
    <w:tblStylePr w:type="band1Horz">
      <w:pPr>
        <w:snapToGrid/>
      </w:pPr>
      <w:rPr>
        <w:rFonts w:ascii="Arial" w:hAnsi="Arial"/>
        <w:color w:val="404040"/>
        <w:sz w:val="22"/>
      </w:rPr>
      <w:tblPr/>
      <w:tcPr>
        <w:shd w:val="clear" w:color="FFEFBF" w:fill="BCE9FA"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5">
    <w:name w:val="List Table 4 - Accent 5"/>
    <w:basedOn w:val="TableNormal"/>
    <w:uiPriority w:val="99"/>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pPr>
        <w:snapToGrid/>
      </w:pPr>
      <w:rPr>
        <w:rFonts w:ascii="Arial" w:hAnsi="Arial"/>
        <w:b/>
        <w:color w:val="FFFFFF"/>
        <w:sz w:val="22"/>
      </w:rPr>
      <w:tblPr/>
      <w:tcPr>
        <w:shd w:val="clear" w:color="4472C4" w:fill="A02B93"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FDBF0" w:fill="EEC2E9" w:themeFill="accent5" w:themeFillTint="40"/>
      </w:tcPr>
    </w:tblStylePr>
    <w:tblStylePr w:type="band2Vert">
      <w:pPr>
        <w:snapToGrid/>
      </w:pPr>
    </w:tblStylePr>
    <w:tblStylePr w:type="band1Horz">
      <w:pPr>
        <w:snapToGrid/>
      </w:pPr>
      <w:rPr>
        <w:rFonts w:ascii="Arial" w:hAnsi="Arial"/>
        <w:color w:val="404040"/>
        <w:sz w:val="22"/>
      </w:rPr>
      <w:tblPr/>
      <w:tcPr>
        <w:shd w:val="clear" w:color="CFDBF0" w:fill="EEC2E9"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6">
    <w:name w:val="List Table 4 - Accent 6"/>
    <w:basedOn w:val="TableNormal"/>
    <w:uiPriority w:val="99"/>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pPr>
        <w:snapToGrid/>
      </w:pPr>
      <w:rPr>
        <w:rFonts w:ascii="Arial" w:hAnsi="Arial"/>
        <w:b/>
        <w:color w:val="FFFFFF"/>
        <w:sz w:val="22"/>
      </w:rPr>
      <w:tblPr/>
      <w:tcPr>
        <w:shd w:val="clear" w:color="70AD47" w:fill="4EA72E"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BCF" w:fill="CFEFC4" w:themeFill="accent6" w:themeFillTint="40"/>
      </w:tcPr>
    </w:tblStylePr>
    <w:tblStylePr w:type="band2Vert">
      <w:pPr>
        <w:snapToGrid/>
      </w:pPr>
    </w:tblStylePr>
    <w:tblStylePr w:type="band1Horz">
      <w:pPr>
        <w:snapToGrid/>
      </w:pPr>
      <w:rPr>
        <w:rFonts w:ascii="Arial" w:hAnsi="Arial"/>
        <w:color w:val="404040"/>
        <w:sz w:val="22"/>
      </w:rPr>
      <w:tblPr/>
      <w:tcPr>
        <w:shd w:val="clear" w:color="DAEBCF" w:fill="CFEFC4"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fill="7F7F7F" w:themeFill="text1" w:themeFillTint="80"/>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7F7F7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1">
    <w:name w:val="List Table 5 Dark - Accent 1"/>
    <w:basedOn w:val="TableNormal"/>
    <w:uiPriority w:val="99"/>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5B9BD5" w:fill="156082" w:themeFill="accent1"/>
    </w:tblPr>
    <w:tblStylePr w:type="firstRow">
      <w:pPr>
        <w:snapToGrid/>
      </w:pPr>
      <w:rPr>
        <w:rFonts w:ascii="Arial" w:hAnsi="Arial"/>
        <w:b/>
        <w:color w:val="FFFFFF" w:themeColor="light1"/>
        <w:sz w:val="22"/>
      </w:rPr>
      <w:tblPr/>
      <w:tcPr>
        <w:tcBorders>
          <w:top w:val="single" w:sz="32" w:space="0" w:color="156082" w:themeColor="accent1"/>
          <w:bottom w:val="single" w:sz="12" w:space="0" w:color="FFFFFF" w:themeColor="light1"/>
        </w:tcBorders>
        <w:shd w:val="clear" w:color="5B9BD5" w:fill="156082" w:themeFill="accent1"/>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pPr>
        <w:snapToGrid/>
      </w:pPr>
      <w:tblPr/>
      <w:tcPr>
        <w:tcBorders>
          <w:left w:val="single" w:sz="4" w:space="0" w:color="FFFFFF" w:themeColor="light1"/>
          <w:right w:val="single" w:sz="32" w:space="0" w:color="156082" w:themeColor="accent1"/>
        </w:tcBorders>
      </w:tcPr>
    </w:tblStylePr>
    <w:tblStylePr w:type="band1Vert">
      <w:pPr>
        <w:snapToGrid/>
      </w:pPr>
      <w:tblPr/>
      <w:tcPr>
        <w:tcBorders>
          <w:left w:val="single" w:sz="4" w:space="0" w:color="FFFFFF" w:themeColor="light1"/>
          <w:right w:val="single" w:sz="4" w:space="0" w:color="FFFFFF" w:themeColor="light1"/>
        </w:tcBorders>
        <w:shd w:val="clear" w:color="5B9BD5" w:fill="156082" w:themeFill="accent1"/>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5B9BD5" w:fill="156082" w:themeFill="accent1"/>
      </w:tcPr>
    </w:tblStylePr>
    <w:tblStylePr w:type="band2Horz">
      <w:pPr>
        <w:snapToGrid/>
      </w:pPr>
      <w:tblPr/>
      <w:tcPr>
        <w:tcBorders>
          <w:top w:val="single" w:sz="4" w:space="0" w:color="FFFFFF" w:themeColor="light1"/>
          <w:bottom w:val="single" w:sz="4" w:space="0" w:color="FFFFFF" w:themeColor="light1"/>
        </w:tcBorders>
        <w:shd w:val="clear" w:color="5B9BD5" w:fill="156082"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2">
    <w:name w:val="List Table 5 Dark - Accent 2"/>
    <w:basedOn w:val="TableNormal"/>
    <w:uiPriority w:val="99"/>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4B184" w:fill="F2AA85" w:themeFill="accent2" w:themeFillTint="97"/>
    </w:tblPr>
    <w:tblStylePr w:type="firstRow">
      <w:pPr>
        <w:snapToGrid/>
      </w:pPr>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4B184" w:fill="F2AA85" w:themeFill="accent2" w:themeFillTint="97"/>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pPr>
        <w:snapToGrid/>
      </w:pPr>
      <w:tblPr/>
      <w:tcPr>
        <w:tcBorders>
          <w:left w:val="single" w:sz="4" w:space="0" w:color="FFFFFF" w:themeColor="light1"/>
          <w:right w:val="single" w:sz="32" w:space="0" w:color="F2AA85" w:themeColor="accent2" w:themeTint="97"/>
        </w:tcBorders>
      </w:tcPr>
    </w:tblStylePr>
    <w:tblStylePr w:type="band1Vert">
      <w:pPr>
        <w:snapToGrid/>
      </w:pPr>
      <w:tblPr/>
      <w:tcPr>
        <w:tcBorders>
          <w:left w:val="single" w:sz="4" w:space="0" w:color="FFFFFF" w:themeColor="light1"/>
          <w:right w:val="single" w:sz="4" w:space="0" w:color="FFFFFF" w:themeColor="light1"/>
        </w:tcBorders>
        <w:shd w:val="clear" w:color="F4B184" w:fill="F2AA85" w:themeFill="accent2" w:themeFillTint="97"/>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4B184" w:fill="F2AA85" w:themeFill="accent2" w:themeFillTint="97"/>
      </w:tcPr>
    </w:tblStylePr>
    <w:tblStylePr w:type="band2Horz">
      <w:pPr>
        <w:snapToGrid/>
      </w:pPr>
      <w:tblPr/>
      <w:tcPr>
        <w:tcBorders>
          <w:top w:val="single" w:sz="4" w:space="0" w:color="FFFFFF" w:themeColor="light1"/>
          <w:bottom w:val="single" w:sz="4" w:space="0" w:color="FFFFFF" w:themeColor="light1"/>
        </w:tcBorders>
        <w:shd w:val="clear" w:color="F4B184" w:fill="F2AA85"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3">
    <w:name w:val="List Table 5 Dark - Accent 3"/>
    <w:basedOn w:val="TableNormal"/>
    <w:uiPriority w:val="99"/>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C9C9C9" w:fill="48D45B" w:themeFill="accent3" w:themeFillTint="98"/>
    </w:tblPr>
    <w:tblStylePr w:type="firstRow">
      <w:pPr>
        <w:snapToGrid/>
      </w:pPr>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C9C9C9" w:fill="48D45B" w:themeFill="accent3"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pPr>
        <w:snapToGrid/>
      </w:pPr>
      <w:tblPr/>
      <w:tcPr>
        <w:tcBorders>
          <w:left w:val="single" w:sz="4" w:space="0" w:color="FFFFFF" w:themeColor="light1"/>
          <w:right w:val="single" w:sz="32" w:space="0" w:color="48D45B" w:themeColor="accent3" w:themeTint="98"/>
        </w:tcBorders>
      </w:tcPr>
    </w:tblStylePr>
    <w:tblStylePr w:type="band1Vert">
      <w:pPr>
        <w:snapToGrid/>
      </w:pPr>
      <w:tblPr/>
      <w:tcPr>
        <w:tcBorders>
          <w:left w:val="single" w:sz="4" w:space="0" w:color="FFFFFF" w:themeColor="light1"/>
          <w:right w:val="single" w:sz="4" w:space="0" w:color="FFFFFF" w:themeColor="light1"/>
        </w:tcBorders>
        <w:shd w:val="clear" w:color="C9C9C9" w:fill="48D45B" w:themeFill="accent3"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C9C9C9" w:fill="48D45B" w:themeFill="accent3" w:themeFillTint="98"/>
      </w:tcPr>
    </w:tblStylePr>
    <w:tblStylePr w:type="band2Horz">
      <w:pPr>
        <w:snapToGrid/>
      </w:pPr>
      <w:tblPr/>
      <w:tcPr>
        <w:tcBorders>
          <w:top w:val="single" w:sz="4" w:space="0" w:color="FFFFFF" w:themeColor="light1"/>
          <w:bottom w:val="single" w:sz="4" w:space="0" w:color="FFFFFF" w:themeColor="light1"/>
        </w:tcBorders>
        <w:shd w:val="clear" w:color="C9C9C9" w:fill="48D45B"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4">
    <w:name w:val="List Table 5 Dark - Accent 4"/>
    <w:basedOn w:val="TableNormal"/>
    <w:uiPriority w:val="99"/>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FFD865" w:fill="5FCAF3" w:themeFill="accent4" w:themeFillTint="9A"/>
    </w:tblPr>
    <w:tblStylePr w:type="firstRow">
      <w:pPr>
        <w:snapToGrid/>
      </w:pPr>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FFD865" w:fill="5FCAF3" w:themeFill="accent4"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pPr>
        <w:snapToGrid/>
      </w:pPr>
      <w:tblPr/>
      <w:tcPr>
        <w:tcBorders>
          <w:left w:val="single" w:sz="4" w:space="0" w:color="FFFFFF" w:themeColor="light1"/>
          <w:right w:val="single" w:sz="32" w:space="0" w:color="5FCAF3" w:themeColor="accent4" w:themeTint="9A"/>
        </w:tcBorders>
      </w:tcPr>
    </w:tblStylePr>
    <w:tblStylePr w:type="band1Vert">
      <w:pPr>
        <w:snapToGrid/>
      </w:pPr>
      <w:tblPr/>
      <w:tcPr>
        <w:tcBorders>
          <w:left w:val="single" w:sz="4" w:space="0" w:color="FFFFFF" w:themeColor="light1"/>
          <w:right w:val="single" w:sz="4" w:space="0" w:color="FFFFFF" w:themeColor="light1"/>
        </w:tcBorders>
        <w:shd w:val="clear" w:color="FFD865" w:fill="5FCAF3" w:themeFill="accent4"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D865" w:fill="5FCAF3" w:themeFill="accent4" w:themeFillTint="9A"/>
      </w:tcPr>
    </w:tblStylePr>
    <w:tblStylePr w:type="band2Horz">
      <w:pPr>
        <w:snapToGrid/>
      </w:pPr>
      <w:tblPr/>
      <w:tcPr>
        <w:tcBorders>
          <w:top w:val="single" w:sz="4" w:space="0" w:color="FFFFFF" w:themeColor="light1"/>
          <w:bottom w:val="single" w:sz="4" w:space="0" w:color="FFFFFF" w:themeColor="light1"/>
        </w:tcBorders>
        <w:shd w:val="clear" w:color="FFD865" w:fill="5FCAF3"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5">
    <w:name w:val="List Table 5 Dark - Accent 5"/>
    <w:basedOn w:val="TableNormal"/>
    <w:uiPriority w:val="99"/>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8DA9DB" w:fill="D76CCB" w:themeFill="accent5" w:themeFillTint="9A"/>
    </w:tblPr>
    <w:tblStylePr w:type="firstRow">
      <w:pPr>
        <w:snapToGrid/>
      </w:pPr>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8DA9DB" w:fill="D76CCB" w:themeFill="accent5"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pPr>
        <w:snapToGrid/>
      </w:pPr>
      <w:tblPr/>
      <w:tcPr>
        <w:tcBorders>
          <w:left w:val="single" w:sz="4" w:space="0" w:color="FFFFFF" w:themeColor="light1"/>
          <w:right w:val="single" w:sz="32" w:space="0" w:color="D76CCB" w:themeColor="accent5" w:themeTint="9A"/>
        </w:tcBorders>
      </w:tcPr>
    </w:tblStylePr>
    <w:tblStylePr w:type="band1Vert">
      <w:pPr>
        <w:snapToGrid/>
      </w:pPr>
      <w:tblPr/>
      <w:tcPr>
        <w:tcBorders>
          <w:left w:val="single" w:sz="4" w:space="0" w:color="FFFFFF" w:themeColor="light1"/>
          <w:right w:val="single" w:sz="4" w:space="0" w:color="FFFFFF" w:themeColor="light1"/>
        </w:tcBorders>
        <w:shd w:val="clear" w:color="8DA9DB" w:fill="D76CCB" w:themeFill="accent5"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8DA9DB" w:fill="D76CCB" w:themeFill="accent5" w:themeFillTint="9A"/>
      </w:tcPr>
    </w:tblStylePr>
    <w:tblStylePr w:type="band2Horz">
      <w:pPr>
        <w:snapToGrid/>
      </w:pPr>
      <w:tblPr/>
      <w:tcPr>
        <w:tcBorders>
          <w:top w:val="single" w:sz="4" w:space="0" w:color="FFFFFF" w:themeColor="light1"/>
          <w:bottom w:val="single" w:sz="4" w:space="0" w:color="FFFFFF" w:themeColor="light1"/>
        </w:tcBorders>
        <w:shd w:val="clear" w:color="8DA9DB" w:fill="D76CCB"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6">
    <w:name w:val="List Table 5 Dark - Accent 6"/>
    <w:basedOn w:val="TableNormal"/>
    <w:uiPriority w:val="99"/>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A9D08E" w:fill="8ED873" w:themeFill="accent6" w:themeFillTint="98"/>
    </w:tblPr>
    <w:tblStylePr w:type="firstRow">
      <w:pPr>
        <w:snapToGrid/>
      </w:pPr>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A9D08E" w:fill="8ED873" w:themeFill="accent6"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pPr>
        <w:snapToGrid/>
      </w:pPr>
      <w:tblPr/>
      <w:tcPr>
        <w:tcBorders>
          <w:left w:val="single" w:sz="4" w:space="0" w:color="FFFFFF" w:themeColor="light1"/>
          <w:right w:val="single" w:sz="32" w:space="0" w:color="8ED873" w:themeColor="accent6" w:themeTint="98"/>
        </w:tcBorders>
      </w:tcPr>
    </w:tblStylePr>
    <w:tblStylePr w:type="band1Vert">
      <w:pPr>
        <w:snapToGrid/>
      </w:pPr>
      <w:tblPr/>
      <w:tcPr>
        <w:tcBorders>
          <w:left w:val="single" w:sz="4" w:space="0" w:color="FFFFFF" w:themeColor="light1"/>
          <w:right w:val="single" w:sz="4" w:space="0" w:color="FFFFFF" w:themeColor="light1"/>
        </w:tcBorders>
        <w:shd w:val="clear" w:color="A9D08E" w:fill="8ED873" w:themeFill="accent6"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9D08E" w:fill="8ED873" w:themeFill="accent6" w:themeFillTint="98"/>
      </w:tcPr>
    </w:tblStylePr>
    <w:tblStylePr w:type="band2Horz">
      <w:pPr>
        <w:snapToGrid/>
      </w:pPr>
      <w:tblPr/>
      <w:tcPr>
        <w:tcBorders>
          <w:top w:val="single" w:sz="4" w:space="0" w:color="FFFFFF" w:themeColor="light1"/>
          <w:bottom w:val="single" w:sz="4" w:space="0" w:color="FFFFFF" w:themeColor="light1"/>
        </w:tcBorders>
        <w:shd w:val="clear" w:color="A9D08E" w:fill="8ED873"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BFBFB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1">
    <w:name w:val="List Table 6 Colorful - Accent 1"/>
    <w:basedOn w:val="TableNormal"/>
    <w:uiPriority w:val="99"/>
    <w:tblPr>
      <w:tblStyleRowBandSize w:val="1"/>
      <w:tblStyleColBandSize w:val="1"/>
      <w:tblBorders>
        <w:top w:val="single" w:sz="4" w:space="0" w:color="156082" w:themeColor="accent1"/>
        <w:bottom w:val="single" w:sz="4" w:space="0" w:color="156082" w:themeColor="accent1"/>
      </w:tblBorders>
    </w:tblPr>
    <w:tblStylePr w:type="firstRow">
      <w:pPr>
        <w:snapToGrid/>
      </w:pPr>
      <w:rPr>
        <w:b/>
        <w:color w:val="0C374B" w:themeColor="accent1" w:themeShade="95"/>
      </w:rPr>
      <w:tblPr/>
      <w:tcPr>
        <w:tcBorders>
          <w:bottom w:val="single" w:sz="4" w:space="0" w:color="156082" w:themeColor="accent1"/>
        </w:tcBorders>
      </w:tcPr>
    </w:tblStylePr>
    <w:tblStylePr w:type="lastRow">
      <w:pPr>
        <w:snapToGrid/>
      </w:pPr>
      <w:rPr>
        <w:b/>
        <w:color w:val="0C374B" w:themeColor="accent1" w:themeShade="95"/>
      </w:rPr>
      <w:tblPr/>
      <w:tcPr>
        <w:tcBorders>
          <w:top w:val="single" w:sz="4" w:space="0" w:color="156082" w:themeColor="accent1"/>
        </w:tcBorders>
      </w:tcPr>
    </w:tblStylePr>
    <w:tblStylePr w:type="firstCol">
      <w:pPr>
        <w:snapToGrid/>
      </w:pPr>
      <w:rPr>
        <w:b/>
        <w:color w:val="0C374B" w:themeColor="accent1" w:themeShade="95"/>
      </w:rPr>
    </w:tblStylePr>
    <w:tblStylePr w:type="lastCol">
      <w:pPr>
        <w:snapToGrid/>
      </w:pPr>
      <w:rPr>
        <w:b/>
        <w:color w:val="0C374B" w:themeColor="accent1" w:themeShade="95"/>
      </w:rPr>
    </w:tblStylePr>
    <w:tblStylePr w:type="band1Vert">
      <w:pPr>
        <w:snapToGrid/>
      </w:pPr>
      <w:tblPr/>
      <w:tcPr>
        <w:shd w:val="clear" w:color="D5E5F4" w:fill="B1DEF2" w:themeFill="accent1" w:themeFillTint="40"/>
      </w:tcPr>
    </w:tblStylePr>
    <w:tblStylePr w:type="band2Vert">
      <w:pPr>
        <w:snapToGrid/>
      </w:pPr>
    </w:tblStylePr>
    <w:tblStylePr w:type="band1Horz">
      <w:pPr>
        <w:snapToGrid/>
      </w:pPr>
      <w:rPr>
        <w:rFonts w:ascii="Arial" w:hAnsi="Arial"/>
        <w:color w:val="0C374B" w:themeColor="accent1" w:themeShade="95"/>
        <w:sz w:val="22"/>
      </w:rPr>
      <w:tblPr/>
      <w:tcPr>
        <w:shd w:val="clear" w:color="D5E5F4" w:fill="B1DEF2" w:themeFill="accent1" w:themeFillTint="40"/>
      </w:tcPr>
    </w:tblStylePr>
    <w:tblStylePr w:type="band2Horz">
      <w:pPr>
        <w:snapToGrid/>
      </w:pPr>
      <w:rPr>
        <w:rFonts w:ascii="Arial" w:hAnsi="Arial"/>
        <w:color w:val="0C374B" w:themeColor="accent1"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2">
    <w:name w:val="List Table 6 Colorful - Accent 2"/>
    <w:basedOn w:val="TableNormal"/>
    <w:uiPriority w:val="99"/>
    <w:tblPr>
      <w:tblStyleRowBandSize w:val="1"/>
      <w:tblStyleColBandSize w:val="1"/>
      <w:tblBorders>
        <w:top w:val="single" w:sz="4" w:space="0" w:color="F2AA85" w:themeColor="accent2" w:themeTint="97"/>
        <w:bottom w:val="single" w:sz="4" w:space="0" w:color="F2AA85" w:themeColor="accent2" w:themeTint="97"/>
      </w:tblBorders>
    </w:tblPr>
    <w:tblStylePr w:type="firstRow">
      <w:pPr>
        <w:snapToGrid/>
      </w:pPr>
      <w:rPr>
        <w:b/>
        <w:color w:val="F2AA85" w:themeColor="accent2" w:themeShade="95" w:themeTint="97"/>
      </w:rPr>
      <w:tblPr/>
      <w:tcPr>
        <w:tcBorders>
          <w:bottom w:val="single" w:sz="4" w:space="0" w:color="F2AA85" w:themeColor="accent2" w:themeTint="97"/>
        </w:tcBorders>
      </w:tcPr>
    </w:tblStylePr>
    <w:tblStylePr w:type="lastRow">
      <w:pPr>
        <w:snapToGrid/>
      </w:pPr>
      <w:rPr>
        <w:b/>
        <w:color w:val="F2AA85" w:themeColor="accent2" w:themeShade="95" w:themeTint="97"/>
      </w:rPr>
      <w:tblPr/>
      <w:tcPr>
        <w:tcBorders>
          <w:top w:val="single" w:sz="4" w:space="0" w:color="F2AA85" w:themeColor="accent2" w:themeTint="97"/>
        </w:tcBorders>
      </w:tcPr>
    </w:tblStylePr>
    <w:tblStylePr w:type="firstCol">
      <w:pPr>
        <w:snapToGrid/>
      </w:pPr>
      <w:rPr>
        <w:b/>
        <w:color w:val="F2AA85" w:themeColor="accent2" w:themeShade="95" w:themeTint="97"/>
      </w:rPr>
    </w:tblStylePr>
    <w:tblStylePr w:type="lastCol">
      <w:pPr>
        <w:snapToGrid/>
      </w:pPr>
      <w:rPr>
        <w:b/>
        <w:color w:val="F2AA85" w:themeColor="accent2" w:themeShade="95" w:themeTint="97"/>
      </w:rPr>
    </w:tblStylePr>
    <w:tblStylePr w:type="band1Vert">
      <w:pPr>
        <w:snapToGrid/>
      </w:pPr>
      <w:tblPr/>
      <w:tcPr>
        <w:shd w:val="clear" w:color="FADECB" w:fill="F9DBCB" w:themeFill="accent2" w:themeFillTint="40"/>
      </w:tcPr>
    </w:tblStylePr>
    <w:tblStylePr w:type="band2Vert">
      <w:pPr>
        <w:snapToGrid/>
      </w:pPr>
    </w:tblStylePr>
    <w:tblStylePr w:type="band1Horz">
      <w:pPr>
        <w:snapToGrid/>
      </w:pPr>
      <w:rPr>
        <w:rFonts w:ascii="Arial" w:hAnsi="Arial"/>
        <w:color w:val="F2AA85" w:themeColor="accent2" w:themeShade="95" w:themeTint="97"/>
        <w:sz w:val="22"/>
      </w:rPr>
      <w:tblPr/>
      <w:tcPr>
        <w:shd w:val="clear" w:color="FADECB" w:fill="F9DBCB" w:themeFill="accent2" w:themeFillTint="40"/>
      </w:tcPr>
    </w:tblStylePr>
    <w:tblStylePr w:type="band2Horz">
      <w:pPr>
        <w:snapToGrid/>
      </w:pPr>
      <w:rPr>
        <w:rFonts w:ascii="Arial" w:hAnsi="Arial"/>
        <w:color w:val="F2AA8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3">
    <w:name w:val="List Table 6 Colorful - Accent 3"/>
    <w:basedOn w:val="TableNormal"/>
    <w:uiPriority w:val="99"/>
    <w:tblPr>
      <w:tblStyleRowBandSize w:val="1"/>
      <w:tblStyleColBandSize w:val="1"/>
      <w:tblBorders>
        <w:top w:val="single" w:sz="4" w:space="0" w:color="48D45B" w:themeColor="accent3" w:themeTint="98"/>
        <w:bottom w:val="single" w:sz="4" w:space="0" w:color="48D45B" w:themeColor="accent3" w:themeTint="98"/>
      </w:tblBorders>
    </w:tblPr>
    <w:tblStylePr w:type="firstRow">
      <w:pPr>
        <w:snapToGrid/>
      </w:pPr>
      <w:rPr>
        <w:b/>
        <w:color w:val="48D45B" w:themeColor="accent3" w:themeShade="95" w:themeTint="98"/>
      </w:rPr>
      <w:tblPr/>
      <w:tcPr>
        <w:tcBorders>
          <w:bottom w:val="single" w:sz="4" w:space="0" w:color="48D45B" w:themeColor="accent3" w:themeTint="98"/>
        </w:tcBorders>
      </w:tcPr>
    </w:tblStylePr>
    <w:tblStylePr w:type="lastRow">
      <w:pPr>
        <w:snapToGrid/>
      </w:pPr>
      <w:rPr>
        <w:b/>
        <w:color w:val="48D45B" w:themeColor="accent3" w:themeShade="95" w:themeTint="98"/>
      </w:rPr>
      <w:tblPr/>
      <w:tcPr>
        <w:tcBorders>
          <w:top w:val="single" w:sz="4" w:space="0" w:color="48D45B" w:themeColor="accent3" w:themeTint="98"/>
        </w:tcBorders>
      </w:tcPr>
    </w:tblStylePr>
    <w:tblStylePr w:type="firstCol">
      <w:pPr>
        <w:snapToGrid/>
      </w:pPr>
      <w:rPr>
        <w:b/>
        <w:color w:val="48D45B" w:themeColor="accent3" w:themeShade="95" w:themeTint="98"/>
      </w:rPr>
    </w:tblStylePr>
    <w:tblStylePr w:type="lastCol">
      <w:pPr>
        <w:snapToGrid/>
      </w:pPr>
      <w:rPr>
        <w:b/>
        <w:color w:val="48D45B" w:themeColor="accent3" w:themeShade="95" w:themeTint="98"/>
      </w:rPr>
    </w:tblStylePr>
    <w:tblStylePr w:type="band1Vert">
      <w:pPr>
        <w:snapToGrid/>
      </w:pPr>
      <w:tblPr/>
      <w:tcPr>
        <w:shd w:val="clear" w:color="E8E8E8" w:fill="B2EDB9" w:themeFill="accent3" w:themeFillTint="40"/>
      </w:tcPr>
    </w:tblStylePr>
    <w:tblStylePr w:type="band2Vert">
      <w:pPr>
        <w:snapToGrid/>
      </w:pPr>
    </w:tblStylePr>
    <w:tblStylePr w:type="band1Horz">
      <w:pPr>
        <w:snapToGrid/>
      </w:pPr>
      <w:rPr>
        <w:rFonts w:ascii="Arial" w:hAnsi="Arial"/>
        <w:color w:val="48D45B" w:themeColor="accent3" w:themeShade="95" w:themeTint="98"/>
        <w:sz w:val="22"/>
      </w:rPr>
      <w:tblPr/>
      <w:tcPr>
        <w:shd w:val="clear" w:color="E8E8E8" w:fill="B2EDB9" w:themeFill="accent3" w:themeFillTint="40"/>
      </w:tcPr>
    </w:tblStylePr>
    <w:tblStylePr w:type="band2Horz">
      <w:pPr>
        <w:snapToGrid/>
      </w:pPr>
      <w:rPr>
        <w:rFonts w:ascii="Arial" w:hAnsi="Arial"/>
        <w:color w:val="48D45B" w:themeColor="accent3"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4">
    <w:name w:val="List Table 6 Colorful - Accent 4"/>
    <w:basedOn w:val="TableNormal"/>
    <w:uiPriority w:val="99"/>
    <w:tblPr>
      <w:tblStyleRowBandSize w:val="1"/>
      <w:tblStyleColBandSize w:val="1"/>
      <w:tblBorders>
        <w:top w:val="single" w:sz="4" w:space="0" w:color="5FCAF3" w:themeColor="accent4" w:themeTint="9A"/>
        <w:bottom w:val="single" w:sz="4" w:space="0" w:color="5FCAF3" w:themeColor="accent4" w:themeTint="9A"/>
      </w:tblBorders>
    </w:tblPr>
    <w:tblStylePr w:type="firstRow">
      <w:pPr>
        <w:snapToGrid/>
      </w:pPr>
      <w:rPr>
        <w:b/>
        <w:color w:val="5FCAF3" w:themeColor="accent4" w:themeShade="95" w:themeTint="9A"/>
      </w:rPr>
      <w:tblPr/>
      <w:tcPr>
        <w:tcBorders>
          <w:bottom w:val="single" w:sz="4" w:space="0" w:color="5FCAF3" w:themeColor="accent4" w:themeTint="9A"/>
        </w:tcBorders>
      </w:tcPr>
    </w:tblStylePr>
    <w:tblStylePr w:type="lastRow">
      <w:pPr>
        <w:snapToGrid/>
      </w:pPr>
      <w:rPr>
        <w:b/>
        <w:color w:val="5FCAF3" w:themeColor="accent4" w:themeShade="95" w:themeTint="9A"/>
      </w:rPr>
      <w:tblPr/>
      <w:tcPr>
        <w:tcBorders>
          <w:top w:val="single" w:sz="4" w:space="0" w:color="5FCAF3" w:themeColor="accent4" w:themeTint="9A"/>
        </w:tcBorders>
      </w:tcPr>
    </w:tblStylePr>
    <w:tblStylePr w:type="firstCol">
      <w:pPr>
        <w:snapToGrid/>
      </w:pPr>
      <w:rPr>
        <w:b/>
        <w:color w:val="5FCAF3" w:themeColor="accent4" w:themeShade="95" w:themeTint="9A"/>
      </w:rPr>
    </w:tblStylePr>
    <w:tblStylePr w:type="lastCol">
      <w:pPr>
        <w:snapToGrid/>
      </w:pPr>
      <w:rPr>
        <w:b/>
        <w:color w:val="5FCAF3" w:themeColor="accent4" w:themeShade="95" w:themeTint="9A"/>
      </w:rPr>
    </w:tblStylePr>
    <w:tblStylePr w:type="band1Vert">
      <w:pPr>
        <w:snapToGrid/>
      </w:pPr>
      <w:tblPr/>
      <w:tcPr>
        <w:shd w:val="clear" w:color="FFEFBF" w:fill="BCE9FA" w:themeFill="accent4" w:themeFillTint="40"/>
      </w:tcPr>
    </w:tblStylePr>
    <w:tblStylePr w:type="band2Vert">
      <w:pPr>
        <w:snapToGrid/>
      </w:pPr>
    </w:tblStylePr>
    <w:tblStylePr w:type="band1Horz">
      <w:pPr>
        <w:snapToGrid/>
      </w:pPr>
      <w:rPr>
        <w:rFonts w:ascii="Arial" w:hAnsi="Arial"/>
        <w:color w:val="5FCAF3" w:themeColor="accent4" w:themeShade="95" w:themeTint="9A"/>
        <w:sz w:val="22"/>
      </w:rPr>
      <w:tblPr/>
      <w:tcPr>
        <w:shd w:val="clear" w:color="FFEFBF" w:fill="BCE9FA" w:themeFill="accent4" w:themeFillTint="40"/>
      </w:tcPr>
    </w:tblStylePr>
    <w:tblStylePr w:type="band2Horz">
      <w:pPr>
        <w:snapToGrid/>
      </w:pPr>
      <w:rPr>
        <w:rFonts w:ascii="Arial" w:hAnsi="Arial"/>
        <w:color w:val="5FCAF3"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5">
    <w:name w:val="List Table 6 Colorful - Accent 5"/>
    <w:basedOn w:val="TableNormal"/>
    <w:uiPriority w:val="99"/>
    <w:tblPr>
      <w:tblStyleRowBandSize w:val="1"/>
      <w:tblStyleColBandSize w:val="1"/>
      <w:tblBorders>
        <w:top w:val="single" w:sz="4" w:space="0" w:color="D76CCB" w:themeColor="accent5" w:themeTint="9A"/>
        <w:bottom w:val="single" w:sz="4" w:space="0" w:color="D76CCB" w:themeColor="accent5" w:themeTint="9A"/>
      </w:tblBorders>
    </w:tblPr>
    <w:tblStylePr w:type="firstRow">
      <w:pPr>
        <w:snapToGrid/>
      </w:pPr>
      <w:rPr>
        <w:b/>
        <w:color w:val="D76CCB" w:themeColor="accent5" w:themeShade="95" w:themeTint="9A"/>
      </w:rPr>
      <w:tblPr/>
      <w:tcPr>
        <w:tcBorders>
          <w:bottom w:val="single" w:sz="4" w:space="0" w:color="D76CCB" w:themeColor="accent5" w:themeTint="9A"/>
        </w:tcBorders>
      </w:tcPr>
    </w:tblStylePr>
    <w:tblStylePr w:type="lastRow">
      <w:pPr>
        <w:snapToGrid/>
      </w:pPr>
      <w:rPr>
        <w:b/>
        <w:color w:val="D76CCB" w:themeColor="accent5" w:themeShade="95" w:themeTint="9A"/>
      </w:rPr>
      <w:tblPr/>
      <w:tcPr>
        <w:tcBorders>
          <w:top w:val="single" w:sz="4" w:space="0" w:color="D76CCB" w:themeColor="accent5" w:themeTint="9A"/>
        </w:tcBorders>
      </w:tcPr>
    </w:tblStylePr>
    <w:tblStylePr w:type="firstCol">
      <w:pPr>
        <w:snapToGrid/>
      </w:pPr>
      <w:rPr>
        <w:b/>
        <w:color w:val="D76CCB" w:themeColor="accent5" w:themeShade="95" w:themeTint="9A"/>
      </w:rPr>
    </w:tblStylePr>
    <w:tblStylePr w:type="lastCol">
      <w:pPr>
        <w:snapToGrid/>
      </w:pPr>
      <w:rPr>
        <w:b/>
        <w:color w:val="D76CCB" w:themeColor="accent5" w:themeShade="95" w:themeTint="9A"/>
      </w:rPr>
    </w:tblStylePr>
    <w:tblStylePr w:type="band1Vert">
      <w:pPr>
        <w:snapToGrid/>
      </w:pPr>
      <w:tblPr/>
      <w:tcPr>
        <w:shd w:val="clear" w:color="CFDBF0" w:fill="EEC2E9" w:themeFill="accent5" w:themeFillTint="40"/>
      </w:tcPr>
    </w:tblStylePr>
    <w:tblStylePr w:type="band2Vert">
      <w:pPr>
        <w:snapToGrid/>
      </w:pPr>
    </w:tblStylePr>
    <w:tblStylePr w:type="band1Horz">
      <w:pPr>
        <w:snapToGrid/>
      </w:pPr>
      <w:rPr>
        <w:rFonts w:ascii="Arial" w:hAnsi="Arial"/>
        <w:color w:val="D76CCB" w:themeColor="accent5" w:themeShade="95" w:themeTint="9A"/>
        <w:sz w:val="22"/>
      </w:rPr>
      <w:tblPr/>
      <w:tcPr>
        <w:shd w:val="clear" w:color="CFDBF0" w:fill="EEC2E9" w:themeFill="accent5" w:themeFillTint="40"/>
      </w:tcPr>
    </w:tblStylePr>
    <w:tblStylePr w:type="band2Horz">
      <w:pPr>
        <w:snapToGrid/>
      </w:pPr>
      <w:rPr>
        <w:rFonts w:ascii="Arial" w:hAnsi="Arial"/>
        <w:color w:val="D76CCB" w:themeColor="accent5"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6">
    <w:name w:val="List Table 6 Colorful - Accent 6"/>
    <w:basedOn w:val="TableNormal"/>
    <w:uiPriority w:val="99"/>
    <w:tblPr>
      <w:tblStyleRowBandSize w:val="1"/>
      <w:tblStyleColBandSize w:val="1"/>
      <w:tblBorders>
        <w:top w:val="single" w:sz="4" w:space="0" w:color="8ED873" w:themeColor="accent6" w:themeTint="98"/>
        <w:bottom w:val="single" w:sz="4" w:space="0" w:color="8ED873" w:themeColor="accent6" w:themeTint="98"/>
      </w:tblBorders>
    </w:tblPr>
    <w:tblStylePr w:type="firstRow">
      <w:pPr>
        <w:snapToGrid/>
      </w:pPr>
      <w:rPr>
        <w:b/>
        <w:color w:val="8ED873" w:themeColor="accent6" w:themeShade="95" w:themeTint="98"/>
      </w:rPr>
      <w:tblPr/>
      <w:tcPr>
        <w:tcBorders>
          <w:bottom w:val="single" w:sz="4" w:space="0" w:color="8ED873" w:themeColor="accent6" w:themeTint="98"/>
        </w:tcBorders>
      </w:tcPr>
    </w:tblStylePr>
    <w:tblStylePr w:type="lastRow">
      <w:pPr>
        <w:snapToGrid/>
      </w:pPr>
      <w:rPr>
        <w:b/>
        <w:color w:val="8ED873" w:themeColor="accent6" w:themeShade="95" w:themeTint="98"/>
      </w:rPr>
      <w:tblPr/>
      <w:tcPr>
        <w:tcBorders>
          <w:top w:val="single" w:sz="4" w:space="0" w:color="8ED873" w:themeColor="accent6" w:themeTint="98"/>
        </w:tcBorders>
      </w:tcPr>
    </w:tblStylePr>
    <w:tblStylePr w:type="firstCol">
      <w:pPr>
        <w:snapToGrid/>
      </w:pPr>
      <w:rPr>
        <w:b/>
        <w:color w:val="8ED873" w:themeColor="accent6" w:themeShade="95" w:themeTint="98"/>
      </w:rPr>
    </w:tblStylePr>
    <w:tblStylePr w:type="lastCol">
      <w:pPr>
        <w:snapToGrid/>
      </w:pPr>
      <w:rPr>
        <w:b/>
        <w:color w:val="8ED873" w:themeColor="accent6" w:themeShade="95" w:themeTint="98"/>
      </w:rPr>
    </w:tblStylePr>
    <w:tblStylePr w:type="band1Vert">
      <w:pPr>
        <w:snapToGrid/>
      </w:pPr>
      <w:tblPr/>
      <w:tcPr>
        <w:shd w:val="clear" w:color="DAEBCF" w:fill="CFEFC4" w:themeFill="accent6" w:themeFillTint="40"/>
      </w:tcPr>
    </w:tblStylePr>
    <w:tblStylePr w:type="band2Vert">
      <w:pPr>
        <w:snapToGrid/>
      </w:pPr>
    </w:tblStylePr>
    <w:tblStylePr w:type="band1Horz">
      <w:pPr>
        <w:snapToGrid/>
      </w:pPr>
      <w:rPr>
        <w:rFonts w:ascii="Arial" w:hAnsi="Arial"/>
        <w:color w:val="8ED873" w:themeColor="accent6" w:themeShade="95" w:themeTint="98"/>
        <w:sz w:val="22"/>
      </w:rPr>
      <w:tblPr/>
      <w:tcPr>
        <w:shd w:val="clear" w:color="DAEBCF" w:fill="CFEFC4" w:themeFill="accent6" w:themeFillTint="40"/>
      </w:tcPr>
    </w:tblStylePr>
    <w:tblStylePr w:type="band2Horz">
      <w:pPr>
        <w:snapToGrid/>
      </w:pPr>
      <w:rPr>
        <w:rFonts w:ascii="Arial" w:hAnsi="Arial"/>
        <w:color w:val="8ED873" w:themeColor="accent6"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pPr>
        <w:snapToGrid/>
      </w:pPr>
      <w:rPr>
        <w:rFonts w:ascii="Arial" w:hAnsi="Arial"/>
        <w:i/>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7F7F7F" w:themeColor="text1" w:themeShade="95" w:themeTint="80"/>
        <w:sz w:val="22"/>
      </w:rPr>
      <w:tblPr/>
      <w:tcPr>
        <w:shd w:val="clear" w:color="BFBFBF" w:fill="BFBFBF" w:themeFill="text1" w:themeFillTint="40"/>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1">
    <w:name w:val="List Table 7 Colorful - Accent 1"/>
    <w:basedOn w:val="TableNormal"/>
    <w:uiPriority w:val="99"/>
    <w:tblPr>
      <w:tblStyleRowBandSize w:val="1"/>
      <w:tblStyleColBandSize w:val="1"/>
      <w:tblBorders>
        <w:right w:val="single" w:sz="4" w:space="0" w:color="156082" w:themeColor="accent1"/>
      </w:tblBorders>
    </w:tblPr>
    <w:tblStylePr w:type="firstRow">
      <w:pPr>
        <w:snapToGrid/>
      </w:pPr>
      <w:rPr>
        <w:rFonts w:ascii="Arial" w:hAnsi="Arial"/>
        <w:i/>
        <w:color w:val="0C374B" w:themeColor="accent1" w:themeShade="95"/>
        <w:sz w:val="22"/>
      </w:rPr>
      <w:tblPr/>
      <w:tcPr>
        <w:tcBorders>
          <w:top w:val="nil"/>
          <w:left w:val="nil"/>
          <w:bottom w:val="single" w:sz="4" w:space="0" w:color="156082" w:themeColor="accent1"/>
          <w:right w:val="nil"/>
        </w:tcBorders>
        <w:shd w:val="clear" w:color="FFFFFF" w:fill="FFFFFF" w:themeFill="light1"/>
      </w:tcPr>
    </w:tblStylePr>
    <w:tblStylePr w:type="lastRow">
      <w:pPr>
        <w:snapToGrid/>
      </w:pPr>
      <w:rPr>
        <w:rFonts w:ascii="Arial" w:hAnsi="Arial"/>
        <w:i/>
        <w:color w:val="0C374B" w:themeColor="accent1" w:themeShade="95"/>
        <w:sz w:val="22"/>
      </w:rPr>
      <w:tblPr/>
      <w:tcPr>
        <w:tcBorders>
          <w:top w:val="single" w:sz="4" w:space="0" w:color="156082" w:themeColor="accent1"/>
          <w:left w:val="nil"/>
          <w:bottom w:val="nil"/>
          <w:right w:val="nil"/>
        </w:tcBorders>
        <w:shd w:val="clear" w:color="FFFFFF" w:fill="FFFFFF" w:themeFill="light1"/>
      </w:tcPr>
    </w:tblStylePr>
    <w:tblStylePr w:type="firstCol">
      <w:pPr>
        <w:snapToGrid/>
        <w:jc w:val="right"/>
      </w:pPr>
      <w:rPr>
        <w:rFonts w:ascii="Arial" w:hAnsi="Arial"/>
        <w:i/>
        <w:color w:val="0C374B" w:themeColor="accent1" w:themeShade="95"/>
        <w:sz w:val="22"/>
      </w:rPr>
      <w:tblPr/>
      <w:tcPr>
        <w:tcBorders>
          <w:top w:val="nil"/>
          <w:left w:val="nil"/>
          <w:bottom w:val="nil"/>
          <w:right w:val="single" w:sz="4" w:space="0" w:color="156082" w:themeColor="accent1"/>
        </w:tcBorders>
        <w:shd w:val="clear" w:color="FFFFFF" w:fill="FFFFFF"/>
      </w:tcPr>
    </w:tblStylePr>
    <w:tblStylePr w:type="lastCol">
      <w:pPr>
        <w:snapToGrid/>
      </w:pPr>
      <w:rPr>
        <w:rFonts w:ascii="Arial" w:hAnsi="Arial"/>
        <w:i/>
        <w:color w:val="0C374B" w:themeColor="accent1" w:themeShade="95"/>
        <w:sz w:val="22"/>
      </w:rPr>
      <w:tblPr/>
      <w:tcPr>
        <w:tcBorders>
          <w:top w:val="nil"/>
          <w:left w:val="single" w:sz="4" w:space="0" w:color="156082" w:themeColor="accent1"/>
          <w:bottom w:val="nil"/>
          <w:right w:val="nil"/>
        </w:tcBorders>
        <w:shd w:val="clear" w:color="FFFFFF" w:fill="FFFFFF"/>
      </w:tcPr>
    </w:tblStylePr>
    <w:tblStylePr w:type="band1Vert">
      <w:pPr>
        <w:snapToGrid/>
      </w:pPr>
      <w:tblPr/>
      <w:tcPr>
        <w:shd w:val="clear" w:color="D5E5F4" w:fill="B1DEF2" w:themeFill="accent1" w:themeFillTint="40"/>
      </w:tcPr>
    </w:tblStylePr>
    <w:tblStylePr w:type="band2Vert">
      <w:pPr>
        <w:snapToGrid/>
      </w:pPr>
    </w:tblStylePr>
    <w:tblStylePr w:type="band1Horz">
      <w:pPr>
        <w:snapToGrid/>
      </w:pPr>
      <w:rPr>
        <w:rFonts w:ascii="Arial" w:hAnsi="Arial"/>
        <w:color w:val="0C374B" w:themeColor="accent1" w:themeShade="95"/>
        <w:sz w:val="22"/>
      </w:rPr>
      <w:tblPr/>
      <w:tcPr>
        <w:shd w:val="clear" w:color="D5E5F4" w:fill="B1DEF2" w:themeFill="accent1" w:themeFillTint="40"/>
      </w:tcPr>
    </w:tblStylePr>
    <w:tblStylePr w:type="band2Horz">
      <w:pPr>
        <w:snapToGrid/>
      </w:pPr>
      <w:rPr>
        <w:rFonts w:ascii="Arial" w:hAnsi="Arial"/>
        <w:color w:val="0C374B" w:themeColor="accent1"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2">
    <w:name w:val="List Table 7 Colorful - Accent 2"/>
    <w:basedOn w:val="TableNormal"/>
    <w:uiPriority w:val="99"/>
    <w:tblPr>
      <w:tblStyleRowBandSize w:val="1"/>
      <w:tblStyleColBandSize w:val="1"/>
      <w:tblBorders>
        <w:right w:val="single" w:sz="4" w:space="0" w:color="F2AA85" w:themeColor="accent2" w:themeTint="97"/>
      </w:tblBorders>
    </w:tblPr>
    <w:tblStylePr w:type="firstRow">
      <w:pPr>
        <w:snapToGrid/>
      </w:pPr>
      <w:rPr>
        <w:rFonts w:ascii="Arial" w:hAnsi="Arial"/>
        <w:i/>
        <w:color w:val="F2AA85" w:themeColor="accent2" w:themeShade="95" w:themeTint="97"/>
        <w:sz w:val="22"/>
      </w:rPr>
      <w:tblPr/>
      <w:tcPr>
        <w:tcBorders>
          <w:top w:val="nil"/>
          <w:left w:val="nil"/>
          <w:bottom w:val="single" w:sz="4" w:space="0" w:color="F2AA85" w:themeColor="accent2" w:themeTint="97"/>
          <w:right w:val="nil"/>
        </w:tcBorders>
        <w:shd w:val="clear" w:color="FFFFFF" w:fill="FFFFFF" w:themeFill="light1"/>
      </w:tcPr>
    </w:tblStylePr>
    <w:tblStylePr w:type="lastRow">
      <w:pPr>
        <w:snapToGrid/>
      </w:pPr>
      <w:rPr>
        <w:rFonts w:ascii="Arial" w:hAnsi="Arial"/>
        <w:i/>
        <w:color w:val="F2AA85" w:themeColor="accent2" w:themeShade="95" w:themeTint="97"/>
        <w:sz w:val="22"/>
      </w:rPr>
      <w:tblPr/>
      <w:tcPr>
        <w:tcBorders>
          <w:top w:val="single" w:sz="4" w:space="0" w:color="F2AA85" w:themeColor="accent2" w:themeTint="97"/>
          <w:left w:val="nil"/>
          <w:bottom w:val="nil"/>
          <w:right w:val="nil"/>
        </w:tcBorders>
        <w:shd w:val="clear" w:color="FFFFFF" w:fill="FFFFFF" w:themeFill="light1"/>
      </w:tcPr>
    </w:tblStylePr>
    <w:tblStylePr w:type="firstCol">
      <w:pPr>
        <w:snapToGrid/>
        <w:jc w:val="right"/>
      </w:pPr>
      <w:rPr>
        <w:rFonts w:ascii="Arial" w:hAnsi="Arial"/>
        <w:i/>
        <w:color w:val="F2AA85" w:themeColor="accent2" w:themeShade="95" w:themeTint="97"/>
        <w:sz w:val="22"/>
      </w:rPr>
      <w:tblPr/>
      <w:tcPr>
        <w:tcBorders>
          <w:top w:val="nil"/>
          <w:left w:val="nil"/>
          <w:bottom w:val="nil"/>
          <w:right w:val="single" w:sz="4" w:space="0" w:color="F2AA85" w:themeColor="accent2" w:themeTint="97"/>
        </w:tcBorders>
        <w:shd w:val="clear" w:color="FFFFFF" w:fill="FFFFFF"/>
      </w:tcPr>
    </w:tblStylePr>
    <w:tblStylePr w:type="lastCol">
      <w:pPr>
        <w:snapToGrid/>
      </w:pPr>
      <w:rPr>
        <w:rFonts w:ascii="Arial" w:hAnsi="Arial"/>
        <w:i/>
        <w:color w:val="F2AA85" w:themeColor="accent2" w:themeShade="95" w:themeTint="97"/>
        <w:sz w:val="22"/>
      </w:rPr>
      <w:tblPr/>
      <w:tcPr>
        <w:tcBorders>
          <w:top w:val="nil"/>
          <w:left w:val="single" w:sz="4" w:space="0" w:color="F2AA85" w:themeColor="accent2" w:themeTint="97"/>
          <w:bottom w:val="nil"/>
          <w:right w:val="nil"/>
        </w:tcBorders>
        <w:shd w:val="clear" w:color="FFFFFF" w:fill="FFFFFF"/>
      </w:tcPr>
    </w:tblStylePr>
    <w:tblStylePr w:type="band1Vert">
      <w:pPr>
        <w:snapToGrid/>
      </w:pPr>
      <w:tblPr/>
      <w:tcPr>
        <w:shd w:val="clear" w:color="FADECB" w:fill="F9DBCB" w:themeFill="accent2" w:themeFillTint="40"/>
      </w:tcPr>
    </w:tblStylePr>
    <w:tblStylePr w:type="band2Vert">
      <w:pPr>
        <w:snapToGrid/>
      </w:pPr>
    </w:tblStylePr>
    <w:tblStylePr w:type="band1Horz">
      <w:pPr>
        <w:snapToGrid/>
      </w:pPr>
      <w:rPr>
        <w:rFonts w:ascii="Arial" w:hAnsi="Arial"/>
        <w:color w:val="F2AA85" w:themeColor="accent2" w:themeShade="95" w:themeTint="97"/>
        <w:sz w:val="22"/>
      </w:rPr>
      <w:tblPr/>
      <w:tcPr>
        <w:shd w:val="clear" w:color="FADECB" w:fill="F9DBCB" w:themeFill="accent2" w:themeFillTint="40"/>
      </w:tcPr>
    </w:tblStylePr>
    <w:tblStylePr w:type="band2Horz">
      <w:pPr>
        <w:snapToGrid/>
      </w:pPr>
      <w:rPr>
        <w:rFonts w:ascii="Arial" w:hAnsi="Arial"/>
        <w:color w:val="F2AA8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3">
    <w:name w:val="List Table 7 Colorful - Accent 3"/>
    <w:basedOn w:val="TableNormal"/>
    <w:uiPriority w:val="99"/>
    <w:tblPr>
      <w:tblStyleRowBandSize w:val="1"/>
      <w:tblStyleColBandSize w:val="1"/>
      <w:tblBorders>
        <w:right w:val="single" w:sz="4" w:space="0" w:color="48D45B" w:themeColor="accent3" w:themeTint="98"/>
      </w:tblBorders>
    </w:tblPr>
    <w:tblStylePr w:type="firstRow">
      <w:pPr>
        <w:snapToGrid/>
      </w:pPr>
      <w:rPr>
        <w:rFonts w:ascii="Arial" w:hAnsi="Arial"/>
        <w:i/>
        <w:color w:val="48D45B" w:themeColor="accent3" w:themeShade="95" w:themeTint="98"/>
        <w:sz w:val="22"/>
      </w:rPr>
      <w:tblPr/>
      <w:tcPr>
        <w:tcBorders>
          <w:top w:val="nil"/>
          <w:left w:val="nil"/>
          <w:bottom w:val="single" w:sz="4" w:space="0" w:color="48D45B" w:themeColor="accent3" w:themeTint="98"/>
          <w:right w:val="nil"/>
        </w:tcBorders>
        <w:shd w:val="clear" w:color="FFFFFF" w:fill="FFFFFF" w:themeFill="light1"/>
      </w:tcPr>
    </w:tblStylePr>
    <w:tblStylePr w:type="lastRow">
      <w:pPr>
        <w:snapToGrid/>
      </w:pPr>
      <w:rPr>
        <w:rFonts w:ascii="Arial" w:hAnsi="Arial"/>
        <w:i/>
        <w:color w:val="48D45B" w:themeColor="accent3" w:themeShade="95" w:themeTint="98"/>
        <w:sz w:val="22"/>
      </w:rPr>
      <w:tblPr/>
      <w:tcPr>
        <w:tcBorders>
          <w:top w:val="single" w:sz="4" w:space="0" w:color="48D45B" w:themeColor="accent3" w:themeTint="98"/>
          <w:left w:val="nil"/>
          <w:bottom w:val="nil"/>
          <w:right w:val="nil"/>
        </w:tcBorders>
        <w:shd w:val="clear" w:color="FFFFFF" w:fill="FFFFFF" w:themeFill="light1"/>
      </w:tcPr>
    </w:tblStylePr>
    <w:tblStylePr w:type="firstCol">
      <w:pPr>
        <w:snapToGrid/>
        <w:jc w:val="right"/>
      </w:pPr>
      <w:rPr>
        <w:rFonts w:ascii="Arial" w:hAnsi="Arial"/>
        <w:i/>
        <w:color w:val="48D45B" w:themeColor="accent3" w:themeShade="95" w:themeTint="98"/>
        <w:sz w:val="22"/>
      </w:rPr>
      <w:tblPr/>
      <w:tcPr>
        <w:tcBorders>
          <w:top w:val="nil"/>
          <w:left w:val="nil"/>
          <w:bottom w:val="nil"/>
          <w:right w:val="single" w:sz="4" w:space="0" w:color="48D45B" w:themeColor="accent3" w:themeTint="98"/>
        </w:tcBorders>
        <w:shd w:val="clear" w:color="FFFFFF" w:fill="FFFFFF"/>
      </w:tcPr>
    </w:tblStylePr>
    <w:tblStylePr w:type="lastCol">
      <w:pPr>
        <w:snapToGrid/>
      </w:pPr>
      <w:rPr>
        <w:rFonts w:ascii="Arial" w:hAnsi="Arial"/>
        <w:i/>
        <w:color w:val="48D45B" w:themeColor="accent3" w:themeShade="95" w:themeTint="98"/>
        <w:sz w:val="22"/>
      </w:rPr>
      <w:tblPr/>
      <w:tcPr>
        <w:tcBorders>
          <w:top w:val="nil"/>
          <w:left w:val="single" w:sz="4" w:space="0" w:color="48D45B" w:themeColor="accent3" w:themeTint="98"/>
          <w:bottom w:val="nil"/>
          <w:right w:val="nil"/>
        </w:tcBorders>
        <w:shd w:val="clear" w:color="FFFFFF" w:fill="FFFFFF"/>
      </w:tcPr>
    </w:tblStylePr>
    <w:tblStylePr w:type="band1Vert">
      <w:pPr>
        <w:snapToGrid/>
      </w:pPr>
      <w:tblPr/>
      <w:tcPr>
        <w:shd w:val="clear" w:color="E8E8E8" w:fill="B2EDB9" w:themeFill="accent3" w:themeFillTint="40"/>
      </w:tcPr>
    </w:tblStylePr>
    <w:tblStylePr w:type="band2Vert">
      <w:pPr>
        <w:snapToGrid/>
      </w:pPr>
    </w:tblStylePr>
    <w:tblStylePr w:type="band1Horz">
      <w:pPr>
        <w:snapToGrid/>
      </w:pPr>
      <w:rPr>
        <w:rFonts w:ascii="Arial" w:hAnsi="Arial"/>
        <w:color w:val="48D45B" w:themeColor="accent3" w:themeShade="95" w:themeTint="98"/>
        <w:sz w:val="22"/>
      </w:rPr>
      <w:tblPr/>
      <w:tcPr>
        <w:shd w:val="clear" w:color="E8E8E8" w:fill="B2EDB9" w:themeFill="accent3" w:themeFillTint="40"/>
      </w:tcPr>
    </w:tblStylePr>
    <w:tblStylePr w:type="band2Horz">
      <w:pPr>
        <w:snapToGrid/>
      </w:pPr>
      <w:rPr>
        <w:rFonts w:ascii="Arial" w:hAnsi="Arial"/>
        <w:color w:val="48D45B" w:themeColor="accent3"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4">
    <w:name w:val="List Table 7 Colorful - Accent 4"/>
    <w:basedOn w:val="TableNormal"/>
    <w:uiPriority w:val="99"/>
    <w:tblPr>
      <w:tblStyleRowBandSize w:val="1"/>
      <w:tblStyleColBandSize w:val="1"/>
      <w:tblBorders>
        <w:right w:val="single" w:sz="4" w:space="0" w:color="5FCAF3" w:themeColor="accent4" w:themeTint="9A"/>
      </w:tblBorders>
    </w:tblPr>
    <w:tblStylePr w:type="firstRow">
      <w:pPr>
        <w:snapToGrid/>
      </w:pPr>
      <w:rPr>
        <w:rFonts w:ascii="Arial" w:hAnsi="Arial"/>
        <w:i/>
        <w:color w:val="5FCAF3" w:themeColor="accent4" w:themeShade="95" w:themeTint="9A"/>
        <w:sz w:val="22"/>
      </w:rPr>
      <w:tblPr/>
      <w:tcPr>
        <w:tcBorders>
          <w:top w:val="nil"/>
          <w:left w:val="nil"/>
          <w:bottom w:val="single" w:sz="4" w:space="0" w:color="5FCAF3" w:themeColor="accent4" w:themeTint="9A"/>
          <w:right w:val="nil"/>
        </w:tcBorders>
        <w:shd w:val="clear" w:color="FFFFFF" w:fill="FFFFFF" w:themeFill="light1"/>
      </w:tcPr>
    </w:tblStylePr>
    <w:tblStylePr w:type="lastRow">
      <w:pPr>
        <w:snapToGrid/>
      </w:pPr>
      <w:rPr>
        <w:rFonts w:ascii="Arial" w:hAnsi="Arial"/>
        <w:i/>
        <w:color w:val="5FCAF3" w:themeColor="accent4" w:themeShade="95" w:themeTint="9A"/>
        <w:sz w:val="22"/>
      </w:rPr>
      <w:tblPr/>
      <w:tcPr>
        <w:tcBorders>
          <w:top w:val="single" w:sz="4" w:space="0" w:color="5FCAF3" w:themeColor="accent4" w:themeTint="9A"/>
          <w:left w:val="nil"/>
          <w:bottom w:val="nil"/>
          <w:right w:val="nil"/>
        </w:tcBorders>
        <w:shd w:val="clear" w:color="FFFFFF" w:fill="FFFFFF" w:themeFill="light1"/>
      </w:tcPr>
    </w:tblStylePr>
    <w:tblStylePr w:type="firstCol">
      <w:pPr>
        <w:snapToGrid/>
        <w:jc w:val="right"/>
      </w:pPr>
      <w:rPr>
        <w:rFonts w:ascii="Arial" w:hAnsi="Arial"/>
        <w:i/>
        <w:color w:val="5FCAF3" w:themeColor="accent4" w:themeShade="95" w:themeTint="9A"/>
        <w:sz w:val="22"/>
      </w:rPr>
      <w:tblPr/>
      <w:tcPr>
        <w:tcBorders>
          <w:top w:val="nil"/>
          <w:left w:val="nil"/>
          <w:bottom w:val="nil"/>
          <w:right w:val="single" w:sz="4" w:space="0" w:color="5FCAF3" w:themeColor="accent4" w:themeTint="9A"/>
        </w:tcBorders>
        <w:shd w:val="clear" w:color="FFFFFF" w:fill="FFFFFF"/>
      </w:tcPr>
    </w:tblStylePr>
    <w:tblStylePr w:type="lastCol">
      <w:pPr>
        <w:snapToGrid/>
      </w:pPr>
      <w:rPr>
        <w:rFonts w:ascii="Arial" w:hAnsi="Arial"/>
        <w:i/>
        <w:color w:val="5FCAF3" w:themeColor="accent4" w:themeShade="95" w:themeTint="9A"/>
        <w:sz w:val="22"/>
      </w:rPr>
      <w:tblPr/>
      <w:tcPr>
        <w:tcBorders>
          <w:top w:val="nil"/>
          <w:left w:val="single" w:sz="4" w:space="0" w:color="5FCAF3" w:themeColor="accent4" w:themeTint="9A"/>
          <w:bottom w:val="nil"/>
          <w:right w:val="nil"/>
        </w:tcBorders>
        <w:shd w:val="clear" w:color="FFFFFF" w:fill="FFFFFF"/>
      </w:tcPr>
    </w:tblStylePr>
    <w:tblStylePr w:type="band1Vert">
      <w:pPr>
        <w:snapToGrid/>
      </w:pPr>
      <w:tblPr/>
      <w:tcPr>
        <w:shd w:val="clear" w:color="FFEFBF" w:fill="BCE9FA" w:themeFill="accent4" w:themeFillTint="40"/>
      </w:tcPr>
    </w:tblStylePr>
    <w:tblStylePr w:type="band2Vert">
      <w:pPr>
        <w:snapToGrid/>
      </w:pPr>
    </w:tblStylePr>
    <w:tblStylePr w:type="band1Horz">
      <w:pPr>
        <w:snapToGrid/>
      </w:pPr>
      <w:rPr>
        <w:rFonts w:ascii="Arial" w:hAnsi="Arial"/>
        <w:color w:val="5FCAF3" w:themeColor="accent4" w:themeShade="95" w:themeTint="9A"/>
        <w:sz w:val="22"/>
      </w:rPr>
      <w:tblPr/>
      <w:tcPr>
        <w:shd w:val="clear" w:color="FFEFBF" w:fill="BCE9FA" w:themeFill="accent4" w:themeFillTint="40"/>
      </w:tcPr>
    </w:tblStylePr>
    <w:tblStylePr w:type="band2Horz">
      <w:pPr>
        <w:snapToGrid/>
      </w:pPr>
      <w:rPr>
        <w:rFonts w:ascii="Arial" w:hAnsi="Arial"/>
        <w:color w:val="5FCAF3"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5">
    <w:name w:val="List Table 7 Colorful - Accent 5"/>
    <w:basedOn w:val="TableNormal"/>
    <w:uiPriority w:val="99"/>
    <w:tblPr>
      <w:tblStyleRowBandSize w:val="1"/>
      <w:tblStyleColBandSize w:val="1"/>
      <w:tblBorders>
        <w:right w:val="single" w:sz="4" w:space="0" w:color="D76CCB" w:themeColor="accent5" w:themeTint="9A"/>
      </w:tblBorders>
    </w:tblPr>
    <w:tblStylePr w:type="firstRow">
      <w:pPr>
        <w:snapToGrid/>
      </w:pPr>
      <w:rPr>
        <w:rFonts w:ascii="Arial" w:hAnsi="Arial"/>
        <w:i/>
        <w:color w:val="D76CCB" w:themeColor="accent5" w:themeShade="95" w:themeTint="9A"/>
        <w:sz w:val="22"/>
      </w:rPr>
      <w:tblPr/>
      <w:tcPr>
        <w:tcBorders>
          <w:top w:val="nil"/>
          <w:left w:val="nil"/>
          <w:bottom w:val="single" w:sz="4" w:space="0" w:color="D76CCB" w:themeColor="accent5" w:themeTint="9A"/>
          <w:right w:val="nil"/>
        </w:tcBorders>
        <w:shd w:val="clear" w:color="FFFFFF" w:fill="FFFFFF" w:themeFill="light1"/>
      </w:tcPr>
    </w:tblStylePr>
    <w:tblStylePr w:type="lastRow">
      <w:pPr>
        <w:snapToGrid/>
      </w:pPr>
      <w:rPr>
        <w:rFonts w:ascii="Arial" w:hAnsi="Arial"/>
        <w:i/>
        <w:color w:val="D76CCB" w:themeColor="accent5" w:themeShade="95" w:themeTint="9A"/>
        <w:sz w:val="22"/>
      </w:rPr>
      <w:tblPr/>
      <w:tcPr>
        <w:tcBorders>
          <w:top w:val="single" w:sz="4" w:space="0" w:color="D76CCB" w:themeColor="accent5" w:themeTint="9A"/>
          <w:left w:val="nil"/>
          <w:bottom w:val="nil"/>
          <w:right w:val="nil"/>
        </w:tcBorders>
        <w:shd w:val="clear" w:color="FFFFFF" w:fill="FFFFFF" w:themeFill="light1"/>
      </w:tcPr>
    </w:tblStylePr>
    <w:tblStylePr w:type="firstCol">
      <w:pPr>
        <w:snapToGrid/>
        <w:jc w:val="right"/>
      </w:pPr>
      <w:rPr>
        <w:rFonts w:ascii="Arial" w:hAnsi="Arial"/>
        <w:i/>
        <w:color w:val="D76CCB" w:themeColor="accent5" w:themeShade="95" w:themeTint="9A"/>
        <w:sz w:val="22"/>
      </w:rPr>
      <w:tblPr/>
      <w:tcPr>
        <w:tcBorders>
          <w:top w:val="nil"/>
          <w:left w:val="nil"/>
          <w:bottom w:val="nil"/>
          <w:right w:val="single" w:sz="4" w:space="0" w:color="D76CCB" w:themeColor="accent5" w:themeTint="9A"/>
        </w:tcBorders>
        <w:shd w:val="clear" w:color="FFFFFF" w:fill="FFFFFF"/>
      </w:tcPr>
    </w:tblStylePr>
    <w:tblStylePr w:type="lastCol">
      <w:pPr>
        <w:snapToGrid/>
      </w:pPr>
      <w:rPr>
        <w:rFonts w:ascii="Arial" w:hAnsi="Arial"/>
        <w:i/>
        <w:color w:val="D76CCB" w:themeColor="accent5" w:themeShade="95" w:themeTint="9A"/>
        <w:sz w:val="22"/>
      </w:rPr>
      <w:tblPr/>
      <w:tcPr>
        <w:tcBorders>
          <w:top w:val="nil"/>
          <w:left w:val="single" w:sz="4" w:space="0" w:color="D76CCB" w:themeColor="accent5" w:themeTint="9A"/>
          <w:bottom w:val="nil"/>
          <w:right w:val="nil"/>
        </w:tcBorders>
        <w:shd w:val="clear" w:color="FFFFFF" w:fill="FFFFFF"/>
      </w:tcPr>
    </w:tblStylePr>
    <w:tblStylePr w:type="band1Vert">
      <w:pPr>
        <w:snapToGrid/>
      </w:pPr>
      <w:tblPr/>
      <w:tcPr>
        <w:shd w:val="clear" w:color="CFDBF0" w:fill="EEC2E9" w:themeFill="accent5" w:themeFillTint="40"/>
      </w:tcPr>
    </w:tblStylePr>
    <w:tblStylePr w:type="band2Vert">
      <w:pPr>
        <w:snapToGrid/>
      </w:pPr>
    </w:tblStylePr>
    <w:tblStylePr w:type="band1Horz">
      <w:pPr>
        <w:snapToGrid/>
      </w:pPr>
      <w:rPr>
        <w:rFonts w:ascii="Arial" w:hAnsi="Arial"/>
        <w:color w:val="D76CCB" w:themeColor="accent5" w:themeShade="95" w:themeTint="9A"/>
        <w:sz w:val="22"/>
      </w:rPr>
      <w:tblPr/>
      <w:tcPr>
        <w:shd w:val="clear" w:color="CFDBF0" w:fill="EEC2E9" w:themeFill="accent5" w:themeFillTint="40"/>
      </w:tcPr>
    </w:tblStylePr>
    <w:tblStylePr w:type="band2Horz">
      <w:pPr>
        <w:snapToGrid/>
      </w:pPr>
      <w:rPr>
        <w:rFonts w:ascii="Arial" w:hAnsi="Arial"/>
        <w:color w:val="D76CCB" w:themeColor="accent5"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6">
    <w:name w:val="List Table 7 Colorful - Accent 6"/>
    <w:basedOn w:val="TableNormal"/>
    <w:uiPriority w:val="99"/>
    <w:tblPr>
      <w:tblStyleRowBandSize w:val="1"/>
      <w:tblStyleColBandSize w:val="1"/>
      <w:tblBorders>
        <w:right w:val="single" w:sz="4" w:space="0" w:color="8ED873" w:themeColor="accent6" w:themeTint="98"/>
      </w:tblBorders>
    </w:tblPr>
    <w:tblStylePr w:type="firstRow">
      <w:pPr>
        <w:snapToGrid/>
      </w:pPr>
      <w:rPr>
        <w:rFonts w:ascii="Arial" w:hAnsi="Arial"/>
        <w:i/>
        <w:color w:val="8ED873" w:themeColor="accent6" w:themeShade="95" w:themeTint="98"/>
        <w:sz w:val="22"/>
      </w:rPr>
      <w:tblPr/>
      <w:tcPr>
        <w:tcBorders>
          <w:top w:val="nil"/>
          <w:left w:val="nil"/>
          <w:bottom w:val="single" w:sz="4" w:space="0" w:color="8ED873" w:themeColor="accent6" w:themeTint="98"/>
          <w:right w:val="nil"/>
        </w:tcBorders>
        <w:shd w:val="clear" w:color="FFFFFF" w:fill="FFFFFF" w:themeFill="light1"/>
      </w:tcPr>
    </w:tblStylePr>
    <w:tblStylePr w:type="lastRow">
      <w:pPr>
        <w:snapToGrid/>
      </w:pPr>
      <w:rPr>
        <w:rFonts w:ascii="Arial" w:hAnsi="Arial"/>
        <w:i/>
        <w:color w:val="8ED873" w:themeColor="accent6" w:themeShade="95" w:themeTint="98"/>
        <w:sz w:val="22"/>
      </w:rPr>
      <w:tblPr/>
      <w:tcPr>
        <w:tcBorders>
          <w:top w:val="single" w:sz="4" w:space="0" w:color="8ED873" w:themeColor="accent6" w:themeTint="98"/>
          <w:left w:val="nil"/>
          <w:bottom w:val="nil"/>
          <w:right w:val="nil"/>
        </w:tcBorders>
        <w:shd w:val="clear" w:color="FFFFFF" w:fill="FFFFFF" w:themeFill="light1"/>
      </w:tcPr>
    </w:tblStylePr>
    <w:tblStylePr w:type="firstCol">
      <w:pPr>
        <w:snapToGrid/>
        <w:jc w:val="right"/>
      </w:pPr>
      <w:rPr>
        <w:rFonts w:ascii="Arial" w:hAnsi="Arial"/>
        <w:i/>
        <w:color w:val="8ED873" w:themeColor="accent6" w:themeShade="95" w:themeTint="98"/>
        <w:sz w:val="22"/>
      </w:rPr>
      <w:tblPr/>
      <w:tcPr>
        <w:tcBorders>
          <w:top w:val="nil"/>
          <w:left w:val="nil"/>
          <w:bottom w:val="nil"/>
          <w:right w:val="single" w:sz="4" w:space="0" w:color="8ED873" w:themeColor="accent6" w:themeTint="98"/>
        </w:tcBorders>
        <w:shd w:val="clear" w:color="FFFFFF" w:fill="FFFFFF"/>
      </w:tcPr>
    </w:tblStylePr>
    <w:tblStylePr w:type="lastCol">
      <w:pPr>
        <w:snapToGrid/>
      </w:pPr>
      <w:rPr>
        <w:rFonts w:ascii="Arial" w:hAnsi="Arial"/>
        <w:i/>
        <w:color w:val="8ED873" w:themeColor="accent6" w:themeShade="95" w:themeTint="98"/>
        <w:sz w:val="22"/>
      </w:rPr>
      <w:tblPr/>
      <w:tcPr>
        <w:tcBorders>
          <w:top w:val="nil"/>
          <w:left w:val="single" w:sz="4" w:space="0" w:color="8ED873" w:themeColor="accent6" w:themeTint="98"/>
          <w:bottom w:val="nil"/>
          <w:right w:val="nil"/>
        </w:tcBorders>
        <w:shd w:val="clear" w:color="FFFFFF" w:fill="FFFFFF"/>
      </w:tcPr>
    </w:tblStylePr>
    <w:tblStylePr w:type="band1Vert">
      <w:pPr>
        <w:snapToGrid/>
      </w:pPr>
      <w:tblPr/>
      <w:tcPr>
        <w:shd w:val="clear" w:color="DAEBCF" w:fill="CFEFC4" w:themeFill="accent6" w:themeFillTint="40"/>
      </w:tcPr>
    </w:tblStylePr>
    <w:tblStylePr w:type="band2Vert">
      <w:pPr>
        <w:snapToGrid/>
      </w:pPr>
    </w:tblStylePr>
    <w:tblStylePr w:type="band1Horz">
      <w:pPr>
        <w:snapToGrid/>
      </w:pPr>
      <w:rPr>
        <w:rFonts w:ascii="Arial" w:hAnsi="Arial"/>
        <w:color w:val="8ED873" w:themeColor="accent6" w:themeShade="95" w:themeTint="98"/>
        <w:sz w:val="22"/>
      </w:rPr>
      <w:tblPr/>
      <w:tcPr>
        <w:shd w:val="clear" w:color="DAEBCF" w:fill="CFEFC4" w:themeFill="accent6" w:themeFillTint="40"/>
      </w:tcPr>
    </w:tblStylePr>
    <w:tblStylePr w:type="band2Horz">
      <w:pPr>
        <w:snapToGrid/>
      </w:pPr>
      <w:rPr>
        <w:rFonts w:ascii="Arial" w:hAnsi="Arial"/>
        <w:color w:val="8ED873" w:themeColor="accent6"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
    <w:name w:val="Lined - Accent"/>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1">
    <w:name w:val="Lined - Accent 1"/>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68A2D8" w:fill="19729B" w:themeFill="accent1" w:themeFillTint="EA"/>
      </w:tcPr>
    </w:tblStylePr>
    <w:tblStylePr w:type="lastRow">
      <w:pPr>
        <w:snapToGrid/>
      </w:pPr>
      <w:rPr>
        <w:rFonts w:ascii="Arial" w:hAnsi="Arial"/>
        <w:color w:val="F2F2F2"/>
        <w:sz w:val="22"/>
      </w:rPr>
      <w:tblPr/>
      <w:tcPr>
        <w:shd w:val="clear" w:color="68A2D8" w:fill="19729B" w:themeFill="accent1" w:themeFillTint="EA"/>
      </w:tcPr>
    </w:tblStylePr>
    <w:tblStylePr w:type="firstCol">
      <w:pPr>
        <w:snapToGrid/>
      </w:pPr>
      <w:rPr>
        <w:rFonts w:ascii="Arial" w:hAnsi="Arial"/>
        <w:color w:val="F2F2F2"/>
        <w:sz w:val="22"/>
      </w:rPr>
      <w:tblPr/>
      <w:tcPr>
        <w:shd w:val="clear" w:color="68A2D8" w:fill="19729B" w:themeFill="accent1" w:themeFillTint="EA"/>
      </w:tcPr>
    </w:tblStylePr>
    <w:tblStylePr w:type="lastCol">
      <w:pPr>
        <w:snapToGrid/>
      </w:pPr>
      <w:rPr>
        <w:rFonts w:ascii="Arial" w:hAnsi="Arial"/>
        <w:color w:val="F2F2F2"/>
        <w:sz w:val="22"/>
      </w:rPr>
      <w:tblPr/>
      <w:tcPr>
        <w:shd w:val="clear" w:color="68A2D8" w:fill="19729B"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BDFF1" w:fill="9ED5EF"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BDFF1" w:fill="9ED5EF"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2">
    <w:name w:val="Lined - Accent 2"/>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F4B184" w:fill="F2AA85" w:themeFill="accent2" w:themeFillTint="97"/>
      </w:tcPr>
    </w:tblStylePr>
    <w:tblStylePr w:type="lastRow">
      <w:pPr>
        <w:snapToGrid/>
      </w:pPr>
      <w:rPr>
        <w:rFonts w:ascii="Arial" w:hAnsi="Arial"/>
        <w:color w:val="F2F2F2"/>
        <w:sz w:val="22"/>
      </w:rPr>
      <w:tblPr/>
      <w:tcPr>
        <w:shd w:val="clear" w:color="F4B184" w:fill="F2AA85" w:themeFill="accent2" w:themeFillTint="97"/>
      </w:tcPr>
    </w:tblStylePr>
    <w:tblStylePr w:type="firstCol">
      <w:pPr>
        <w:snapToGrid/>
      </w:pPr>
      <w:rPr>
        <w:rFonts w:ascii="Arial" w:hAnsi="Arial"/>
        <w:color w:val="F2F2F2"/>
        <w:sz w:val="22"/>
      </w:rPr>
      <w:tblPr/>
      <w:tcPr>
        <w:shd w:val="clear" w:color="F4B184" w:fill="F2AA85" w:themeFill="accent2" w:themeFillTint="97"/>
      </w:tcPr>
    </w:tblStylePr>
    <w:tblStylePr w:type="lastCol">
      <w:pPr>
        <w:snapToGrid/>
      </w:pPr>
      <w:rPr>
        <w:rFonts w:ascii="Arial" w:hAnsi="Arial"/>
        <w:color w:val="F2F2F2"/>
        <w:sz w:val="22"/>
      </w:rPr>
      <w:tblPr/>
      <w:tcPr>
        <w:shd w:val="clear" w:color="F4B184" w:fill="F2AA8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BE5D6" w:fill="FAE2D6"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BE5D6" w:fill="FAE2D6"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3">
    <w:name w:val="Lined - Accent 3"/>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A5A5A5" w:fill="196C24" w:themeFill="accent3" w:themeFillTint="FE"/>
      </w:tcPr>
    </w:tblStylePr>
    <w:tblStylePr w:type="lastRow">
      <w:pPr>
        <w:snapToGrid/>
      </w:pPr>
      <w:rPr>
        <w:rFonts w:ascii="Arial" w:hAnsi="Arial"/>
        <w:color w:val="F2F2F2"/>
        <w:sz w:val="22"/>
      </w:rPr>
      <w:tblPr/>
      <w:tcPr>
        <w:shd w:val="clear" w:color="A5A5A5" w:fill="196C24" w:themeFill="accent3" w:themeFillTint="FE"/>
      </w:tcPr>
    </w:tblStylePr>
    <w:tblStylePr w:type="firstCol">
      <w:pPr>
        <w:snapToGrid/>
      </w:pPr>
      <w:rPr>
        <w:rFonts w:ascii="Arial" w:hAnsi="Arial"/>
        <w:color w:val="F2F2F2"/>
        <w:sz w:val="22"/>
      </w:rPr>
      <w:tblPr/>
      <w:tcPr>
        <w:shd w:val="clear" w:color="A5A5A5" w:fill="196C24" w:themeFill="accent3" w:themeFillTint="FE"/>
      </w:tcPr>
    </w:tblStylePr>
    <w:tblStylePr w:type="lastCol">
      <w:pPr>
        <w:snapToGrid/>
      </w:pPr>
      <w:rPr>
        <w:rFonts w:ascii="Arial" w:hAnsi="Arial"/>
        <w:color w:val="F2F2F2"/>
        <w:sz w:val="22"/>
      </w:rPr>
      <w:tblPr/>
      <w:tcPr>
        <w:shd w:val="clear" w:color="A5A5A5" w:fill="196C24"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CECEC" w:fill="C0F0C6"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CECEC" w:fill="C0F0C6"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4">
    <w:name w:val="Lined - Accent 4"/>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FFD865" w:fill="5FCAF3" w:themeFill="accent4" w:themeFillTint="9A"/>
      </w:tcPr>
    </w:tblStylePr>
    <w:tblStylePr w:type="lastRow">
      <w:pPr>
        <w:snapToGrid/>
      </w:pPr>
      <w:rPr>
        <w:rFonts w:ascii="Arial" w:hAnsi="Arial"/>
        <w:color w:val="F2F2F2"/>
        <w:sz w:val="22"/>
      </w:rPr>
      <w:tblPr/>
      <w:tcPr>
        <w:shd w:val="clear" w:color="FFD865" w:fill="5FCAF3" w:themeFill="accent4" w:themeFillTint="9A"/>
      </w:tcPr>
    </w:tblStylePr>
    <w:tblStylePr w:type="firstCol">
      <w:pPr>
        <w:snapToGrid/>
      </w:pPr>
      <w:rPr>
        <w:rFonts w:ascii="Arial" w:hAnsi="Arial"/>
        <w:color w:val="F2F2F2"/>
        <w:sz w:val="22"/>
      </w:rPr>
      <w:tblPr/>
      <w:tcPr>
        <w:shd w:val="clear" w:color="FFD865" w:fill="5FCAF3" w:themeFill="accent4" w:themeFillTint="9A"/>
      </w:tcPr>
    </w:tblStylePr>
    <w:tblStylePr w:type="lastCol">
      <w:pPr>
        <w:snapToGrid/>
      </w:pPr>
      <w:rPr>
        <w:rFonts w:ascii="Arial" w:hAnsi="Arial"/>
        <w:color w:val="F2F2F2"/>
        <w:sz w:val="22"/>
      </w:rPr>
      <w:tblPr/>
      <w:tcPr>
        <w:shd w:val="clear" w:color="FFD865" w:fill="5FCAF3"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2CB" w:fill="C9EDFB"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2CB" w:fill="C9EDFB"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5">
    <w:name w:val="Lined - Accent 5"/>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4472C4" w:fill="A02B93" w:themeFill="accent5"/>
      </w:tcPr>
    </w:tblStylePr>
    <w:tblStylePr w:type="lastRow">
      <w:pPr>
        <w:snapToGrid/>
      </w:pPr>
      <w:rPr>
        <w:rFonts w:ascii="Arial" w:hAnsi="Arial"/>
        <w:color w:val="F2F2F2"/>
        <w:sz w:val="22"/>
      </w:rPr>
      <w:tblPr/>
      <w:tcPr>
        <w:shd w:val="clear" w:color="4472C4" w:fill="A02B93" w:themeFill="accent5"/>
      </w:tcPr>
    </w:tblStylePr>
    <w:tblStylePr w:type="firstCol">
      <w:pPr>
        <w:snapToGrid/>
      </w:pPr>
      <w:rPr>
        <w:rFonts w:ascii="Arial" w:hAnsi="Arial"/>
        <w:color w:val="F2F2F2"/>
        <w:sz w:val="22"/>
      </w:rPr>
      <w:tblPr/>
      <w:tcPr>
        <w:shd w:val="clear" w:color="4472C4" w:fill="A02B93" w:themeFill="accent5"/>
      </w:tcPr>
    </w:tblStylePr>
    <w:tblStylePr w:type="lastCol">
      <w:pPr>
        <w:snapToGrid/>
      </w:pPr>
      <w:rPr>
        <w:rFonts w:ascii="Arial" w:hAnsi="Arial"/>
        <w:color w:val="F2F2F2"/>
        <w:sz w:val="22"/>
      </w:rPr>
      <w:tblPr/>
      <w:tcPr>
        <w:shd w:val="clear" w:color="4472C4" w:fill="A02B93"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8E2F3" w:fill="F1CDED"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8E2F3" w:fill="F1CDED"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6">
    <w:name w:val="Lined - Accent 6"/>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70AD47" w:fill="4EA72E" w:themeFill="accent6"/>
      </w:tcPr>
    </w:tblStylePr>
    <w:tblStylePr w:type="lastRow">
      <w:pPr>
        <w:snapToGrid/>
      </w:pPr>
      <w:rPr>
        <w:rFonts w:ascii="Arial" w:hAnsi="Arial"/>
        <w:color w:val="F2F2F2"/>
        <w:sz w:val="22"/>
      </w:rPr>
      <w:tblPr/>
      <w:tcPr>
        <w:shd w:val="clear" w:color="70AD47" w:fill="4EA72E" w:themeFill="accent6"/>
      </w:tcPr>
    </w:tblStylePr>
    <w:tblStylePr w:type="firstCol">
      <w:pPr>
        <w:snapToGrid/>
      </w:pPr>
      <w:rPr>
        <w:rFonts w:ascii="Arial" w:hAnsi="Arial"/>
        <w:color w:val="F2F2F2"/>
        <w:sz w:val="22"/>
      </w:rPr>
      <w:tblPr/>
      <w:tcPr>
        <w:shd w:val="clear" w:color="70AD47" w:fill="4EA72E" w:themeFill="accent6"/>
      </w:tcPr>
    </w:tblStylePr>
    <w:tblStylePr w:type="lastCol">
      <w:pPr>
        <w:snapToGrid/>
      </w:pPr>
      <w:rPr>
        <w:rFonts w:ascii="Arial" w:hAnsi="Arial"/>
        <w:color w:val="F2F2F2"/>
        <w:sz w:val="22"/>
      </w:rPr>
      <w:tblPr/>
      <w:tcPr>
        <w:shd w:val="clear" w:color="70AD47" w:fill="4EA72E"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1EFD8" w:fill="D8F2CF"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1EFD8" w:fill="D8F2CF"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
    <w:name w:val="Bordered &amp; Lined - Accent"/>
    <w:basedOn w:val="Table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pPr>
        <w:snapToGrid/>
      </w:pPr>
      <w:rPr>
        <w:rFonts w:ascii="Arial" w:hAnsi="Arial"/>
        <w:color w:val="F2F2F2"/>
        <w:sz w:val="22"/>
      </w:rPr>
      <w:tblPr/>
      <w:tcPr>
        <w:shd w:val="clear" w:color="68A2D8" w:fill="19729B" w:themeFill="accent1" w:themeFillTint="EA"/>
      </w:tcPr>
    </w:tblStylePr>
    <w:tblStylePr w:type="lastRow">
      <w:pPr>
        <w:snapToGrid/>
      </w:pPr>
      <w:rPr>
        <w:rFonts w:ascii="Arial" w:hAnsi="Arial"/>
        <w:color w:val="F2F2F2"/>
        <w:sz w:val="22"/>
      </w:rPr>
      <w:tblPr/>
      <w:tcPr>
        <w:shd w:val="clear" w:color="68A2D8" w:fill="19729B" w:themeFill="accent1" w:themeFillTint="EA"/>
      </w:tcPr>
    </w:tblStylePr>
    <w:tblStylePr w:type="firstCol">
      <w:pPr>
        <w:snapToGrid/>
      </w:pPr>
      <w:rPr>
        <w:rFonts w:ascii="Arial" w:hAnsi="Arial"/>
        <w:color w:val="F2F2F2"/>
        <w:sz w:val="22"/>
      </w:rPr>
      <w:tblPr/>
      <w:tcPr>
        <w:shd w:val="clear" w:color="68A2D8" w:fill="19729B" w:themeFill="accent1" w:themeFillTint="EA"/>
      </w:tcPr>
    </w:tblStylePr>
    <w:tblStylePr w:type="lastCol">
      <w:pPr>
        <w:snapToGrid/>
      </w:pPr>
      <w:rPr>
        <w:rFonts w:ascii="Arial" w:hAnsi="Arial"/>
        <w:color w:val="F2F2F2"/>
        <w:sz w:val="22"/>
      </w:rPr>
      <w:tblPr/>
      <w:tcPr>
        <w:shd w:val="clear" w:color="68A2D8" w:fill="19729B"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BDFF1" w:fill="9ED5EF"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BDFF1" w:fill="9ED5EF"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pPr>
        <w:snapToGrid/>
      </w:pPr>
      <w:rPr>
        <w:rFonts w:ascii="Arial" w:hAnsi="Arial"/>
        <w:color w:val="F2F2F2"/>
        <w:sz w:val="22"/>
      </w:rPr>
      <w:tblPr/>
      <w:tcPr>
        <w:shd w:val="clear" w:color="F4B184" w:fill="F2AA85" w:themeFill="accent2" w:themeFillTint="97"/>
      </w:tcPr>
    </w:tblStylePr>
    <w:tblStylePr w:type="lastRow">
      <w:pPr>
        <w:snapToGrid/>
      </w:pPr>
      <w:rPr>
        <w:rFonts w:ascii="Arial" w:hAnsi="Arial"/>
        <w:color w:val="F2F2F2"/>
        <w:sz w:val="22"/>
      </w:rPr>
      <w:tblPr/>
      <w:tcPr>
        <w:shd w:val="clear" w:color="F4B184" w:fill="F2AA85" w:themeFill="accent2" w:themeFillTint="97"/>
      </w:tcPr>
    </w:tblStylePr>
    <w:tblStylePr w:type="firstCol">
      <w:pPr>
        <w:snapToGrid/>
      </w:pPr>
      <w:rPr>
        <w:rFonts w:ascii="Arial" w:hAnsi="Arial"/>
        <w:color w:val="F2F2F2"/>
        <w:sz w:val="22"/>
      </w:rPr>
      <w:tblPr/>
      <w:tcPr>
        <w:shd w:val="clear" w:color="F4B184" w:fill="F2AA85" w:themeFill="accent2" w:themeFillTint="97"/>
      </w:tcPr>
    </w:tblStylePr>
    <w:tblStylePr w:type="lastCol">
      <w:pPr>
        <w:snapToGrid/>
      </w:pPr>
      <w:rPr>
        <w:rFonts w:ascii="Arial" w:hAnsi="Arial"/>
        <w:color w:val="F2F2F2"/>
        <w:sz w:val="22"/>
      </w:rPr>
      <w:tblPr/>
      <w:tcPr>
        <w:shd w:val="clear" w:color="F4B184" w:fill="F2AA8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BE5D6" w:fill="FAE2D6"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BE5D6" w:fill="FAE2D6"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pPr>
        <w:snapToGrid/>
      </w:pPr>
      <w:rPr>
        <w:rFonts w:ascii="Arial" w:hAnsi="Arial"/>
        <w:color w:val="F2F2F2"/>
        <w:sz w:val="22"/>
      </w:rPr>
      <w:tblPr/>
      <w:tcPr>
        <w:shd w:val="clear" w:color="A5A5A5" w:fill="196C24" w:themeFill="accent3" w:themeFillTint="FE"/>
      </w:tcPr>
    </w:tblStylePr>
    <w:tblStylePr w:type="lastRow">
      <w:pPr>
        <w:snapToGrid/>
      </w:pPr>
      <w:rPr>
        <w:rFonts w:ascii="Arial" w:hAnsi="Arial"/>
        <w:color w:val="F2F2F2"/>
        <w:sz w:val="22"/>
      </w:rPr>
      <w:tblPr/>
      <w:tcPr>
        <w:shd w:val="clear" w:color="A5A5A5" w:fill="196C24" w:themeFill="accent3" w:themeFillTint="FE"/>
      </w:tcPr>
    </w:tblStylePr>
    <w:tblStylePr w:type="firstCol">
      <w:pPr>
        <w:snapToGrid/>
      </w:pPr>
      <w:rPr>
        <w:rFonts w:ascii="Arial" w:hAnsi="Arial"/>
        <w:color w:val="F2F2F2"/>
        <w:sz w:val="22"/>
      </w:rPr>
      <w:tblPr/>
      <w:tcPr>
        <w:shd w:val="clear" w:color="A5A5A5" w:fill="196C24" w:themeFill="accent3" w:themeFillTint="FE"/>
      </w:tcPr>
    </w:tblStylePr>
    <w:tblStylePr w:type="lastCol">
      <w:pPr>
        <w:snapToGrid/>
      </w:pPr>
      <w:rPr>
        <w:rFonts w:ascii="Arial" w:hAnsi="Arial"/>
        <w:color w:val="F2F2F2"/>
        <w:sz w:val="22"/>
      </w:rPr>
      <w:tblPr/>
      <w:tcPr>
        <w:shd w:val="clear" w:color="A5A5A5" w:fill="196C24"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CECEC" w:fill="C0F0C6"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CECEC" w:fill="C0F0C6"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pPr>
        <w:snapToGrid/>
      </w:pPr>
      <w:rPr>
        <w:rFonts w:ascii="Arial" w:hAnsi="Arial"/>
        <w:color w:val="F2F2F2"/>
        <w:sz w:val="22"/>
      </w:rPr>
      <w:tblPr/>
      <w:tcPr>
        <w:shd w:val="clear" w:color="FFD865" w:fill="5FCAF3" w:themeFill="accent4" w:themeFillTint="9A"/>
      </w:tcPr>
    </w:tblStylePr>
    <w:tblStylePr w:type="lastRow">
      <w:pPr>
        <w:snapToGrid/>
      </w:pPr>
      <w:rPr>
        <w:rFonts w:ascii="Arial" w:hAnsi="Arial"/>
        <w:color w:val="F2F2F2"/>
        <w:sz w:val="22"/>
      </w:rPr>
      <w:tblPr/>
      <w:tcPr>
        <w:shd w:val="clear" w:color="FFD865" w:fill="5FCAF3" w:themeFill="accent4" w:themeFillTint="9A"/>
      </w:tcPr>
    </w:tblStylePr>
    <w:tblStylePr w:type="firstCol">
      <w:pPr>
        <w:snapToGrid/>
      </w:pPr>
      <w:rPr>
        <w:rFonts w:ascii="Arial" w:hAnsi="Arial"/>
        <w:color w:val="F2F2F2"/>
        <w:sz w:val="22"/>
      </w:rPr>
      <w:tblPr/>
      <w:tcPr>
        <w:shd w:val="clear" w:color="FFD865" w:fill="5FCAF3" w:themeFill="accent4" w:themeFillTint="9A"/>
      </w:tcPr>
    </w:tblStylePr>
    <w:tblStylePr w:type="lastCol">
      <w:pPr>
        <w:snapToGrid/>
      </w:pPr>
      <w:rPr>
        <w:rFonts w:ascii="Arial" w:hAnsi="Arial"/>
        <w:color w:val="F2F2F2"/>
        <w:sz w:val="22"/>
      </w:rPr>
      <w:tblPr/>
      <w:tcPr>
        <w:shd w:val="clear" w:color="FFD865" w:fill="5FCAF3"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2CB" w:fill="C9EDFB"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2CB" w:fill="C9EDFB"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pPr>
        <w:snapToGrid/>
      </w:pPr>
      <w:rPr>
        <w:rFonts w:ascii="Arial" w:hAnsi="Arial"/>
        <w:color w:val="F2F2F2"/>
        <w:sz w:val="22"/>
      </w:rPr>
      <w:tblPr/>
      <w:tcPr>
        <w:shd w:val="clear" w:color="4472C4" w:fill="A02B93" w:themeFill="accent5"/>
      </w:tcPr>
    </w:tblStylePr>
    <w:tblStylePr w:type="lastRow">
      <w:pPr>
        <w:snapToGrid/>
      </w:pPr>
      <w:rPr>
        <w:rFonts w:ascii="Arial" w:hAnsi="Arial"/>
        <w:color w:val="F2F2F2"/>
        <w:sz w:val="22"/>
      </w:rPr>
      <w:tblPr/>
      <w:tcPr>
        <w:shd w:val="clear" w:color="4472C4" w:fill="A02B93" w:themeFill="accent5"/>
      </w:tcPr>
    </w:tblStylePr>
    <w:tblStylePr w:type="firstCol">
      <w:pPr>
        <w:snapToGrid/>
      </w:pPr>
      <w:rPr>
        <w:rFonts w:ascii="Arial" w:hAnsi="Arial"/>
        <w:color w:val="F2F2F2"/>
        <w:sz w:val="22"/>
      </w:rPr>
      <w:tblPr/>
      <w:tcPr>
        <w:shd w:val="clear" w:color="4472C4" w:fill="A02B93" w:themeFill="accent5"/>
      </w:tcPr>
    </w:tblStylePr>
    <w:tblStylePr w:type="lastCol">
      <w:pPr>
        <w:snapToGrid/>
      </w:pPr>
      <w:rPr>
        <w:rFonts w:ascii="Arial" w:hAnsi="Arial"/>
        <w:color w:val="F2F2F2"/>
        <w:sz w:val="22"/>
      </w:rPr>
      <w:tblPr/>
      <w:tcPr>
        <w:shd w:val="clear" w:color="4472C4" w:fill="A02B93"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8E2F3" w:fill="F1CDED"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8E2F3" w:fill="F1CDED"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pPr>
        <w:snapToGrid/>
      </w:pPr>
      <w:rPr>
        <w:rFonts w:ascii="Arial" w:hAnsi="Arial"/>
        <w:color w:val="F2F2F2"/>
        <w:sz w:val="22"/>
      </w:rPr>
      <w:tblPr/>
      <w:tcPr>
        <w:shd w:val="clear" w:color="70AD47" w:fill="4EA72E" w:themeFill="accent6"/>
      </w:tcPr>
    </w:tblStylePr>
    <w:tblStylePr w:type="lastRow">
      <w:pPr>
        <w:snapToGrid/>
      </w:pPr>
      <w:rPr>
        <w:rFonts w:ascii="Arial" w:hAnsi="Arial"/>
        <w:color w:val="F2F2F2"/>
        <w:sz w:val="22"/>
      </w:rPr>
      <w:tblPr/>
      <w:tcPr>
        <w:shd w:val="clear" w:color="70AD47" w:fill="4EA72E" w:themeFill="accent6"/>
      </w:tcPr>
    </w:tblStylePr>
    <w:tblStylePr w:type="firstCol">
      <w:pPr>
        <w:snapToGrid/>
      </w:pPr>
      <w:rPr>
        <w:rFonts w:ascii="Arial" w:hAnsi="Arial"/>
        <w:color w:val="F2F2F2"/>
        <w:sz w:val="22"/>
      </w:rPr>
      <w:tblPr/>
      <w:tcPr>
        <w:shd w:val="clear" w:color="70AD47" w:fill="4EA72E" w:themeFill="accent6"/>
      </w:tcPr>
    </w:tblStylePr>
    <w:tblStylePr w:type="lastCol">
      <w:pPr>
        <w:snapToGrid/>
      </w:pPr>
      <w:rPr>
        <w:rFonts w:ascii="Arial" w:hAnsi="Arial"/>
        <w:color w:val="F2F2F2"/>
        <w:sz w:val="22"/>
      </w:rPr>
      <w:tblPr/>
      <w:tcPr>
        <w:shd w:val="clear" w:color="70AD47" w:fill="4EA72E"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1EFD8" w:fill="D8F2CF"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1EFD8" w:fill="D8F2CF"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pPr>
        <w:snapToGrid/>
      </w:pPr>
      <w:rPr>
        <w:rFonts w:ascii="Arial" w:hAnsi="Arial"/>
        <w:color w:val="404040"/>
        <w:sz w:val="22"/>
      </w:rPr>
      <w:tblPr/>
      <w:tcPr>
        <w:tcBorders>
          <w:bottom w:val="single" w:sz="12" w:space="0" w:color="7F7F7F" w:themeColor="text1" w:themeTint="80"/>
        </w:tcBorders>
      </w:tcPr>
    </w:tblStylePr>
    <w:tblStylePr w:type="lastRow">
      <w:pPr>
        <w:snapToGrid/>
      </w:pPr>
      <w:rPr>
        <w:rFonts w:ascii="Arial" w:hAnsi="Arial"/>
        <w:color w:val="404040"/>
        <w:sz w:val="22"/>
      </w:rPr>
      <w:tblPr/>
      <w:tcPr>
        <w:tcBorders>
          <w:top w:val="single" w:sz="12" w:space="0" w:color="7F7F7F" w:themeColor="text1" w:themeTint="8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7F7F7F" w:themeColor="text1" w:themeTint="80"/>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1">
    <w:name w:val="Bordered - Accent 1"/>
    <w:basedOn w:val="TableNormal"/>
    <w:uiPriority w:val="99"/>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pPr>
        <w:snapToGrid/>
      </w:pPr>
      <w:rPr>
        <w:rFonts w:ascii="Arial" w:hAnsi="Arial"/>
        <w:color w:val="404040"/>
        <w:sz w:val="22"/>
      </w:rPr>
      <w:tblPr/>
      <w:tcPr>
        <w:tcBorders>
          <w:bottom w:val="single" w:sz="12" w:space="0" w:color="156082" w:themeColor="accent1"/>
        </w:tcBorders>
      </w:tcPr>
    </w:tblStylePr>
    <w:tblStylePr w:type="lastRow">
      <w:pPr>
        <w:snapToGrid/>
      </w:pPr>
      <w:rPr>
        <w:rFonts w:ascii="Arial" w:hAnsi="Arial"/>
        <w:color w:val="404040"/>
        <w:sz w:val="22"/>
      </w:rPr>
      <w:tblPr/>
      <w:tcPr>
        <w:tcBorders>
          <w:top w:val="single" w:sz="12" w:space="0" w:color="156082" w:themeColor="accent1"/>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156082" w:themeColor="accent1"/>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2">
    <w:name w:val="Bordered - Accent 2"/>
    <w:basedOn w:val="TableNormal"/>
    <w:uiPriority w:val="99"/>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pPr>
        <w:snapToGrid/>
      </w:pPr>
      <w:rPr>
        <w:rFonts w:ascii="Arial" w:hAnsi="Arial"/>
        <w:color w:val="404040"/>
        <w:sz w:val="22"/>
      </w:rPr>
      <w:tblPr/>
      <w:tcPr>
        <w:tcBorders>
          <w:bottom w:val="single" w:sz="12" w:space="0" w:color="F2AA85" w:themeColor="accent2" w:themeTint="97"/>
        </w:tcBorders>
      </w:tcPr>
    </w:tblStylePr>
    <w:tblStylePr w:type="lastRow">
      <w:pPr>
        <w:snapToGrid/>
      </w:pPr>
      <w:rPr>
        <w:rFonts w:ascii="Arial" w:hAnsi="Arial"/>
        <w:color w:val="404040"/>
        <w:sz w:val="22"/>
      </w:rPr>
      <w:tblPr/>
      <w:tcPr>
        <w:tcBorders>
          <w:top w:val="single" w:sz="12" w:space="0" w:color="F2AA85" w:themeColor="accent2" w:themeTint="97"/>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2AA85" w:themeColor="accent2" w:themeTint="97"/>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3">
    <w:name w:val="Bordered - Accent 3"/>
    <w:basedOn w:val="TableNormal"/>
    <w:uiPriority w:val="99"/>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pPr>
        <w:snapToGrid/>
      </w:pPr>
      <w:rPr>
        <w:rFonts w:ascii="Arial" w:hAnsi="Arial"/>
        <w:color w:val="404040"/>
        <w:sz w:val="22"/>
      </w:rPr>
      <w:tblPr/>
      <w:tcPr>
        <w:tcBorders>
          <w:bottom w:val="single" w:sz="12" w:space="0" w:color="48D45B" w:themeColor="accent3" w:themeTint="98"/>
        </w:tcBorders>
      </w:tcPr>
    </w:tblStylePr>
    <w:tblStylePr w:type="lastRow">
      <w:pPr>
        <w:snapToGrid/>
      </w:pPr>
      <w:rPr>
        <w:rFonts w:ascii="Arial" w:hAnsi="Arial"/>
        <w:color w:val="404040"/>
        <w:sz w:val="22"/>
      </w:rPr>
      <w:tblPr/>
      <w:tcPr>
        <w:tcBorders>
          <w:top w:val="single" w:sz="12" w:space="0" w:color="48D45B" w:themeColor="accent3"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48D45B" w:themeColor="accent3"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4">
    <w:name w:val="Bordered - Accent 4"/>
    <w:basedOn w:val="TableNormal"/>
    <w:uiPriority w:val="99"/>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pPr>
        <w:snapToGrid/>
      </w:pPr>
      <w:rPr>
        <w:rFonts w:ascii="Arial" w:hAnsi="Arial"/>
        <w:color w:val="404040"/>
        <w:sz w:val="22"/>
      </w:rPr>
      <w:tblPr/>
      <w:tcPr>
        <w:tcBorders>
          <w:bottom w:val="single" w:sz="12" w:space="0" w:color="5FCAF3" w:themeColor="accent4" w:themeTint="9A"/>
        </w:tcBorders>
      </w:tcPr>
    </w:tblStylePr>
    <w:tblStylePr w:type="lastRow">
      <w:pPr>
        <w:snapToGrid/>
      </w:pPr>
      <w:rPr>
        <w:rFonts w:ascii="Arial" w:hAnsi="Arial"/>
        <w:color w:val="404040"/>
        <w:sz w:val="22"/>
      </w:rPr>
      <w:tblPr/>
      <w:tcPr>
        <w:tcBorders>
          <w:top w:val="single" w:sz="12" w:space="0" w:color="5FCAF3" w:themeColor="accent4"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5FCAF3" w:themeColor="accent4"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5">
    <w:name w:val="Bordered - Accent 5"/>
    <w:basedOn w:val="TableNormal"/>
    <w:uiPriority w:val="99"/>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pPr>
        <w:snapToGrid/>
      </w:pPr>
      <w:rPr>
        <w:rFonts w:ascii="Arial" w:hAnsi="Arial"/>
        <w:color w:val="404040"/>
        <w:sz w:val="22"/>
      </w:rPr>
      <w:tblPr/>
      <w:tcPr>
        <w:tcBorders>
          <w:bottom w:val="single" w:sz="12" w:space="0" w:color="D76CCB" w:themeColor="accent5" w:themeTint="9A"/>
        </w:tcBorders>
      </w:tcPr>
    </w:tblStylePr>
    <w:tblStylePr w:type="lastRow">
      <w:pPr>
        <w:snapToGrid/>
      </w:pPr>
      <w:rPr>
        <w:rFonts w:ascii="Arial" w:hAnsi="Arial"/>
        <w:color w:val="404040"/>
        <w:sz w:val="22"/>
      </w:rPr>
      <w:tblPr/>
      <w:tcPr>
        <w:tcBorders>
          <w:top w:val="single" w:sz="12" w:space="0" w:color="D76CCB" w:themeColor="accent5"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D76CCB" w:themeColor="accent5"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6">
    <w:name w:val="Bordered - Accent 6"/>
    <w:basedOn w:val="TableNormal"/>
    <w:uiPriority w:val="99"/>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pPr>
        <w:snapToGrid/>
      </w:pPr>
      <w:rPr>
        <w:rFonts w:ascii="Arial" w:hAnsi="Arial"/>
        <w:color w:val="404040"/>
        <w:sz w:val="22"/>
      </w:rPr>
      <w:tblPr/>
      <w:tcPr>
        <w:tcBorders>
          <w:bottom w:val="single" w:sz="12" w:space="0" w:color="8ED873" w:themeColor="accent6" w:themeTint="98"/>
        </w:tcBorders>
      </w:tcPr>
    </w:tblStylePr>
    <w:tblStylePr w:type="lastRow">
      <w:pPr>
        <w:snapToGrid/>
      </w:pPr>
      <w:rPr>
        <w:rFonts w:ascii="Arial" w:hAnsi="Arial"/>
        <w:color w:val="404040"/>
        <w:sz w:val="22"/>
      </w:rPr>
      <w:tblPr/>
      <w:tcPr>
        <w:tcBorders>
          <w:top w:val="single" w:sz="12" w:space="0" w:color="8ED873" w:themeColor="accent6"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8ED873" w:themeColor="accent6"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Hyperlink">
    <w:name w:val="Hyperlink"/>
    <w:uiPriority w:val="99"/>
    <w:unhideWhenUsed/>
    <w:rPr>
      <w:color w:val="467886" w:themeColor="hyperlink"/>
      <w:u w:val="single"/>
    </w:rPr>
  </w:style>
  <w:style w:type="paragraph" w:styleId="FootnoteText">
    <w:name w:val="footnote text"/>
    <w:basedOn w:val="Normal"/>
    <w:link w:val="a5"/>
    <w:uiPriority w:val="99"/>
    <w:semiHidden/>
    <w:unhideWhenUsed/>
    <w:pPr>
      <w:spacing w:after="40"/>
    </w:pPr>
    <w:rPr>
      <w:sz w:val="18"/>
    </w:rPr>
  </w:style>
  <w:style w:type="character" w:customStyle="1" w:styleId="a5">
    <w:name w:val="脚注文本 字符"/>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a6"/>
    <w:uiPriority w:val="99"/>
    <w:semiHidden/>
    <w:unhideWhenUsed/>
    <w:rPr>
      <w:sz w:val="20"/>
    </w:rPr>
  </w:style>
  <w:style w:type="character" w:customStyle="1" w:styleId="a6">
    <w:name w:val="尾注文本 字符"/>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2052-11.8.2.1111</vt:lpwstr>
  </property>
</Properties>
</file>