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086B2">
      <w:pPr>
        <w:adjustRightInd w:val="0"/>
        <w:snapToGrid w:val="0"/>
        <w:jc w:val="center"/>
        <w:rPr>
          <w:rFonts w:cs="Arial" w:asciiTheme="minorEastAsia" w:hAnsiTheme="minorEastAsia" w:eastAsiaTheme="minorEastAsia"/>
          <w:sz w:val="24"/>
        </w:rPr>
      </w:pPr>
    </w:p>
    <w:p w14:paraId="71153186">
      <w:pPr>
        <w:adjustRightInd w:val="0"/>
        <w:snapToGrid w:val="0"/>
        <w:jc w:val="center"/>
        <w:rPr>
          <w:rFonts w:cs="Arial" w:asciiTheme="minorEastAsia" w:hAnsiTheme="minorEastAsia" w:eastAsiaTheme="minorEastAsia"/>
          <w:sz w:val="24"/>
        </w:rPr>
      </w:pPr>
    </w:p>
    <w:p w14:paraId="647DF58E">
      <w:pPr>
        <w:adjustRightInd w:val="0"/>
        <w:snapToGrid w:val="0"/>
        <w:jc w:val="center"/>
        <w:rPr>
          <w:rFonts w:cs="Arial" w:asciiTheme="minorEastAsia" w:hAnsiTheme="minorEastAsia" w:eastAsiaTheme="minorEastAsia"/>
          <w:sz w:val="24"/>
        </w:rPr>
      </w:pPr>
    </w:p>
    <w:p w14:paraId="0426CA30">
      <w:pPr>
        <w:adjustRightInd w:val="0"/>
        <w:snapToGrid w:val="0"/>
        <w:jc w:val="center"/>
        <w:rPr>
          <w:rFonts w:cs="Arial" w:asciiTheme="minorEastAsia" w:hAnsiTheme="minorEastAsia" w:eastAsiaTheme="minorEastAsia"/>
          <w:sz w:val="24"/>
        </w:rPr>
      </w:pPr>
    </w:p>
    <w:p w14:paraId="08F0F5DD">
      <w:pPr>
        <w:adjustRightInd w:val="0"/>
        <w:snapToGrid w:val="0"/>
        <w:jc w:val="center"/>
        <w:rPr>
          <w:rFonts w:cs="Arial" w:asciiTheme="minorEastAsia" w:hAnsiTheme="minorEastAsia" w:eastAsiaTheme="minorEastAsia"/>
          <w:sz w:val="24"/>
        </w:rPr>
      </w:pPr>
    </w:p>
    <w:p w14:paraId="029264FC">
      <w:pPr>
        <w:adjustRightInd w:val="0"/>
        <w:snapToGrid w:val="0"/>
        <w:jc w:val="center"/>
        <w:rPr>
          <w:rFonts w:cs="Arial" w:asciiTheme="minorEastAsia" w:hAnsiTheme="minorEastAsia" w:eastAsiaTheme="minorEastAsia"/>
          <w:sz w:val="24"/>
        </w:rPr>
      </w:pPr>
    </w:p>
    <w:p w14:paraId="3AE1772B">
      <w:pPr>
        <w:adjustRightInd w:val="0"/>
        <w:snapToGrid w:val="0"/>
        <w:jc w:val="center"/>
        <w:rPr>
          <w:rFonts w:cs="Arial" w:asciiTheme="minorEastAsia" w:hAnsiTheme="minorEastAsia" w:eastAsiaTheme="minorEastAsia"/>
          <w:sz w:val="24"/>
        </w:rPr>
      </w:pPr>
    </w:p>
    <w:p w14:paraId="05051B92">
      <w:pPr>
        <w:adjustRightInd w:val="0"/>
        <w:snapToGrid w:val="0"/>
        <w:jc w:val="center"/>
        <w:rPr>
          <w:rFonts w:cs="Arial" w:asciiTheme="minorEastAsia" w:hAnsiTheme="minorEastAsia" w:eastAsiaTheme="minorEastAsia"/>
          <w:sz w:val="24"/>
        </w:rPr>
      </w:pPr>
    </w:p>
    <w:p w14:paraId="4BF17952">
      <w:pPr>
        <w:adjustRightInd w:val="0"/>
        <w:snapToGrid w:val="0"/>
        <w:jc w:val="center"/>
        <w:rPr>
          <w:rFonts w:cs="Arial" w:asciiTheme="minorEastAsia" w:hAnsiTheme="minorEastAsia" w:eastAsiaTheme="minorEastAsia"/>
          <w:b/>
          <w:sz w:val="44"/>
        </w:rPr>
      </w:pPr>
      <w:r>
        <w:rPr>
          <w:rFonts w:hint="eastAsia" w:cs="Arial" w:asciiTheme="minorEastAsia" w:hAnsiTheme="minorEastAsia" w:eastAsiaTheme="minorEastAsia"/>
          <w:b/>
          <w:sz w:val="44"/>
        </w:rPr>
        <w:t>银华汇泽债券型证券投资基金托管协议</w:t>
      </w:r>
    </w:p>
    <w:p w14:paraId="2AE8BD4F">
      <w:pPr>
        <w:adjustRightInd w:val="0"/>
        <w:snapToGrid w:val="0"/>
        <w:jc w:val="center"/>
        <w:rPr>
          <w:rFonts w:cs="Arial" w:asciiTheme="minorEastAsia" w:hAnsiTheme="minorEastAsia" w:eastAsiaTheme="minorEastAsia"/>
          <w:sz w:val="24"/>
        </w:rPr>
      </w:pPr>
    </w:p>
    <w:p w14:paraId="5A9371C0">
      <w:pPr>
        <w:adjustRightInd w:val="0"/>
        <w:snapToGrid w:val="0"/>
        <w:jc w:val="center"/>
        <w:rPr>
          <w:rFonts w:cs="Arial" w:asciiTheme="minorEastAsia" w:hAnsiTheme="minorEastAsia" w:eastAsiaTheme="minorEastAsia"/>
          <w:sz w:val="24"/>
        </w:rPr>
      </w:pPr>
    </w:p>
    <w:p w14:paraId="20CA3BD4">
      <w:pPr>
        <w:adjustRightInd w:val="0"/>
        <w:snapToGrid w:val="0"/>
        <w:jc w:val="center"/>
        <w:rPr>
          <w:rFonts w:cs="Arial" w:asciiTheme="minorEastAsia" w:hAnsiTheme="minorEastAsia" w:eastAsiaTheme="minorEastAsia"/>
          <w:sz w:val="24"/>
        </w:rPr>
      </w:pPr>
    </w:p>
    <w:p w14:paraId="310F55DF">
      <w:pPr>
        <w:adjustRightInd w:val="0"/>
        <w:snapToGrid w:val="0"/>
        <w:jc w:val="center"/>
        <w:rPr>
          <w:rFonts w:cs="Arial" w:asciiTheme="minorEastAsia" w:hAnsiTheme="minorEastAsia" w:eastAsiaTheme="minorEastAsia"/>
          <w:sz w:val="24"/>
        </w:rPr>
      </w:pPr>
    </w:p>
    <w:p w14:paraId="44468870">
      <w:pPr>
        <w:adjustRightInd w:val="0"/>
        <w:snapToGrid w:val="0"/>
        <w:jc w:val="center"/>
        <w:rPr>
          <w:rFonts w:cs="Arial" w:asciiTheme="minorEastAsia" w:hAnsiTheme="minorEastAsia" w:eastAsiaTheme="minorEastAsia"/>
          <w:sz w:val="24"/>
        </w:rPr>
      </w:pPr>
    </w:p>
    <w:p w14:paraId="4218F555">
      <w:pPr>
        <w:adjustRightInd w:val="0"/>
        <w:snapToGrid w:val="0"/>
        <w:jc w:val="center"/>
        <w:rPr>
          <w:rFonts w:cs="Arial" w:asciiTheme="minorEastAsia" w:hAnsiTheme="minorEastAsia" w:eastAsiaTheme="minorEastAsia"/>
          <w:sz w:val="24"/>
        </w:rPr>
      </w:pPr>
    </w:p>
    <w:p w14:paraId="21EBE728">
      <w:pPr>
        <w:adjustRightInd w:val="0"/>
        <w:snapToGrid w:val="0"/>
        <w:jc w:val="center"/>
        <w:rPr>
          <w:rFonts w:cs="Arial" w:asciiTheme="minorEastAsia" w:hAnsiTheme="minorEastAsia" w:eastAsiaTheme="minorEastAsia"/>
          <w:sz w:val="24"/>
        </w:rPr>
      </w:pPr>
    </w:p>
    <w:p w14:paraId="56A0FECD">
      <w:pPr>
        <w:adjustRightInd w:val="0"/>
        <w:snapToGrid w:val="0"/>
        <w:jc w:val="center"/>
        <w:rPr>
          <w:rFonts w:cs="Arial" w:asciiTheme="minorEastAsia" w:hAnsiTheme="minorEastAsia" w:eastAsiaTheme="minorEastAsia"/>
          <w:sz w:val="24"/>
        </w:rPr>
      </w:pPr>
    </w:p>
    <w:p w14:paraId="3ED76E6B">
      <w:pPr>
        <w:adjustRightInd w:val="0"/>
        <w:snapToGrid w:val="0"/>
        <w:jc w:val="center"/>
        <w:rPr>
          <w:rFonts w:cs="Arial" w:asciiTheme="minorEastAsia" w:hAnsiTheme="minorEastAsia" w:eastAsiaTheme="minorEastAsia"/>
          <w:sz w:val="24"/>
        </w:rPr>
      </w:pPr>
    </w:p>
    <w:p w14:paraId="2B8D38F3">
      <w:pPr>
        <w:adjustRightInd w:val="0"/>
        <w:snapToGrid w:val="0"/>
        <w:jc w:val="center"/>
        <w:rPr>
          <w:rFonts w:cs="Arial" w:asciiTheme="minorEastAsia" w:hAnsiTheme="minorEastAsia" w:eastAsiaTheme="minorEastAsia"/>
          <w:sz w:val="24"/>
        </w:rPr>
      </w:pPr>
    </w:p>
    <w:p w14:paraId="2BA4F8D9">
      <w:pPr>
        <w:adjustRightInd w:val="0"/>
        <w:snapToGrid w:val="0"/>
        <w:jc w:val="center"/>
        <w:rPr>
          <w:rFonts w:cs="Arial" w:asciiTheme="minorEastAsia" w:hAnsiTheme="minorEastAsia" w:eastAsiaTheme="minorEastAsia"/>
          <w:sz w:val="24"/>
        </w:rPr>
      </w:pPr>
    </w:p>
    <w:p w14:paraId="6358438D">
      <w:pPr>
        <w:adjustRightInd w:val="0"/>
        <w:snapToGrid w:val="0"/>
        <w:jc w:val="center"/>
        <w:rPr>
          <w:rFonts w:cs="Arial" w:asciiTheme="minorEastAsia" w:hAnsiTheme="minorEastAsia" w:eastAsiaTheme="minorEastAsia"/>
          <w:sz w:val="24"/>
        </w:rPr>
      </w:pPr>
    </w:p>
    <w:p w14:paraId="38D1F4F5">
      <w:pPr>
        <w:adjustRightInd w:val="0"/>
        <w:snapToGrid w:val="0"/>
        <w:jc w:val="center"/>
        <w:rPr>
          <w:rFonts w:cs="Arial" w:asciiTheme="minorEastAsia" w:hAnsiTheme="minorEastAsia" w:eastAsiaTheme="minorEastAsia"/>
          <w:sz w:val="24"/>
        </w:rPr>
      </w:pPr>
    </w:p>
    <w:p w14:paraId="21E642DE">
      <w:pPr>
        <w:adjustRightInd w:val="0"/>
        <w:snapToGrid w:val="0"/>
        <w:jc w:val="center"/>
        <w:rPr>
          <w:rFonts w:cs="Arial" w:asciiTheme="minorEastAsia" w:hAnsiTheme="minorEastAsia" w:eastAsiaTheme="minorEastAsia"/>
          <w:sz w:val="24"/>
        </w:rPr>
      </w:pPr>
    </w:p>
    <w:p w14:paraId="403E12D3">
      <w:pPr>
        <w:adjustRightInd w:val="0"/>
        <w:snapToGrid w:val="0"/>
        <w:jc w:val="center"/>
        <w:rPr>
          <w:rFonts w:cs="Arial" w:asciiTheme="minorEastAsia" w:hAnsiTheme="minorEastAsia" w:eastAsiaTheme="minorEastAsia"/>
          <w:sz w:val="24"/>
        </w:rPr>
      </w:pPr>
    </w:p>
    <w:p w14:paraId="60BAFAFA">
      <w:pPr>
        <w:adjustRightInd w:val="0"/>
        <w:snapToGrid w:val="0"/>
        <w:jc w:val="center"/>
        <w:rPr>
          <w:rFonts w:cs="Arial" w:asciiTheme="minorEastAsia" w:hAnsiTheme="minorEastAsia" w:eastAsiaTheme="minorEastAsia"/>
          <w:sz w:val="24"/>
        </w:rPr>
      </w:pPr>
    </w:p>
    <w:p w14:paraId="03041FB0">
      <w:pPr>
        <w:adjustRightInd w:val="0"/>
        <w:snapToGrid w:val="0"/>
        <w:jc w:val="center"/>
        <w:rPr>
          <w:rFonts w:cs="Arial" w:asciiTheme="minorEastAsia" w:hAnsiTheme="minorEastAsia" w:eastAsiaTheme="minorEastAsia"/>
          <w:sz w:val="24"/>
        </w:rPr>
      </w:pPr>
    </w:p>
    <w:p w14:paraId="200753FE">
      <w:pPr>
        <w:adjustRightInd w:val="0"/>
        <w:snapToGrid w:val="0"/>
        <w:jc w:val="center"/>
        <w:rPr>
          <w:rFonts w:cs="Arial" w:asciiTheme="minorEastAsia" w:hAnsiTheme="minorEastAsia" w:eastAsiaTheme="minorEastAsia"/>
          <w:sz w:val="24"/>
        </w:rPr>
      </w:pPr>
    </w:p>
    <w:p w14:paraId="7C27BA0D">
      <w:pPr>
        <w:adjustRightInd w:val="0"/>
        <w:snapToGrid w:val="0"/>
        <w:jc w:val="center"/>
        <w:rPr>
          <w:rFonts w:cs="Arial" w:asciiTheme="minorEastAsia" w:hAnsiTheme="minorEastAsia" w:eastAsiaTheme="minorEastAsia"/>
          <w:sz w:val="24"/>
        </w:rPr>
      </w:pPr>
    </w:p>
    <w:p w14:paraId="09B66878">
      <w:pPr>
        <w:adjustRightInd w:val="0"/>
        <w:snapToGrid w:val="0"/>
        <w:jc w:val="center"/>
        <w:rPr>
          <w:rFonts w:cs="Arial" w:asciiTheme="minorEastAsia" w:hAnsiTheme="minorEastAsia" w:eastAsiaTheme="minorEastAsia"/>
          <w:sz w:val="24"/>
        </w:rPr>
      </w:pPr>
    </w:p>
    <w:p w14:paraId="54F4C5EE">
      <w:pPr>
        <w:adjustRightInd w:val="0"/>
        <w:snapToGrid w:val="0"/>
        <w:jc w:val="center"/>
        <w:rPr>
          <w:rFonts w:cs="Arial" w:asciiTheme="minorEastAsia" w:hAnsiTheme="minorEastAsia" w:eastAsiaTheme="minorEastAsia"/>
          <w:sz w:val="24"/>
        </w:rPr>
      </w:pPr>
    </w:p>
    <w:p w14:paraId="5BAD8C7B">
      <w:pPr>
        <w:adjustRightInd w:val="0"/>
        <w:snapToGrid w:val="0"/>
        <w:jc w:val="center"/>
        <w:rPr>
          <w:rFonts w:cs="Arial" w:asciiTheme="minorEastAsia" w:hAnsiTheme="minorEastAsia" w:eastAsiaTheme="minorEastAsia"/>
          <w:b/>
          <w:sz w:val="28"/>
        </w:rPr>
      </w:pPr>
      <w:r>
        <w:rPr>
          <w:rFonts w:hint="eastAsia" w:cs="Arial" w:asciiTheme="minorEastAsia" w:hAnsiTheme="minorEastAsia" w:eastAsiaTheme="minorEastAsia"/>
          <w:b/>
          <w:sz w:val="28"/>
        </w:rPr>
        <w:t>基金管理人：银华基金管理股份有限公司</w:t>
      </w:r>
    </w:p>
    <w:p w14:paraId="0AB83D0C">
      <w:pPr>
        <w:adjustRightInd w:val="0"/>
        <w:snapToGrid w:val="0"/>
        <w:jc w:val="center"/>
        <w:rPr>
          <w:rFonts w:cs="Arial" w:asciiTheme="minorEastAsia" w:hAnsiTheme="minorEastAsia" w:eastAsiaTheme="minorEastAsia"/>
          <w:b/>
          <w:sz w:val="28"/>
        </w:rPr>
      </w:pPr>
      <w:r>
        <w:rPr>
          <w:rFonts w:hint="eastAsia" w:cs="Arial" w:asciiTheme="minorEastAsia" w:hAnsiTheme="minorEastAsia" w:eastAsiaTheme="minorEastAsia"/>
          <w:b/>
          <w:sz w:val="28"/>
        </w:rPr>
        <w:t>基金托管人：中国建设银行股份有限公司</w:t>
      </w:r>
    </w:p>
    <w:p w14:paraId="4A0AB231">
      <w:pPr>
        <w:adjustRightInd w:val="0"/>
        <w:snapToGrid w:val="0"/>
        <w:jc w:val="center"/>
        <w:rPr>
          <w:rFonts w:cs="Arial" w:asciiTheme="minorEastAsia" w:hAnsiTheme="minorEastAsia" w:eastAsiaTheme="minorEastAsia"/>
          <w:sz w:val="24"/>
        </w:rPr>
      </w:pPr>
    </w:p>
    <w:p w14:paraId="554DC5D8">
      <w:pPr>
        <w:adjustRightInd w:val="0"/>
        <w:snapToGrid w:val="0"/>
        <w:jc w:val="center"/>
        <w:rPr>
          <w:rFonts w:cs="Arial" w:asciiTheme="minorEastAsia" w:hAnsiTheme="minorEastAsia" w:eastAsiaTheme="minorEastAsia"/>
          <w:sz w:val="24"/>
        </w:rPr>
      </w:pPr>
      <w:r>
        <w:rPr>
          <w:rFonts w:hint="eastAsia" w:cs="Arial" w:asciiTheme="minorEastAsia" w:hAnsiTheme="minorEastAsia" w:eastAsiaTheme="minorEastAsia"/>
          <w:sz w:val="24"/>
        </w:rPr>
        <w:t xml:space="preserve">                            </w:t>
      </w:r>
    </w:p>
    <w:p w14:paraId="6EBC6AEA">
      <w:pPr>
        <w:adjustRightInd w:val="0"/>
        <w:snapToGrid w:val="0"/>
        <w:jc w:val="center"/>
        <w:rPr>
          <w:rFonts w:cs="Arial" w:asciiTheme="minorEastAsia" w:hAnsiTheme="minorEastAsia" w:eastAsiaTheme="minorEastAsia"/>
          <w:sz w:val="24"/>
        </w:rPr>
      </w:pPr>
    </w:p>
    <w:p w14:paraId="675024B8">
      <w:pPr>
        <w:adjustRightInd w:val="0"/>
        <w:snapToGrid w:val="0"/>
        <w:jc w:val="center"/>
        <w:rPr>
          <w:rFonts w:cs="Arial" w:asciiTheme="minorEastAsia" w:hAnsiTheme="minorEastAsia" w:eastAsiaTheme="minorEastAsia"/>
          <w:sz w:val="24"/>
        </w:rPr>
        <w:sectPr>
          <w:footerReference r:id="rId3" w:type="even"/>
          <w:pgSz w:w="11906" w:h="16838"/>
          <w:pgMar w:top="1418" w:right="1701" w:bottom="1418" w:left="1701" w:header="851" w:footer="992" w:gutter="0"/>
          <w:cols w:space="425" w:num="1"/>
          <w:docGrid w:type="lines" w:linePitch="312" w:charSpace="0"/>
        </w:sectPr>
      </w:pPr>
    </w:p>
    <w:p w14:paraId="4A5315F8">
      <w:pPr>
        <w:jc w:val="center"/>
        <w:rPr>
          <w:rFonts w:asciiTheme="minorEastAsia" w:hAnsiTheme="minorEastAsia" w:eastAsiaTheme="minorEastAsia"/>
          <w:b/>
          <w:bCs/>
          <w:sz w:val="30"/>
        </w:rPr>
      </w:pPr>
      <w:r>
        <w:rPr>
          <w:rFonts w:hint="eastAsia" w:asciiTheme="minorEastAsia" w:hAnsiTheme="minorEastAsia" w:eastAsiaTheme="minorEastAsia"/>
          <w:b/>
          <w:bCs/>
          <w:sz w:val="30"/>
        </w:rPr>
        <w:t>目    录</w:t>
      </w:r>
    </w:p>
    <w:p w14:paraId="1E0F1BA0">
      <w:pPr>
        <w:pStyle w:val="20"/>
        <w:spacing w:line="360" w:lineRule="auto"/>
        <w:rPr>
          <w:rStyle w:val="30"/>
          <w:rFonts w:asciiTheme="minorEastAsia" w:hAnsiTheme="minorEastAsia" w:eastAsiaTheme="minorEastAsia"/>
          <w:sz w:val="24"/>
        </w:rPr>
      </w:pPr>
      <w:r>
        <w:rPr>
          <w:rStyle w:val="30"/>
          <w:rFonts w:hint="eastAsia" w:asciiTheme="minorEastAsia" w:hAnsiTheme="minorEastAsia" w:eastAsiaTheme="minorEastAsia"/>
          <w:sz w:val="28"/>
          <w:szCs w:val="32"/>
        </w:rPr>
        <w:fldChar w:fldCharType="begin"/>
      </w:r>
      <w:r>
        <w:rPr>
          <w:rStyle w:val="30"/>
          <w:rFonts w:asciiTheme="minorEastAsia" w:hAnsiTheme="minorEastAsia" w:eastAsiaTheme="minorEastAsia"/>
          <w:sz w:val="28"/>
          <w:szCs w:val="32"/>
        </w:rPr>
        <w:instrText xml:space="preserve"> TOC \o "1-2" \h \z </w:instrText>
      </w:r>
      <w:r>
        <w:rPr>
          <w:rStyle w:val="30"/>
          <w:rFonts w:hint="eastAsia" w:asciiTheme="minorEastAsia" w:hAnsiTheme="minorEastAsia" w:eastAsiaTheme="minorEastAsia"/>
          <w:sz w:val="28"/>
          <w:szCs w:val="32"/>
        </w:rPr>
        <w:fldChar w:fldCharType="separate"/>
      </w:r>
      <w:r>
        <w:fldChar w:fldCharType="begin"/>
      </w:r>
      <w:r>
        <w:instrText xml:space="preserve"> HYPERLINK \l "_Toc124325885" </w:instrText>
      </w:r>
      <w:r>
        <w:fldChar w:fldCharType="separate"/>
      </w:r>
      <w:r>
        <w:rPr>
          <w:rStyle w:val="30"/>
          <w:rFonts w:hint="eastAsia" w:asciiTheme="minorEastAsia" w:hAnsiTheme="minorEastAsia" w:eastAsiaTheme="minorEastAsia"/>
          <w:sz w:val="24"/>
        </w:rPr>
        <w:t>一、基金托管协议当事人</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_Toc124325885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2</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2AAA0EB6">
      <w:pPr>
        <w:pStyle w:val="20"/>
        <w:spacing w:line="360" w:lineRule="auto"/>
        <w:rPr>
          <w:rStyle w:val="30"/>
          <w:rFonts w:asciiTheme="minorEastAsia" w:hAnsiTheme="minorEastAsia" w:eastAsiaTheme="minorEastAsia"/>
          <w:sz w:val="24"/>
        </w:rPr>
      </w:pPr>
      <w:r>
        <w:fldChar w:fldCharType="begin"/>
      </w:r>
      <w:r>
        <w:instrText xml:space="preserve"> HYPERLINK \l "_Toc124325886" </w:instrText>
      </w:r>
      <w:r>
        <w:fldChar w:fldCharType="separate"/>
      </w:r>
      <w:r>
        <w:rPr>
          <w:rStyle w:val="30"/>
          <w:rFonts w:hint="eastAsia" w:asciiTheme="minorEastAsia" w:hAnsiTheme="minorEastAsia" w:eastAsiaTheme="minorEastAsia"/>
          <w:sz w:val="24"/>
        </w:rPr>
        <w:t>二、基金托管协议的依据、目的和原则</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_Toc124325886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3</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308C41C0">
      <w:pPr>
        <w:pStyle w:val="20"/>
        <w:spacing w:line="360" w:lineRule="auto"/>
        <w:rPr>
          <w:rStyle w:val="30"/>
          <w:rFonts w:asciiTheme="minorEastAsia" w:hAnsiTheme="minorEastAsia" w:eastAsiaTheme="minorEastAsia"/>
          <w:sz w:val="24"/>
        </w:rPr>
      </w:pPr>
      <w:r>
        <w:fldChar w:fldCharType="begin"/>
      </w:r>
      <w:r>
        <w:instrText xml:space="preserve"> HYPERLINK \l "_Toc124325887" </w:instrText>
      </w:r>
      <w:r>
        <w:fldChar w:fldCharType="separate"/>
      </w:r>
      <w:r>
        <w:rPr>
          <w:rStyle w:val="30"/>
          <w:rFonts w:hint="eastAsia" w:asciiTheme="minorEastAsia" w:hAnsiTheme="minorEastAsia" w:eastAsiaTheme="minorEastAsia"/>
          <w:sz w:val="24"/>
        </w:rPr>
        <w:t>三、基金托管人对基金管理人的业务监督和核查</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_Toc124325887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4</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4672B5CB">
      <w:pPr>
        <w:pStyle w:val="20"/>
        <w:spacing w:line="360" w:lineRule="auto"/>
        <w:rPr>
          <w:rStyle w:val="30"/>
          <w:rFonts w:asciiTheme="minorEastAsia" w:hAnsiTheme="minorEastAsia" w:eastAsiaTheme="minorEastAsia"/>
          <w:sz w:val="24"/>
        </w:rPr>
      </w:pPr>
      <w:r>
        <w:fldChar w:fldCharType="begin"/>
      </w:r>
      <w:r>
        <w:instrText xml:space="preserve"> HYPERLINK \l "_Toc124325888" </w:instrText>
      </w:r>
      <w:r>
        <w:fldChar w:fldCharType="separate"/>
      </w:r>
      <w:r>
        <w:rPr>
          <w:rStyle w:val="30"/>
          <w:rFonts w:hint="eastAsia" w:asciiTheme="minorEastAsia" w:hAnsiTheme="minorEastAsia" w:eastAsiaTheme="minorEastAsia"/>
          <w:sz w:val="24"/>
        </w:rPr>
        <w:t>四、基金管理人对基金托管人的业务核查</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_Toc124325888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11</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35E72609">
      <w:pPr>
        <w:pStyle w:val="20"/>
        <w:spacing w:line="360" w:lineRule="auto"/>
        <w:rPr>
          <w:rStyle w:val="30"/>
          <w:rFonts w:asciiTheme="minorEastAsia" w:hAnsiTheme="minorEastAsia" w:eastAsiaTheme="minorEastAsia"/>
          <w:sz w:val="24"/>
        </w:rPr>
      </w:pPr>
      <w:r>
        <w:fldChar w:fldCharType="begin"/>
      </w:r>
      <w:r>
        <w:instrText xml:space="preserve"> HYPERLINK \l "_Toc124325889" </w:instrText>
      </w:r>
      <w:r>
        <w:fldChar w:fldCharType="separate"/>
      </w:r>
      <w:r>
        <w:rPr>
          <w:rStyle w:val="30"/>
          <w:rFonts w:hint="eastAsia" w:asciiTheme="minorEastAsia" w:hAnsiTheme="minorEastAsia" w:eastAsiaTheme="minorEastAsia"/>
          <w:sz w:val="24"/>
        </w:rPr>
        <w:t>五、基金财产的保管</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_Toc124325889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12</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14C73CDD">
      <w:pPr>
        <w:pStyle w:val="20"/>
        <w:spacing w:line="360" w:lineRule="auto"/>
        <w:rPr>
          <w:rStyle w:val="30"/>
          <w:rFonts w:asciiTheme="minorEastAsia" w:hAnsiTheme="minorEastAsia" w:eastAsiaTheme="minorEastAsia"/>
          <w:sz w:val="24"/>
        </w:rPr>
      </w:pPr>
      <w:r>
        <w:fldChar w:fldCharType="begin"/>
      </w:r>
      <w:r>
        <w:instrText xml:space="preserve"> HYPERLINK \l "_Toc124325890" </w:instrText>
      </w:r>
      <w:r>
        <w:fldChar w:fldCharType="separate"/>
      </w:r>
      <w:r>
        <w:rPr>
          <w:rStyle w:val="30"/>
          <w:rFonts w:hint="eastAsia" w:asciiTheme="minorEastAsia" w:hAnsiTheme="minorEastAsia" w:eastAsiaTheme="minorEastAsia"/>
          <w:sz w:val="24"/>
        </w:rPr>
        <w:t>六、指令的发送、确认及执行</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_Toc124325890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15</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3AF0704A">
      <w:pPr>
        <w:pStyle w:val="20"/>
        <w:spacing w:line="360" w:lineRule="auto"/>
        <w:rPr>
          <w:rStyle w:val="30"/>
          <w:rFonts w:asciiTheme="minorEastAsia" w:hAnsiTheme="minorEastAsia" w:eastAsiaTheme="minorEastAsia"/>
          <w:sz w:val="24"/>
        </w:rPr>
      </w:pPr>
      <w:r>
        <w:fldChar w:fldCharType="begin"/>
      </w:r>
      <w:r>
        <w:instrText xml:space="preserve"> HYPERLINK \l "_Toc124325891" </w:instrText>
      </w:r>
      <w:r>
        <w:fldChar w:fldCharType="separate"/>
      </w:r>
      <w:r>
        <w:rPr>
          <w:rStyle w:val="30"/>
          <w:rFonts w:hint="eastAsia" w:asciiTheme="minorEastAsia" w:hAnsiTheme="minorEastAsia" w:eastAsiaTheme="minorEastAsia"/>
          <w:sz w:val="24"/>
        </w:rPr>
        <w:t>七、交易及清算交收安排</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_Toc124325891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18</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21BCBF76">
      <w:pPr>
        <w:pStyle w:val="20"/>
        <w:spacing w:line="360" w:lineRule="auto"/>
        <w:rPr>
          <w:rStyle w:val="30"/>
          <w:rFonts w:asciiTheme="minorEastAsia" w:hAnsiTheme="minorEastAsia" w:eastAsiaTheme="minorEastAsia"/>
          <w:sz w:val="24"/>
        </w:rPr>
      </w:pPr>
      <w:r>
        <w:fldChar w:fldCharType="begin"/>
      </w:r>
      <w:r>
        <w:instrText xml:space="preserve"> HYPERLINK \l "_Toc124325892" </w:instrText>
      </w:r>
      <w:r>
        <w:fldChar w:fldCharType="separate"/>
      </w:r>
      <w:r>
        <w:rPr>
          <w:rStyle w:val="30"/>
          <w:rFonts w:hint="eastAsia" w:asciiTheme="minorEastAsia" w:hAnsiTheme="minorEastAsia" w:eastAsiaTheme="minorEastAsia"/>
          <w:sz w:val="24"/>
        </w:rPr>
        <w:t>八、基金资产净值计算和会计核算</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_Toc124325892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24</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45A0AF8A">
      <w:pPr>
        <w:pStyle w:val="20"/>
        <w:spacing w:line="360" w:lineRule="auto"/>
        <w:rPr>
          <w:rStyle w:val="30"/>
          <w:rFonts w:asciiTheme="minorEastAsia" w:hAnsiTheme="minorEastAsia" w:eastAsiaTheme="minorEastAsia"/>
          <w:sz w:val="24"/>
        </w:rPr>
      </w:pPr>
      <w:r>
        <w:fldChar w:fldCharType="begin"/>
      </w:r>
      <w:r>
        <w:instrText xml:space="preserve"> HYPERLINK \l "_Toc124325893" </w:instrText>
      </w:r>
      <w:r>
        <w:fldChar w:fldCharType="separate"/>
      </w:r>
      <w:r>
        <w:rPr>
          <w:rStyle w:val="30"/>
          <w:rFonts w:hint="eastAsia" w:asciiTheme="minorEastAsia" w:hAnsiTheme="minorEastAsia" w:eastAsiaTheme="minorEastAsia"/>
          <w:sz w:val="24"/>
        </w:rPr>
        <w:t>九、基金收益分配</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_Toc124325893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31</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49A65267">
      <w:pPr>
        <w:pStyle w:val="20"/>
        <w:spacing w:line="360" w:lineRule="auto"/>
        <w:rPr>
          <w:rStyle w:val="30"/>
          <w:rFonts w:asciiTheme="minorEastAsia" w:hAnsiTheme="minorEastAsia" w:eastAsiaTheme="minorEastAsia"/>
          <w:sz w:val="24"/>
        </w:rPr>
      </w:pPr>
      <w:r>
        <w:fldChar w:fldCharType="begin"/>
      </w:r>
      <w:r>
        <w:instrText xml:space="preserve"> HYPERLINK \l "_Toc124325894" </w:instrText>
      </w:r>
      <w:r>
        <w:fldChar w:fldCharType="separate"/>
      </w:r>
      <w:r>
        <w:rPr>
          <w:rStyle w:val="30"/>
          <w:rFonts w:hint="eastAsia" w:asciiTheme="minorEastAsia" w:hAnsiTheme="minorEastAsia" w:eastAsiaTheme="minorEastAsia"/>
          <w:sz w:val="24"/>
        </w:rPr>
        <w:t>十、基金信息披露</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_Toc124325894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32</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7A42835A">
      <w:pPr>
        <w:pStyle w:val="20"/>
        <w:spacing w:line="360" w:lineRule="auto"/>
        <w:rPr>
          <w:rStyle w:val="30"/>
          <w:rFonts w:asciiTheme="minorEastAsia" w:hAnsiTheme="minorEastAsia" w:eastAsiaTheme="minorEastAsia"/>
          <w:sz w:val="24"/>
        </w:rPr>
      </w:pPr>
      <w:r>
        <w:fldChar w:fldCharType="begin"/>
      </w:r>
      <w:r>
        <w:instrText xml:space="preserve"> HYPERLINK \l "_Toc124325895" </w:instrText>
      </w:r>
      <w:r>
        <w:fldChar w:fldCharType="separate"/>
      </w:r>
      <w:r>
        <w:rPr>
          <w:rStyle w:val="30"/>
          <w:rFonts w:hint="eastAsia" w:asciiTheme="minorEastAsia" w:hAnsiTheme="minorEastAsia" w:eastAsiaTheme="minorEastAsia"/>
          <w:sz w:val="24"/>
        </w:rPr>
        <w:t>十一、基金费用</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_Toc124325895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34</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73A62375">
      <w:pPr>
        <w:pStyle w:val="20"/>
        <w:spacing w:line="360" w:lineRule="auto"/>
        <w:rPr>
          <w:rStyle w:val="30"/>
          <w:rFonts w:asciiTheme="minorEastAsia" w:hAnsiTheme="minorEastAsia" w:eastAsiaTheme="minorEastAsia"/>
          <w:sz w:val="24"/>
        </w:rPr>
      </w:pPr>
      <w:r>
        <w:fldChar w:fldCharType="begin"/>
      </w:r>
      <w:r>
        <w:instrText xml:space="preserve"> HYPERLINK \l "_Toc124325896" </w:instrText>
      </w:r>
      <w:r>
        <w:fldChar w:fldCharType="separate"/>
      </w:r>
      <w:r>
        <w:rPr>
          <w:rStyle w:val="30"/>
          <w:rFonts w:hint="eastAsia" w:asciiTheme="minorEastAsia" w:hAnsiTheme="minorEastAsia" w:eastAsiaTheme="minorEastAsia"/>
          <w:sz w:val="24"/>
        </w:rPr>
        <w:t>十二、基金份额持有人名册的保管</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_Toc124325896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37</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43F4949D">
      <w:pPr>
        <w:pStyle w:val="20"/>
        <w:spacing w:line="360" w:lineRule="auto"/>
        <w:rPr>
          <w:rStyle w:val="30"/>
          <w:rFonts w:asciiTheme="minorEastAsia" w:hAnsiTheme="minorEastAsia" w:eastAsiaTheme="minorEastAsia"/>
          <w:sz w:val="24"/>
        </w:rPr>
      </w:pPr>
      <w:r>
        <w:fldChar w:fldCharType="begin"/>
      </w:r>
      <w:r>
        <w:instrText xml:space="preserve"> HYPERLINK \l "_Toc124325897" </w:instrText>
      </w:r>
      <w:r>
        <w:fldChar w:fldCharType="separate"/>
      </w:r>
      <w:r>
        <w:rPr>
          <w:rStyle w:val="30"/>
          <w:rFonts w:hint="eastAsia" w:asciiTheme="minorEastAsia" w:hAnsiTheme="minorEastAsia" w:eastAsiaTheme="minorEastAsia"/>
          <w:sz w:val="24"/>
        </w:rPr>
        <w:t>十三、基金有关文件档案的保存</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_Toc124325897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38</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642CC986">
      <w:pPr>
        <w:pStyle w:val="20"/>
        <w:spacing w:line="360" w:lineRule="auto"/>
        <w:rPr>
          <w:rStyle w:val="30"/>
          <w:rFonts w:asciiTheme="minorEastAsia" w:hAnsiTheme="minorEastAsia" w:eastAsiaTheme="minorEastAsia"/>
          <w:sz w:val="24"/>
        </w:rPr>
      </w:pPr>
      <w:r>
        <w:fldChar w:fldCharType="begin"/>
      </w:r>
      <w:r>
        <w:instrText xml:space="preserve"> HYPERLINK \l "_Toc124325898" </w:instrText>
      </w:r>
      <w:r>
        <w:fldChar w:fldCharType="separate"/>
      </w:r>
      <w:r>
        <w:rPr>
          <w:rStyle w:val="30"/>
          <w:rFonts w:hint="eastAsia" w:asciiTheme="minorEastAsia" w:hAnsiTheme="minorEastAsia" w:eastAsiaTheme="minorEastAsia"/>
          <w:sz w:val="24"/>
        </w:rPr>
        <w:t>十四、基金管理人和基金托管人的更换</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_Toc124325898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38</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71144089">
      <w:pPr>
        <w:pStyle w:val="20"/>
        <w:spacing w:line="360" w:lineRule="auto"/>
        <w:rPr>
          <w:rStyle w:val="30"/>
          <w:rFonts w:asciiTheme="minorEastAsia" w:hAnsiTheme="minorEastAsia" w:eastAsiaTheme="minorEastAsia"/>
          <w:sz w:val="24"/>
        </w:rPr>
      </w:pPr>
      <w:r>
        <w:fldChar w:fldCharType="begin"/>
      </w:r>
      <w:r>
        <w:instrText xml:space="preserve"> HYPERLINK \l "_Toc124325899" </w:instrText>
      </w:r>
      <w:r>
        <w:fldChar w:fldCharType="separate"/>
      </w:r>
      <w:r>
        <w:rPr>
          <w:rStyle w:val="30"/>
          <w:rFonts w:hint="eastAsia" w:asciiTheme="minorEastAsia" w:hAnsiTheme="minorEastAsia" w:eastAsiaTheme="minorEastAsia"/>
          <w:sz w:val="24"/>
        </w:rPr>
        <w:t>十五、禁止行为</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_Toc124325899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41</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53BE23BB">
      <w:pPr>
        <w:pStyle w:val="20"/>
        <w:spacing w:line="360" w:lineRule="auto"/>
        <w:rPr>
          <w:rStyle w:val="30"/>
          <w:rFonts w:asciiTheme="minorEastAsia" w:hAnsiTheme="minorEastAsia" w:eastAsiaTheme="minorEastAsia"/>
          <w:sz w:val="24"/>
        </w:rPr>
      </w:pPr>
      <w:r>
        <w:fldChar w:fldCharType="begin"/>
      </w:r>
      <w:r>
        <w:instrText xml:space="preserve"> HYPERLINK \l "_Toc124325900" </w:instrText>
      </w:r>
      <w:r>
        <w:fldChar w:fldCharType="separate"/>
      </w:r>
      <w:r>
        <w:rPr>
          <w:rStyle w:val="30"/>
          <w:rFonts w:hint="eastAsia" w:asciiTheme="minorEastAsia" w:hAnsiTheme="minorEastAsia" w:eastAsiaTheme="minorEastAsia"/>
          <w:sz w:val="24"/>
        </w:rPr>
        <w:t>十六、托管协议的变更、终止与基金财产的清算</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_Toc124325900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42</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5C8E62B1">
      <w:pPr>
        <w:pStyle w:val="20"/>
        <w:spacing w:line="360" w:lineRule="auto"/>
        <w:rPr>
          <w:rStyle w:val="30"/>
          <w:rFonts w:asciiTheme="minorEastAsia" w:hAnsiTheme="minorEastAsia" w:eastAsiaTheme="minorEastAsia"/>
          <w:sz w:val="24"/>
        </w:rPr>
      </w:pPr>
      <w:r>
        <w:fldChar w:fldCharType="begin"/>
      </w:r>
      <w:r>
        <w:instrText xml:space="preserve"> HYPERLINK \l "_Toc124325901" </w:instrText>
      </w:r>
      <w:r>
        <w:fldChar w:fldCharType="separate"/>
      </w:r>
      <w:r>
        <w:rPr>
          <w:rStyle w:val="30"/>
          <w:rFonts w:hint="eastAsia" w:asciiTheme="minorEastAsia" w:hAnsiTheme="minorEastAsia" w:eastAsiaTheme="minorEastAsia"/>
          <w:sz w:val="24"/>
        </w:rPr>
        <w:t>十七、违约责任</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_Toc124325901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43</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7D12E771">
      <w:pPr>
        <w:pStyle w:val="20"/>
        <w:spacing w:line="360" w:lineRule="auto"/>
        <w:rPr>
          <w:rStyle w:val="30"/>
          <w:rFonts w:asciiTheme="minorEastAsia" w:hAnsiTheme="minorEastAsia" w:eastAsiaTheme="minorEastAsia"/>
          <w:sz w:val="24"/>
        </w:rPr>
      </w:pPr>
      <w:r>
        <w:fldChar w:fldCharType="begin"/>
      </w:r>
      <w:r>
        <w:instrText xml:space="preserve"> HYPERLINK \l "_Toc124325902" </w:instrText>
      </w:r>
      <w:r>
        <w:fldChar w:fldCharType="separate"/>
      </w:r>
      <w:r>
        <w:rPr>
          <w:rStyle w:val="30"/>
          <w:rFonts w:hint="eastAsia" w:asciiTheme="minorEastAsia" w:hAnsiTheme="minorEastAsia" w:eastAsiaTheme="minorEastAsia"/>
          <w:sz w:val="24"/>
        </w:rPr>
        <w:t>十八、争议解决方式</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_Toc124325902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44</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17C0B393">
      <w:pPr>
        <w:pStyle w:val="20"/>
        <w:spacing w:line="360" w:lineRule="auto"/>
        <w:rPr>
          <w:rStyle w:val="30"/>
          <w:rFonts w:asciiTheme="minorEastAsia" w:hAnsiTheme="minorEastAsia" w:eastAsiaTheme="minorEastAsia"/>
          <w:sz w:val="24"/>
        </w:rPr>
      </w:pPr>
      <w:r>
        <w:fldChar w:fldCharType="begin"/>
      </w:r>
      <w:r>
        <w:instrText xml:space="preserve"> HYPERLINK \l "_Toc124325903" </w:instrText>
      </w:r>
      <w:r>
        <w:fldChar w:fldCharType="separate"/>
      </w:r>
      <w:r>
        <w:rPr>
          <w:rStyle w:val="30"/>
          <w:rFonts w:hint="eastAsia" w:asciiTheme="minorEastAsia" w:hAnsiTheme="minorEastAsia" w:eastAsiaTheme="minorEastAsia"/>
          <w:sz w:val="24"/>
        </w:rPr>
        <w:t>十九、托管协议的效力</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_Toc124325903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45</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443D7954">
      <w:pPr>
        <w:pStyle w:val="20"/>
        <w:spacing w:line="360" w:lineRule="auto"/>
        <w:rPr>
          <w:rStyle w:val="30"/>
          <w:rFonts w:asciiTheme="minorEastAsia" w:hAnsiTheme="minorEastAsia" w:eastAsiaTheme="minorEastAsia"/>
          <w:sz w:val="24"/>
        </w:rPr>
      </w:pPr>
      <w:r>
        <w:fldChar w:fldCharType="begin"/>
      </w:r>
      <w:r>
        <w:instrText xml:space="preserve"> HYPERLINK \l "_Toc124325904" </w:instrText>
      </w:r>
      <w:r>
        <w:fldChar w:fldCharType="separate"/>
      </w:r>
      <w:r>
        <w:rPr>
          <w:rStyle w:val="30"/>
          <w:rFonts w:hint="eastAsia" w:asciiTheme="minorEastAsia" w:hAnsiTheme="minorEastAsia" w:eastAsiaTheme="minorEastAsia"/>
          <w:sz w:val="24"/>
        </w:rPr>
        <w:t>二十、其他事项</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_Toc124325904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45</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bookmarkStart w:id="105" w:name="_GoBack"/>
      <w:bookmarkEnd w:id="105"/>
    </w:p>
    <w:p w14:paraId="7FD39E67">
      <w:pPr>
        <w:pStyle w:val="20"/>
        <w:spacing w:line="360" w:lineRule="auto"/>
        <w:rPr>
          <w:rStyle w:val="30"/>
          <w:rFonts w:asciiTheme="minorEastAsia" w:hAnsiTheme="minorEastAsia" w:eastAsiaTheme="minorEastAsia"/>
          <w:sz w:val="28"/>
          <w:szCs w:val="32"/>
        </w:rPr>
      </w:pPr>
      <w:r>
        <w:fldChar w:fldCharType="begin"/>
      </w:r>
      <w:r>
        <w:instrText xml:space="preserve"> HYPERLINK \l "_Toc124325905" </w:instrText>
      </w:r>
      <w:r>
        <w:fldChar w:fldCharType="separate"/>
      </w:r>
      <w:r>
        <w:rPr>
          <w:rStyle w:val="30"/>
          <w:rFonts w:hint="eastAsia" w:asciiTheme="minorEastAsia" w:hAnsiTheme="minorEastAsia" w:eastAsiaTheme="minorEastAsia"/>
          <w:sz w:val="24"/>
        </w:rPr>
        <w:t>二十一、托管协议的签订</w:t>
      </w:r>
      <w:r>
        <w:rPr>
          <w:rStyle w:val="30"/>
          <w:rFonts w:asciiTheme="minorEastAsia" w:hAnsiTheme="minorEastAsia" w:eastAsiaTheme="minorEastAsia"/>
          <w:sz w:val="24"/>
        </w:rPr>
        <w:tab/>
      </w:r>
      <w:r>
        <w:rPr>
          <w:rStyle w:val="30"/>
          <w:rFonts w:hint="eastAsia" w:asciiTheme="minorEastAsia" w:hAnsiTheme="minorEastAsia" w:eastAsiaTheme="minorEastAsia"/>
          <w:sz w:val="24"/>
        </w:rPr>
        <w:fldChar w:fldCharType="begin"/>
      </w:r>
      <w:r>
        <w:rPr>
          <w:rStyle w:val="30"/>
          <w:rFonts w:asciiTheme="minorEastAsia" w:hAnsiTheme="minorEastAsia" w:eastAsiaTheme="minorEastAsia"/>
          <w:sz w:val="24"/>
        </w:rPr>
        <w:instrText xml:space="preserve"> PAGEREF _Toc124325905 \h </w:instrText>
      </w:r>
      <w:r>
        <w:rPr>
          <w:rStyle w:val="30"/>
          <w:rFonts w:hint="eastAsia" w:asciiTheme="minorEastAsia" w:hAnsiTheme="minorEastAsia" w:eastAsiaTheme="minorEastAsia"/>
          <w:sz w:val="24"/>
        </w:rPr>
        <w:fldChar w:fldCharType="separate"/>
      </w:r>
      <w:r>
        <w:rPr>
          <w:rStyle w:val="30"/>
          <w:rFonts w:asciiTheme="minorEastAsia" w:hAnsiTheme="minorEastAsia" w:eastAsiaTheme="minorEastAsia"/>
          <w:sz w:val="24"/>
        </w:rPr>
        <w:t>45</w:t>
      </w:r>
      <w:r>
        <w:rPr>
          <w:rStyle w:val="30"/>
          <w:rFonts w:hint="eastAsia" w:asciiTheme="minorEastAsia" w:hAnsiTheme="minorEastAsia" w:eastAsiaTheme="minorEastAsia"/>
          <w:sz w:val="24"/>
        </w:rPr>
        <w:fldChar w:fldCharType="end"/>
      </w:r>
      <w:r>
        <w:rPr>
          <w:rStyle w:val="30"/>
          <w:rFonts w:hint="eastAsia" w:asciiTheme="minorEastAsia" w:hAnsiTheme="minorEastAsia" w:eastAsiaTheme="minorEastAsia"/>
          <w:sz w:val="24"/>
        </w:rPr>
        <w:fldChar w:fldCharType="end"/>
      </w:r>
    </w:p>
    <w:p w14:paraId="111B346C">
      <w:pPr>
        <w:rPr>
          <w:rStyle w:val="30"/>
          <w:rFonts w:asciiTheme="minorEastAsia" w:hAnsiTheme="minorEastAsia" w:eastAsiaTheme="minorEastAsia"/>
          <w:szCs w:val="32"/>
        </w:rPr>
      </w:pPr>
      <w:r>
        <w:rPr>
          <w:rStyle w:val="30"/>
          <w:rFonts w:hint="eastAsia" w:asciiTheme="minorEastAsia" w:hAnsiTheme="minorEastAsia" w:eastAsiaTheme="minorEastAsia"/>
          <w:szCs w:val="32"/>
        </w:rPr>
        <w:fldChar w:fldCharType="end"/>
      </w:r>
    </w:p>
    <w:p w14:paraId="778F1145">
      <w:pPr>
        <w:widowControl/>
        <w:jc w:val="left"/>
        <w:rPr>
          <w:rStyle w:val="30"/>
          <w:rFonts w:asciiTheme="minorEastAsia" w:hAnsiTheme="minorEastAsia" w:eastAsiaTheme="minorEastAsia"/>
          <w:szCs w:val="32"/>
        </w:rPr>
      </w:pPr>
      <w:r>
        <w:rPr>
          <w:rStyle w:val="30"/>
          <w:rFonts w:asciiTheme="minorEastAsia" w:hAnsiTheme="minorEastAsia" w:eastAsiaTheme="minorEastAsia"/>
          <w:szCs w:val="32"/>
        </w:rPr>
        <w:br w:type="page"/>
      </w:r>
    </w:p>
    <w:p w14:paraId="075B64B9">
      <w:pPr>
        <w:rPr>
          <w:rFonts w:asciiTheme="minorEastAsia" w:hAnsiTheme="minorEastAsia" w:eastAsiaTheme="minorEastAsia"/>
          <w:sz w:val="24"/>
        </w:rPr>
      </w:pPr>
    </w:p>
    <w:p w14:paraId="100DA715">
      <w:pPr>
        <w:widowControl/>
        <w:adjustRightInd w:val="0"/>
        <w:snapToGrid w:val="0"/>
        <w:spacing w:line="360" w:lineRule="auto"/>
        <w:ind w:firstLine="480" w:firstLineChars="200"/>
        <w:rPr>
          <w:rFonts w:cs="Arial" w:asciiTheme="minorEastAsia" w:hAnsiTheme="minorEastAsia" w:eastAsiaTheme="minorEastAsia"/>
          <w:kern w:val="0"/>
          <w:sz w:val="24"/>
        </w:rPr>
      </w:pPr>
      <w:r>
        <w:rPr>
          <w:rFonts w:hint="eastAsia" w:cs="Arial" w:asciiTheme="minorEastAsia" w:hAnsiTheme="minorEastAsia" w:eastAsiaTheme="minorEastAsia"/>
          <w:kern w:val="0"/>
          <w:sz w:val="24"/>
        </w:rPr>
        <w:t>鉴于银华基金管理股份有限公司系一家依照中国法律合法成立并有效存续的股份有限公司，按照相关法律法规的规定具备担任基金管理人的资格和能力，拟募集发行银华汇泽债券型证券投资基金；</w:t>
      </w:r>
    </w:p>
    <w:p w14:paraId="766B7ADC">
      <w:pPr>
        <w:widowControl/>
        <w:adjustRightInd w:val="0"/>
        <w:snapToGrid w:val="0"/>
        <w:spacing w:line="360" w:lineRule="auto"/>
        <w:ind w:firstLine="480" w:firstLineChars="200"/>
        <w:rPr>
          <w:rFonts w:cs="Arial" w:asciiTheme="minorEastAsia" w:hAnsiTheme="minorEastAsia" w:eastAsiaTheme="minorEastAsia"/>
          <w:kern w:val="0"/>
          <w:sz w:val="24"/>
        </w:rPr>
      </w:pPr>
      <w:r>
        <w:rPr>
          <w:rFonts w:hint="eastAsia" w:cs="Arial" w:asciiTheme="minorEastAsia" w:hAnsiTheme="minorEastAsia" w:eastAsiaTheme="minorEastAsia"/>
          <w:kern w:val="0"/>
          <w:sz w:val="24"/>
        </w:rPr>
        <w:t>鉴于中国建设银行股份有限公司系一家依照中国法律合法成立并有效存续的银行，按照相关法律法规的规定具备担任基金托管人的资格和能力；</w:t>
      </w:r>
    </w:p>
    <w:p w14:paraId="6DC6DE5A">
      <w:pPr>
        <w:widowControl/>
        <w:adjustRightInd w:val="0"/>
        <w:snapToGrid w:val="0"/>
        <w:spacing w:line="360" w:lineRule="auto"/>
        <w:ind w:firstLine="480" w:firstLineChars="200"/>
        <w:rPr>
          <w:rFonts w:cs="Arial" w:asciiTheme="minorEastAsia" w:hAnsiTheme="minorEastAsia" w:eastAsiaTheme="minorEastAsia"/>
          <w:kern w:val="0"/>
          <w:sz w:val="24"/>
        </w:rPr>
      </w:pPr>
      <w:r>
        <w:rPr>
          <w:rFonts w:hint="eastAsia" w:cs="Arial" w:asciiTheme="minorEastAsia" w:hAnsiTheme="minorEastAsia" w:eastAsiaTheme="minorEastAsia"/>
          <w:kern w:val="0"/>
          <w:sz w:val="24"/>
        </w:rPr>
        <w:t>鉴于银华基金管理股份有限公司拟担任银华汇泽债券型证券投资基金（以下简称“本基金”或“基金”）的基金管理人，中国建设银行股份有限公司拟担任银华汇泽债券型证券投资基金的基金托管人；</w:t>
      </w:r>
    </w:p>
    <w:p w14:paraId="6950AD94">
      <w:pPr>
        <w:widowControl/>
        <w:adjustRightInd w:val="0"/>
        <w:snapToGrid w:val="0"/>
        <w:spacing w:line="360" w:lineRule="auto"/>
        <w:ind w:firstLine="480" w:firstLineChars="200"/>
        <w:rPr>
          <w:rFonts w:cs="Arial" w:asciiTheme="minorEastAsia" w:hAnsiTheme="minorEastAsia" w:eastAsiaTheme="minorEastAsia"/>
          <w:kern w:val="0"/>
          <w:sz w:val="24"/>
        </w:rPr>
      </w:pPr>
      <w:r>
        <w:rPr>
          <w:rFonts w:hint="eastAsia" w:cs="Arial" w:asciiTheme="minorEastAsia" w:hAnsiTheme="minorEastAsia" w:eastAsiaTheme="minorEastAsia"/>
          <w:kern w:val="0"/>
          <w:sz w:val="24"/>
        </w:rPr>
        <w:t>为明确银华汇泽债券型证券投资基金的基金管理人和基金托管人之间的权利义务关系，特制订本托管协议；</w:t>
      </w:r>
    </w:p>
    <w:p w14:paraId="597948BA">
      <w:pPr>
        <w:widowControl/>
        <w:adjustRightInd w:val="0"/>
        <w:snapToGrid w:val="0"/>
        <w:spacing w:line="360" w:lineRule="auto"/>
        <w:ind w:firstLine="480" w:firstLineChars="200"/>
        <w:rPr>
          <w:rFonts w:cs="Arial" w:asciiTheme="minorEastAsia" w:hAnsiTheme="minorEastAsia" w:eastAsiaTheme="minorEastAsia"/>
          <w:kern w:val="0"/>
          <w:sz w:val="24"/>
        </w:rPr>
      </w:pPr>
      <w:r>
        <w:rPr>
          <w:rFonts w:hint="eastAsia" w:cs="Arial" w:asciiTheme="minorEastAsia" w:hAnsiTheme="minorEastAsia" w:eastAsiaTheme="minorEastAsia"/>
          <w:kern w:val="0"/>
          <w:sz w:val="24"/>
          <w:lang w:val="en-GB"/>
        </w:rPr>
        <w:t>除非另有约定，《银华汇泽债券型证券投资基金基金合同》（以下简称“基金合同”或“《基金合同》”）中定义的术语在用于本托管协议时应具有相同的含义；若有抵触应以《基金合同》为</w:t>
      </w:r>
      <w:r>
        <w:rPr>
          <w:rFonts w:hint="eastAsia" w:cs="Arial" w:asciiTheme="minorEastAsia" w:hAnsiTheme="minorEastAsia" w:eastAsiaTheme="minorEastAsia"/>
          <w:kern w:val="0"/>
          <w:sz w:val="24"/>
        </w:rPr>
        <w:t>准，并依其条款解释。</w:t>
      </w:r>
    </w:p>
    <w:p w14:paraId="2B76C031">
      <w:pPr>
        <w:widowControl/>
        <w:adjustRightInd w:val="0"/>
        <w:snapToGrid w:val="0"/>
        <w:spacing w:line="360" w:lineRule="auto"/>
        <w:ind w:firstLine="480" w:firstLineChars="200"/>
        <w:rPr>
          <w:rFonts w:cs="Arial" w:asciiTheme="minorEastAsia" w:hAnsiTheme="minorEastAsia" w:eastAsiaTheme="minorEastAsia"/>
          <w:kern w:val="0"/>
          <w:sz w:val="24"/>
        </w:rPr>
      </w:pPr>
      <w:r>
        <w:rPr>
          <w:rFonts w:hint="eastAsia" w:cs="Arial" w:asciiTheme="minorEastAsia" w:hAnsiTheme="minorEastAsia" w:eastAsiaTheme="minorEastAsia"/>
          <w:kern w:val="0"/>
          <w:sz w:val="24"/>
        </w:rPr>
        <w:t>若本基金实施侧袋机制的，侧袋机制实施期间的相关安排见基金合同和招募说明书的规定。</w:t>
      </w:r>
    </w:p>
    <w:p w14:paraId="125EA1AF">
      <w:pPr>
        <w:pStyle w:val="3"/>
        <w:spacing w:line="360" w:lineRule="auto"/>
        <w:jc w:val="center"/>
        <w:rPr>
          <w:rFonts w:asciiTheme="minorEastAsia" w:hAnsiTheme="minorEastAsia" w:eastAsiaTheme="minorEastAsia"/>
        </w:rPr>
      </w:pPr>
      <w:bookmarkStart w:id="0" w:name="_Toc124325885"/>
      <w:r>
        <w:rPr>
          <w:rFonts w:hint="eastAsia" w:asciiTheme="minorEastAsia" w:hAnsiTheme="minorEastAsia" w:eastAsiaTheme="minorEastAsia"/>
        </w:rPr>
        <w:t>一、基金托管协议当事人</w:t>
      </w:r>
      <w:bookmarkEnd w:id="0"/>
    </w:p>
    <w:p w14:paraId="0A43315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（一）基金管理人（或“管理人”）</w:t>
      </w:r>
    </w:p>
    <w:p w14:paraId="2E81A75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名称：银华基金管理股份有限公司</w:t>
      </w:r>
    </w:p>
    <w:p w14:paraId="2184196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住所：深圳市福田区深南大道6008号特区报业大厦19层</w:t>
      </w:r>
    </w:p>
    <w:p w14:paraId="40A2D13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办公地址：北京市东城区东长安街1号东方广场东方经贸城C2办公楼15层</w:t>
      </w:r>
    </w:p>
    <w:p w14:paraId="1A9EDD0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邮政编码：100738</w:t>
      </w:r>
    </w:p>
    <w:p w14:paraId="1980F14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法定代表人：王珠林</w:t>
      </w:r>
    </w:p>
    <w:p w14:paraId="31C73BD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成立日期：2001年5月28日</w:t>
      </w:r>
    </w:p>
    <w:p w14:paraId="2276404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批准设立机关及批准设立文号：中国证监会证监基金字[2001]7号</w:t>
      </w:r>
    </w:p>
    <w:p w14:paraId="518D8CE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组织形式：股份有限公司</w:t>
      </w:r>
    </w:p>
    <w:p w14:paraId="5F8DF09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注册资本：贰亿贰仟贰佰贰拾万元人民币</w:t>
      </w:r>
    </w:p>
    <w:p w14:paraId="2CB86A4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存续期间：持续经营</w:t>
      </w:r>
    </w:p>
    <w:p w14:paraId="6494245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经营范围：基金募集、基金销售、资产管理、中国证监会许可的其他业务。</w:t>
      </w:r>
    </w:p>
    <w:p w14:paraId="1772C3A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（二）基金托管人（或“托管人”）</w:t>
      </w:r>
    </w:p>
    <w:p w14:paraId="5B05F9C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名称：中国建设银行股份有限公司</w:t>
      </w:r>
    </w:p>
    <w:p w14:paraId="6565AA1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住所：北京市西城区金融大街25号</w:t>
      </w:r>
    </w:p>
    <w:p w14:paraId="19DD309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办公地址：北京市西城区闹市口大街1号院1号楼</w:t>
      </w:r>
    </w:p>
    <w:p w14:paraId="28D1311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邮政编码：100033</w:t>
      </w:r>
    </w:p>
    <w:p w14:paraId="4C71B9A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法定代表人：张金良</w:t>
      </w:r>
    </w:p>
    <w:p w14:paraId="5C13D8C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成立日期：2004年09月17日</w:t>
      </w:r>
    </w:p>
    <w:p w14:paraId="130FE5E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基金托管业务批准文号：中国证监会证监基字[1998</w:t>
      </w:r>
      <w:bookmarkStart w:id="1" w:name="OLE_LINK3"/>
      <w:r>
        <w:rPr>
          <w:rFonts w:hint="eastAsia" w:cs="Arial" w:asciiTheme="minorEastAsia" w:hAnsiTheme="minorEastAsia" w:eastAsiaTheme="minorEastAsia"/>
          <w:sz w:val="24"/>
        </w:rPr>
        <w:t>]</w:t>
      </w:r>
      <w:bookmarkEnd w:id="1"/>
      <w:r>
        <w:rPr>
          <w:rFonts w:hint="eastAsia" w:cs="Arial" w:asciiTheme="minorEastAsia" w:hAnsiTheme="minorEastAsia" w:eastAsiaTheme="minorEastAsia"/>
          <w:sz w:val="24"/>
        </w:rPr>
        <w:t>12号</w:t>
      </w:r>
    </w:p>
    <w:p w14:paraId="323725C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组织形式：股份有限公司</w:t>
      </w:r>
    </w:p>
    <w:p w14:paraId="1623745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注册资本：人民币</w:t>
      </w:r>
      <w:r>
        <w:rPr>
          <w:rFonts w:hint="eastAsia"/>
          <w:bCs/>
          <w:color w:val="000000" w:themeColor="text1"/>
          <w:sz w:val="24"/>
          <w14:textFill>
            <w14:solidFill>
              <w14:schemeClr w14:val="tx1"/>
            </w14:solidFill>
          </w14:textFill>
        </w:rPr>
        <w:t>贰仟陆佰壹拾陆亿零叁拾捌万壹仟肆佰伍拾玖元整</w:t>
      </w:r>
    </w:p>
    <w:p w14:paraId="199ACCA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存续期间：持续经营</w:t>
      </w:r>
    </w:p>
    <w:p w14:paraId="7F3FC27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442F0467">
      <w:pPr>
        <w:spacing w:line="360" w:lineRule="auto"/>
        <w:rPr>
          <w:rFonts w:asciiTheme="minorEastAsia" w:hAnsiTheme="minorEastAsia" w:eastAsiaTheme="minorEastAsia"/>
          <w:sz w:val="24"/>
        </w:rPr>
      </w:pPr>
    </w:p>
    <w:p w14:paraId="448F25A4">
      <w:pPr>
        <w:pStyle w:val="3"/>
        <w:spacing w:line="360" w:lineRule="auto"/>
        <w:jc w:val="center"/>
        <w:rPr>
          <w:rFonts w:asciiTheme="minorEastAsia" w:hAnsiTheme="minorEastAsia" w:eastAsiaTheme="minorEastAsia"/>
          <w:sz w:val="30"/>
        </w:rPr>
      </w:pPr>
      <w:bookmarkStart w:id="2" w:name="_Toc124325886"/>
      <w:r>
        <w:rPr>
          <w:rFonts w:hint="eastAsia" w:asciiTheme="minorEastAsia" w:hAnsiTheme="minorEastAsia" w:eastAsiaTheme="minorEastAsia"/>
          <w:sz w:val="30"/>
        </w:rPr>
        <w:t>二、基金托管协议的依据、目的和原则</w:t>
      </w:r>
      <w:bookmarkEnd w:id="2"/>
    </w:p>
    <w:p w14:paraId="13E4FD5E">
      <w:pPr>
        <w:adjustRightInd w:val="0"/>
        <w:snapToGrid w:val="0"/>
        <w:spacing w:line="360" w:lineRule="auto"/>
        <w:ind w:firstLine="480" w:firstLineChars="200"/>
        <w:rPr>
          <w:rFonts w:asciiTheme="minorEastAsia" w:hAnsiTheme="minorEastAsia" w:eastAsiaTheme="minorEastAsia"/>
          <w:sz w:val="24"/>
          <w:szCs w:val="30"/>
        </w:rPr>
      </w:pPr>
      <w:r>
        <w:rPr>
          <w:rFonts w:hint="eastAsia" w:cs="Arial" w:asciiTheme="minorEastAsia" w:hAnsiTheme="minorEastAsia" w:eastAsiaTheme="minorEastAsia"/>
          <w:sz w:val="24"/>
        </w:rPr>
        <w:t>（一）订立托管协议的依据</w:t>
      </w:r>
    </w:p>
    <w:p w14:paraId="418D432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协议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公开募集证券投资基金侧袋机制指引（试行）》等有关法律法规、《基金合同》及其他有关规定制订。</w:t>
      </w:r>
    </w:p>
    <w:p w14:paraId="1F6D87F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（二）订立托管协议的目的</w:t>
      </w:r>
    </w:p>
    <w:p w14:paraId="06FD15F9">
      <w:pPr>
        <w:adjustRightInd w:val="0"/>
        <w:snapToGrid w:val="0"/>
        <w:spacing w:line="360" w:lineRule="auto"/>
        <w:ind w:firstLine="480" w:firstLineChars="200"/>
        <w:rPr>
          <w:rFonts w:asciiTheme="minorEastAsia" w:hAnsiTheme="minorEastAsia" w:eastAsiaTheme="minorEastAsia"/>
          <w:sz w:val="24"/>
          <w:szCs w:val="30"/>
        </w:rPr>
      </w:pPr>
      <w:r>
        <w:rPr>
          <w:rFonts w:hint="eastAsia" w:cs="Arial" w:asciiTheme="minorEastAsia" w:hAnsiTheme="minorEastAsia" w:eastAsiaTheme="minorEastAsia"/>
          <w:sz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06C725C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（三）订立托管协议的原则</w:t>
      </w:r>
    </w:p>
    <w:p w14:paraId="4F0E1E7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基金管理人和基金托管人本着平等自愿、诚实信用、充分保护基金份额持有人合法权益的原则，经协商一致，签订本协议。</w:t>
      </w:r>
    </w:p>
    <w:p w14:paraId="1592DD9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 xml:space="preserve">（四） 免责声明 </w:t>
      </w:r>
    </w:p>
    <w:p w14:paraId="70DCDA2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基金托管人开展托管业务，不得承担以下职责：</w:t>
      </w:r>
    </w:p>
    <w:p w14:paraId="0B19C99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1.承担基金财产的信用风险、市场风险等；</w:t>
      </w:r>
    </w:p>
    <w:p w14:paraId="01E43B2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2.为基金提供直接或间接、显性或隐性担保，包括承诺本金或保证收益；</w:t>
      </w:r>
    </w:p>
    <w:p w14:paraId="05D45DB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3.为基金垫付资金、提供流动性支持或融资承诺等；</w:t>
      </w:r>
    </w:p>
    <w:p w14:paraId="0D4F542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4.参与投资者适当性管理；</w:t>
      </w:r>
    </w:p>
    <w:p w14:paraId="086EFAC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5.保证投资项目及交易信息真实性；</w:t>
      </w:r>
    </w:p>
    <w:p w14:paraId="629F2C0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6.保证基金资金来源的合法合规性；</w:t>
      </w:r>
    </w:p>
    <w:p w14:paraId="39E3F17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7.对已划出托管账户以及处于基金托管人实际控制之外的资产承担保管责任；</w:t>
      </w:r>
    </w:p>
    <w:p w14:paraId="552D6D0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8.参与基金管理人对基金的投资决策；</w:t>
      </w:r>
    </w:p>
    <w:p w14:paraId="320E4CE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9.违规代替基金管理人向其他机构或者个人进行基金信息披露或提供相关数据信息；</w:t>
      </w:r>
    </w:p>
    <w:p w14:paraId="6E1B4FA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10.基金管理人未接受基金托管人的复核意见进行信息披露产生的相应责任；</w:t>
      </w:r>
    </w:p>
    <w:p w14:paraId="3067976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11.负责未兑付产品的资金追偿、财产保全、诉讼仲裁、债务重组和破产程序等，法律另有规定的除外；</w:t>
      </w:r>
    </w:p>
    <w:p w14:paraId="2F5C864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12.因不可抗力，以及非基金托管人履职错误或过失造成的托管资产损失；</w:t>
      </w:r>
    </w:p>
    <w:p w14:paraId="3FDF82E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13.国务院金融监管部门规定的不属于基金托管人托管业务范围的其他职责。</w:t>
      </w:r>
    </w:p>
    <w:p w14:paraId="5189CC6C">
      <w:pPr>
        <w:adjustRightInd w:val="0"/>
        <w:snapToGrid w:val="0"/>
        <w:spacing w:line="360" w:lineRule="auto"/>
        <w:ind w:firstLine="480" w:firstLineChars="200"/>
        <w:rPr>
          <w:rFonts w:asciiTheme="minorEastAsia" w:hAnsiTheme="minorEastAsia" w:eastAsiaTheme="minorEastAsia"/>
          <w:sz w:val="24"/>
        </w:rPr>
      </w:pPr>
    </w:p>
    <w:p w14:paraId="66425B6E">
      <w:pPr>
        <w:pStyle w:val="3"/>
        <w:spacing w:line="360" w:lineRule="auto"/>
        <w:jc w:val="center"/>
        <w:rPr>
          <w:rFonts w:asciiTheme="minorEastAsia" w:hAnsiTheme="minorEastAsia" w:eastAsiaTheme="minorEastAsia"/>
          <w:sz w:val="30"/>
          <w:szCs w:val="24"/>
        </w:rPr>
      </w:pPr>
      <w:bookmarkStart w:id="3" w:name="_Toc124325887"/>
      <w:r>
        <w:rPr>
          <w:rFonts w:hint="eastAsia" w:asciiTheme="minorEastAsia" w:hAnsiTheme="minorEastAsia" w:eastAsiaTheme="minorEastAsia"/>
          <w:sz w:val="30"/>
        </w:rPr>
        <w:t>三、基金托管人对基金管理人的业务监督和核查</w:t>
      </w:r>
      <w:bookmarkEnd w:id="3"/>
    </w:p>
    <w:p w14:paraId="5579238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基金托管人根据有关法律法规的规定及《基金合同》的约定，对基金投资范围、投资对象进行监督。《基金合同》明确约定基金投资风格或证券选择标准的，基金管理人应按照基金托管人要求的格式，将拟投资的标的证券库提供给基金托管人，基金管理人可以根据实际情况的变化，对标的证券库予以更新和调整并及时通知基金托管人。基金托管人根据上述投资范围对基金实际投资是否符合《基金合同》关于证券选择标准的约定进行监督。</w:t>
      </w:r>
    </w:p>
    <w:p w14:paraId="4DF4F66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的投资范围包括国内依法发行上市的股票（包括主板股票、创业板股票、科创板股票、存托凭证及其他经中国证监会核准或注册上市的股票）、港股通标的股票、债券（包括国债、央行票据、金融债券、政策性金融债券、企业债券、公司债券、次级债券、地方政府债券、中期票据、政府支持机构债、可转换公司债券（含分离交易的可转换公司债券）、可交换债券、短期融资券、超短期融资券）、资产支持证券、债券回购、银行存款（含协议存款、定期存款及其他银行存款）、同业存单、现金、经中国证监会依法核准或注册的公开募集证券投资基金（仅包含全市场的股票型ETF</w:t>
      </w:r>
      <w:r>
        <w:rPr>
          <w:rFonts w:hint="eastAsia" w:ascii="宋体" w:hAnsi="宋体"/>
          <w:bCs/>
          <w:sz w:val="24"/>
        </w:rPr>
        <w:t>、公开募集不动产投资信托基金（公募REITs）</w:t>
      </w:r>
      <w:r>
        <w:rPr>
          <w:rFonts w:hint="eastAsia" w:cs="Arial" w:asciiTheme="minorEastAsia" w:hAnsiTheme="minorEastAsia" w:eastAsiaTheme="minorEastAsia"/>
          <w:sz w:val="24"/>
        </w:rPr>
        <w:t>及本基金管理人旗下的股票型基金、权益类混合型基金，不包含QDII基金、香港互认基金、货币市场基金、基金中基金、其他可投资公募基金的基金、同一基金经理管理的其他基金）、国债期货以及法律法规或中国证监会允许基金投资的其他金融工具（但须符合中国证监会相关规定）。</w:t>
      </w:r>
    </w:p>
    <w:p w14:paraId="0BF40F8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如法律法规或监管机构以后允许基金投资其他品种，基金管理人在履行适当程序后，可以将其纳入本基金的投资范围，其投资比例遵循届时有效的法律法规和相关规定。</w:t>
      </w:r>
    </w:p>
    <w:p w14:paraId="1DE44FD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的投资组合比例为：债券投资比例不低于基金资产的80%；权益类资产、可转换公司债券（含分离交易的可转换公司债券）和可交换债券的比例合计为基金资产的5%-20%，其中投资于境内股票资产（含投资A股的ETF）的比例不低于基金资产的5%，港股通标的股票投资比例不得超过股票资产的50%；本基金投资于公开募集证券投资基金的资产不超过基金资产净值的10%。每个交易日日终，在扣除国债期货合约需缴纳的交易保证金后，应当保持不低于基金资产净值5%的现金或者到期日在一年以内的政府债券，其中，现金不包括结算备付金、存出保证金和应收申购款等。</w:t>
      </w:r>
    </w:p>
    <w:p w14:paraId="245239B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权益类资产包括股票（含存托凭证）、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p w14:paraId="4CA5A4C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将港股通标的股票投资的比例下限设为零，本基金可根据投资策略需要或不同配置地市场环境的变化，选择将部分基金资产投资于港股通标的股票或选择不将基金资产投资于港股通标的股票，基金资产并非必然投资港股通标的股票。</w:t>
      </w:r>
    </w:p>
    <w:p w14:paraId="09607C8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如果法律法规或中国证监会变更相关投资品种的投资比例限制，基金管理人在履行适当程序后，可以调整上述投资品种的投资比例或按变更后的规定执行。</w:t>
      </w:r>
    </w:p>
    <w:p w14:paraId="25FDE8F8">
      <w:pPr>
        <w:adjustRightInd w:val="0"/>
        <w:snapToGrid w:val="0"/>
        <w:spacing w:line="360" w:lineRule="auto"/>
        <w:ind w:firstLine="480" w:firstLineChars="200"/>
        <w:rPr>
          <w:rFonts w:cs="Arial" w:asciiTheme="minorEastAsia" w:hAnsiTheme="minorEastAsia" w:eastAsiaTheme="minorEastAsia"/>
          <w:sz w:val="24"/>
        </w:rPr>
      </w:pPr>
      <w:r>
        <w:rPr>
          <w:rFonts w:hint="eastAsia" w:asciiTheme="minorEastAsia" w:hAnsiTheme="minorEastAsia" w:eastAsiaTheme="minorEastAsia"/>
          <w:sz w:val="24"/>
        </w:rPr>
        <w:t>（二）基金托管人根据有关法律法规的规定及《基金合同》的约定，对投资比例进行监督。基金托管人按下述比例和调整期限进行监督：</w:t>
      </w:r>
    </w:p>
    <w:p w14:paraId="6270A2C2">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本基金债券投资比例不低于基金资产的80%；权益类资产、可转换公司债券（含分离交易的可转换公司债券）和可交换债券的比例合计为基金资产的5%-20%，其中投资于境内股票资产（含投资A股的ETF）的比例不低于基金资产的5%，港股通标的股票投资比例不得超过股票资产的50%；本基金投资于公开募集证券投资基金的资产不超过基金资产净值的10%；</w:t>
      </w:r>
    </w:p>
    <w:p w14:paraId="64986DAD">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2.每个交易日日终，在扣除国债期货合约需缴纳的交易保证金后，本基金应当保持不低于基金资产净值5%的现金或者到期日在一年以内的政府债券。其中，现金不包括结算备付金、存出保证金和应收申购款等；</w:t>
      </w:r>
    </w:p>
    <w:p w14:paraId="53E4E95D">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3.本基金持有一家公司发行的证券（同一家公司在内地和香港同时上市的A+H股合计计算，但不包括本基金所投资的基金份额），其市值不超过基金资产净值的10%；</w:t>
      </w:r>
    </w:p>
    <w:p w14:paraId="34E2667F">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本基金管理人管理的且在本基金托管人处托管的全部基金持有一家公司发行的证券（同一家公司在内地和香港同时上市的A+H股合计计算，但不包括本基金所投资的基金份额），不超过该证券的10%，完全按照有关指数的构成比例进行证券投资的基金品种可以不受此条款规定的比例限制；</w:t>
      </w:r>
    </w:p>
    <w:p w14:paraId="08531F02">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5.本基金投资于同一原始权益人的各类资产支持证券的比例，不得超过基金资产净值的10%；</w:t>
      </w:r>
    </w:p>
    <w:p w14:paraId="5B3CFCA2">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6.本基金持有的全部资产支持证券，其市值不得超过基金资产净值的20%，中国证监会规定的特殊品种除外；</w:t>
      </w:r>
    </w:p>
    <w:p w14:paraId="266E4F5C">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7.本基金持有的同一（指同一信用级别）资产支持证券的比例，不得超过该资产支持证券规模的10%；</w:t>
      </w:r>
    </w:p>
    <w:p w14:paraId="0687B7B2">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8.本基金管理人管理的且在本基金托管人处托管的全部基金投资于同一原始权益人的各类资产支持证券，不得超过其各类资产支持证券合计规模的10%；</w:t>
      </w:r>
    </w:p>
    <w:p w14:paraId="003FE10C">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9.基金财产参与股票发行申购，本基金所申报的金额不超过本基金的总资产，本基金所申报的股票数量不超过拟发行股票公司本次发行股票的总量；</w:t>
      </w:r>
    </w:p>
    <w:p w14:paraId="7BC5EEA5">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10.本基金管理人管理的且在本基金托管人处托管的全部开放式基金（包括开放式基金以及处于开放期的定期开放基金）持有一家上市公司发行的可流通股票，不得超过该上市公司可流通股票的15%；本基金管理人管理的且在本基金托管人处托管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1813A449">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11.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7D26BBBE">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12.本基金的基金资产总值不超过基金资产净值的140%；</w:t>
      </w:r>
    </w:p>
    <w:p w14:paraId="04AE1C25">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13.本基金参与国债期货交易的，需遵守下列投资比例限制：</w:t>
      </w:r>
    </w:p>
    <w:p w14:paraId="2E2C02F9">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（1）本基金在任何交易日日终，持有的买入国债期货合约价值，不得超过基金资产净值的15%；</w:t>
      </w:r>
    </w:p>
    <w:p w14:paraId="721343AE">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（2）本基金在任何交易日日终，持有的卖出国债期货合约价值不得超过基金持有的债券总市值的30%；</w:t>
      </w:r>
    </w:p>
    <w:p w14:paraId="22D1C1B3">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（3）本基金在任何交易日内交易（不包括平仓）的国债期货合约的成交金额不得超过上一交易日基金资产净值的30%；</w:t>
      </w:r>
    </w:p>
    <w:p w14:paraId="767D701D">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（4）本基金所持有的债券（不含到期日在一年以内的政府债券）市值和买入、卖出国债期货合约价值，合计（轧差计算）应当符合基金合同关于债券投资比例的有关约定；</w:t>
      </w:r>
    </w:p>
    <w:p w14:paraId="79093512">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14.本基金投资存托凭证的比例限制依照境内上市交易的股票执行，与境内上市交易的股票合并计算；</w:t>
      </w:r>
    </w:p>
    <w:p w14:paraId="30148695">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15.本基金管理人管理的</w:t>
      </w:r>
      <w:r>
        <w:rPr>
          <w:rFonts w:hint="eastAsia" w:ascii="宋体" w:hAnsi="宋体" w:cs="宋体"/>
          <w:sz w:val="24"/>
        </w:rPr>
        <w:t>且在本基金托管人处托管的</w:t>
      </w:r>
      <w:r>
        <w:rPr>
          <w:rFonts w:hint="eastAsia" w:cs="Arial" w:asciiTheme="minorEastAsia" w:hAnsiTheme="minorEastAsia" w:eastAsiaTheme="minorEastAsia"/>
          <w:sz w:val="24"/>
        </w:rPr>
        <w:t>全部基金（ETF联接基金除外）持有单只基金不得超过被投资基金净资产的20%，被投资基金净资产规模以最近定期报告披露的规模为准；</w:t>
      </w:r>
    </w:p>
    <w:p w14:paraId="1E349F7C">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16.本基金投资其他基金，被投资基金的运作期限应当不少于1年、最近定期报告披露的基金净资产应当不低于1亿元；</w:t>
      </w:r>
    </w:p>
    <w:p w14:paraId="1645557D">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17.法律法规及中国证监会规定的和基金合同约定的其他投资限制。</w:t>
      </w:r>
    </w:p>
    <w:p w14:paraId="7C8B67E9">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因证券市场波动、基金规模变动等基金管理人之外的因素致使基金投资不符合上述15规定的投资比例的，基金管理人应当在20个交易日内进行调整，但中国证监会规定的特殊情形除外。除上述第2、11、15项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2EED9638">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0AAE2BE0">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本基金投资流通受限证券，基金管理人应根据中国证监会相关规定进行投资。基金管理人应制订严格的投资决策流程和风险控制制度，防范流动性风险、法律风险和操作风险等各种风险。</w:t>
      </w:r>
    </w:p>
    <w:p w14:paraId="2B51EFCB">
      <w:pPr>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持有证券期间，如发生证券处于流通受限状态等非基金管理人原因导致基金投资比例不符合前述规定的，基金管理人应在上述情形消除后的10个交易日内调整完毕，但中国证监会规定的特殊情形除外。法律法规另有规定的，从其规定。</w:t>
      </w:r>
    </w:p>
    <w:p w14:paraId="6B38B86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如果法律法规或监管部门对上述投资组合比例限制进行变更的，基金管理人在履行适当程序后，可相应调整投资比例限制规定或按变更后的规定执行。法律法规或监管部门取消上述限制，如适用于本基金，基金管理人在履行适当程序后，则本基金投资不再受相关限制。</w:t>
      </w:r>
    </w:p>
    <w:p w14:paraId="50360E2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（三）基金托管人</w:t>
      </w:r>
      <w:bookmarkStart w:id="4" w:name="OLE_LINK1"/>
      <w:r>
        <w:rPr>
          <w:rFonts w:hint="eastAsia" w:cs="Arial" w:asciiTheme="minorEastAsia" w:hAnsiTheme="minorEastAsia" w:eastAsiaTheme="minorEastAsia"/>
          <w:sz w:val="24"/>
        </w:rPr>
        <w:t>根据有关法律法规的规定及《基金合同》的约定，</w:t>
      </w:r>
      <w:bookmarkEnd w:id="4"/>
      <w:r>
        <w:rPr>
          <w:rFonts w:hint="eastAsia" w:cs="Arial" w:asciiTheme="minorEastAsia" w:hAnsiTheme="minorEastAsia" w:eastAsiaTheme="minorEastAsia"/>
          <w:sz w:val="24"/>
        </w:rPr>
        <w:t>对本托管协议第十五条第（九）款基金投资禁止行为通过事后监督方式进行监督。</w:t>
      </w:r>
    </w:p>
    <w:p w14:paraId="1213257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173340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法律、行政法规或监管部门取消或变更上述限制，如适用于本基金，基金管理人在履行适当程序后，则本基金投资不再受相关限制或按变更后的规定执行。</w:t>
      </w:r>
    </w:p>
    <w:p w14:paraId="46899BB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（四）基金托管人根据有关法律法规的规定及《基金合同》的约定，对基金管理人投资流通受限证券进行监督。</w:t>
      </w:r>
    </w:p>
    <w:p w14:paraId="6C37CBB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基金管理人投资流通受限证券，应事先根据中国证监会相关规定，明确基金投资流通受限证券的比例，制订严格的投资决策流程和风险控制制度，防范流动性风险、法律风险和操作风险等各种风险。</w:t>
      </w:r>
    </w:p>
    <w:p w14:paraId="4CAE340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本基金投资的流通受限证券须为经中国证监会批准或注册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14:paraId="1573556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本基金投资的流通受限证券限于可由中国证券登记结算有限责任公司（或称“中国结算”）或中央国债登记结算有限责任公司负责登记和存管，并可在证券交易所或全国银行间债券市场交易的证券。</w:t>
      </w:r>
    </w:p>
    <w:p w14:paraId="3BC5F8E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14:paraId="0C3802C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本基金投资流通受限证券，不得预付任何形式的保证金。若有最新法律法规、监管政策变更规定的，根据最新法律法规、监管政策执行。</w:t>
      </w:r>
    </w:p>
    <w:p w14:paraId="6A8C736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w:t>
      </w:r>
    </w:p>
    <w:p w14:paraId="7B58B2E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人原因导致本基金出现损失致使基金托管人承担连带赔偿责任的，基金管理人应赔偿基金托管人由此遭受的损失。</w:t>
      </w:r>
    </w:p>
    <w:p w14:paraId="6053B28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1509FF6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（1）中国证监会批准或注册发行非公开发行股票的文件。</w:t>
      </w:r>
    </w:p>
    <w:p w14:paraId="51B64E3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（2）非公开发行股票有关发行数量、发行价格、锁定期等发行资料。</w:t>
      </w:r>
    </w:p>
    <w:p w14:paraId="5C81275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3</w:t>
      </w:r>
      <w:r>
        <w:rPr>
          <w:rFonts w:hint="eastAsia" w:cs="Arial" w:asciiTheme="minorEastAsia" w:hAnsiTheme="minorEastAsia" w:eastAsiaTheme="minorEastAsia"/>
          <w:sz w:val="24"/>
        </w:rPr>
        <w:t>）基金拟认购的数量、价格、总成本、账面价值。</w:t>
      </w:r>
    </w:p>
    <w:p w14:paraId="3DC229D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基金管理人应在本基金投资非公开发行股票后两个交易日内，在中国证监会规定媒介披露所投资非公开发行股票的名称、数量、总成本、账面价值，以及总成本和账面价值占基金资产净值的比例、锁定期等信息。</w:t>
      </w:r>
    </w:p>
    <w:p w14:paraId="7EBA4A4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本基金有关投资流通受限证券比例如违反有关限制规定，在合理期限内未能进行及时调整，基金管理人应在两日内编制临时报告书，予以公告。</w:t>
      </w:r>
    </w:p>
    <w:p w14:paraId="32D54A52">
      <w:pPr>
        <w:adjustRightInd w:val="0"/>
        <w:snapToGrid w:val="0"/>
        <w:spacing w:line="360" w:lineRule="auto"/>
        <w:ind w:firstLine="480" w:firstLineChars="200"/>
        <w:rPr>
          <w:rFonts w:cs="Arial" w:asciiTheme="minorEastAsia" w:hAnsiTheme="minorEastAsia" w:eastAsiaTheme="minorEastAsia"/>
          <w:sz w:val="24"/>
        </w:rPr>
      </w:pPr>
      <w:r>
        <w:rPr>
          <w:rFonts w:cs="Arial" w:asciiTheme="minorEastAsia" w:hAnsiTheme="minorEastAsia" w:eastAsiaTheme="minorEastAsia"/>
          <w:sz w:val="24"/>
        </w:rPr>
        <w:t>5</w:t>
      </w:r>
      <w:r>
        <w:rPr>
          <w:rFonts w:hint="eastAsia" w:cs="Arial" w:asciiTheme="minorEastAsia" w:hAnsiTheme="minorEastAsia" w:eastAsiaTheme="minorEastAsia"/>
          <w:sz w:val="24"/>
        </w:rPr>
        <w:t>.相关法律法规对基金投资流通受限证券有新规定的，从其规定。</w:t>
      </w:r>
    </w:p>
    <w:p w14:paraId="5172B82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五）基金托管人根据有关法律法规的规定及《基金合同》的约定，对各类基金资产净值计算、各类基金份额净值及各类基金份额累计净值计算、应收资金到账、基金费用开支及收入确定、基金收益分配、相关信息披露、基金宣传推介材料中登载基金业绩表现数据等进行监督和核查。</w:t>
      </w:r>
    </w:p>
    <w:p w14:paraId="1365086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六）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58EA7B5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基金托管人投资监督的准确性和完整性受限于基金管理人及其他中介机构提供的数据和信息。基金托管人在充分获取所必需数据信息的前提下提供投资监督服务。</w:t>
      </w:r>
    </w:p>
    <w:p w14:paraId="7C14410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七）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327A2A8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（八）若基金托管人发现基金管理人依据交易程序已经生效的指令违反法律、行政法规和其他有关规定，或者违反《基金合同》约定的，应当及时通知基金管理人，由此造成的损失由基金管理人承担。</w:t>
      </w:r>
    </w:p>
    <w:p w14:paraId="1CA8C6C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九）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14:paraId="48D190B8">
      <w:pPr>
        <w:adjustRightInd w:val="0"/>
        <w:snapToGrid w:val="0"/>
        <w:spacing w:line="360" w:lineRule="auto"/>
        <w:ind w:firstLine="480" w:firstLineChars="200"/>
        <w:rPr>
          <w:rFonts w:cs="Arial" w:asciiTheme="minorEastAsia" w:hAnsiTheme="minorEastAsia" w:eastAsiaTheme="minorEastAsia"/>
          <w:sz w:val="24"/>
        </w:rPr>
      </w:pPr>
    </w:p>
    <w:p w14:paraId="52C29A86">
      <w:pPr>
        <w:pStyle w:val="3"/>
        <w:spacing w:line="360" w:lineRule="auto"/>
        <w:jc w:val="center"/>
        <w:rPr>
          <w:rFonts w:asciiTheme="minorEastAsia" w:hAnsiTheme="minorEastAsia" w:eastAsiaTheme="minorEastAsia"/>
          <w:sz w:val="30"/>
        </w:rPr>
      </w:pPr>
      <w:bookmarkStart w:id="5" w:name="_Toc86726439"/>
      <w:bookmarkStart w:id="6" w:name="_Toc89163368"/>
      <w:bookmarkStart w:id="7" w:name="_Toc119402710"/>
      <w:bookmarkStart w:id="8" w:name="_Toc118774803"/>
      <w:bookmarkStart w:id="9" w:name="_Toc86649722"/>
      <w:bookmarkStart w:id="10" w:name="_Toc86737929"/>
      <w:bookmarkStart w:id="11" w:name="_Toc118972648"/>
      <w:bookmarkStart w:id="12" w:name="_Toc110765660"/>
      <w:bookmarkStart w:id="13" w:name="_Toc86223242"/>
      <w:bookmarkStart w:id="14" w:name="_Toc86225291"/>
      <w:bookmarkStart w:id="15" w:name="_Toc86727355"/>
      <w:bookmarkStart w:id="16" w:name="_Toc120435783"/>
      <w:bookmarkStart w:id="17" w:name="_Toc118212950"/>
      <w:bookmarkStart w:id="18" w:name="_Toc110830492"/>
      <w:bookmarkStart w:id="19" w:name="_Toc124325888"/>
      <w:bookmarkStart w:id="20" w:name="_Toc110761796"/>
      <w:bookmarkStart w:id="21" w:name="_Toc108512358"/>
      <w:r>
        <w:rPr>
          <w:rFonts w:hint="eastAsia" w:asciiTheme="minorEastAsia" w:hAnsiTheme="minorEastAsia" w:eastAsiaTheme="minorEastAsia"/>
          <w:sz w:val="30"/>
        </w:rPr>
        <w:t>四、基金管理人对基金托管人的业务核查</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3FCF85A6">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一）基金管理人对基金托管人履行托管职责情况进行核查，核查事项包括基金托管人安全保管基金财产、开设基金财产的资金账户和证券账户等投资所需账户、复核基金管理人计算的各类基金资产净值、各类基金份额净值和各类基金份额累计净值、根据基金管理人指令办理清算交收、相关信息披露和监督基金投资运作等行为。</w:t>
      </w:r>
    </w:p>
    <w:p w14:paraId="2D31B821">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2DF5CBE0">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12DED867">
      <w:pPr>
        <w:spacing w:line="360" w:lineRule="auto"/>
        <w:rPr>
          <w:rFonts w:asciiTheme="minorEastAsia" w:hAnsiTheme="minorEastAsia" w:eastAsiaTheme="minorEastAsia"/>
          <w:sz w:val="24"/>
        </w:rPr>
      </w:pPr>
    </w:p>
    <w:p w14:paraId="5DF4B62B">
      <w:pPr>
        <w:pStyle w:val="3"/>
        <w:spacing w:line="360" w:lineRule="auto"/>
        <w:jc w:val="center"/>
        <w:rPr>
          <w:rFonts w:asciiTheme="minorEastAsia" w:hAnsiTheme="minorEastAsia" w:eastAsiaTheme="minorEastAsia"/>
          <w:sz w:val="30"/>
        </w:rPr>
      </w:pPr>
      <w:bookmarkStart w:id="22" w:name="_Toc118774804"/>
      <w:bookmarkStart w:id="23" w:name="_Toc110765661"/>
      <w:bookmarkStart w:id="24" w:name="_Toc118212951"/>
      <w:bookmarkStart w:id="25" w:name="_Toc86225292"/>
      <w:bookmarkStart w:id="26" w:name="_Toc89163369"/>
      <w:bookmarkStart w:id="27" w:name="_Toc118972649"/>
      <w:bookmarkStart w:id="28" w:name="_Toc86649723"/>
      <w:bookmarkStart w:id="29" w:name="_Toc86204789"/>
      <w:bookmarkStart w:id="30" w:name="_Toc84234388"/>
      <w:bookmarkStart w:id="31" w:name="_Toc124325889"/>
      <w:bookmarkStart w:id="32" w:name="_Toc110830493"/>
      <w:bookmarkStart w:id="33" w:name="_Toc86726440"/>
      <w:bookmarkStart w:id="34" w:name="_Toc86727356"/>
      <w:bookmarkStart w:id="35" w:name="_Toc108512359"/>
      <w:bookmarkStart w:id="36" w:name="_Toc86223243"/>
      <w:bookmarkStart w:id="37" w:name="_Toc110761797"/>
      <w:bookmarkStart w:id="38" w:name="_Toc120435784"/>
      <w:bookmarkStart w:id="39" w:name="_Toc84133786"/>
      <w:bookmarkStart w:id="40" w:name="_Toc84234435"/>
      <w:bookmarkStart w:id="41" w:name="_Toc119402711"/>
      <w:bookmarkStart w:id="42" w:name="_Toc86737930"/>
      <w:r>
        <w:rPr>
          <w:rFonts w:hint="eastAsia" w:asciiTheme="minorEastAsia" w:hAnsiTheme="minorEastAsia" w:eastAsiaTheme="minorEastAsia"/>
          <w:sz w:val="30"/>
        </w:rPr>
        <w:t>五、基金财产的保管</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06C08E2E">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（一）基金财产保管的原则</w:t>
      </w:r>
    </w:p>
    <w:p w14:paraId="40C72D87">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1.基金财产应独立于基金管理人、基金托管人的固有财产。</w:t>
      </w:r>
    </w:p>
    <w:p w14:paraId="0D24C8A6">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2.基金托管人应安全保管基金财产。</w:t>
      </w:r>
    </w:p>
    <w:p w14:paraId="7FD4D88D">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3.基金托管人按照规定开设基金财产的资金账户和证券账户等投资所需账户。</w:t>
      </w:r>
    </w:p>
    <w:p w14:paraId="7C284437">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4.基金托管人对所托管的不同基金财产分别设置账户，确保基金财产的完整与独立。</w:t>
      </w:r>
    </w:p>
    <w:p w14:paraId="7399106A">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5.基金托管人按照《基金合同》和本协议的约定保管基金财产，如有特殊情况双方可另行协商解决。基金</w:t>
      </w:r>
      <w:r>
        <w:rPr>
          <w:rFonts w:hint="eastAsia" w:asciiTheme="minorEastAsia" w:hAnsiTheme="minorEastAsia" w:eastAsiaTheme="minorEastAsia"/>
          <w:sz w:val="24"/>
        </w:rPr>
        <w:t>托管人未经基金管理人的指令，不得自行运用、处分、分配本基金的任何资产（不包含基金托管人依据中国证券登记结算有限责任公司结算数据完成场内交易交收、开户银行或交易/登记结算机构扣收交易费、结算费和账户维护费等费用）。</w:t>
      </w:r>
    </w:p>
    <w:p w14:paraId="4F2FE77F">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但应给予积极的配合和协助。</w:t>
      </w:r>
    </w:p>
    <w:p w14:paraId="37E6231F">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7.除依据法律法规和《基金合同》的规定外，基金托管人不得委托第三人托管基金财产。</w:t>
      </w:r>
    </w:p>
    <w:p w14:paraId="3CDCE7B0">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（二）基金募集期间及募集资金的验资</w:t>
      </w:r>
    </w:p>
    <w:p w14:paraId="51F325BD">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1.基金募集期间募集的资金应存于基金管理人在有托管资格的商业银行开立的“基金募集专户”。该账户由基金管理人开立并管理。</w:t>
      </w:r>
    </w:p>
    <w:p w14:paraId="59008C29">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符合《中华人民共和国证券法》规定的会计师事务所进行验资，出具验资报告。出具的验资报告由参加验资的2名或2名以上中国注册会计师签字方为有效。</w:t>
      </w:r>
    </w:p>
    <w:p w14:paraId="10DB30EB">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3.若基金募集期限届满，未能达到《基金合同》生效的条件，由基金管理人按规定办理退款等事宜，基金托管人应予以必要的协助和配合。</w:t>
      </w:r>
    </w:p>
    <w:p w14:paraId="7F76B61F">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（三）基金托管资金账户的开立和管理</w:t>
      </w:r>
    </w:p>
    <w:p w14:paraId="54422DED">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1.基金托管人应以基金的名义在其营业机构开立基金的托管资金账户，并根据基金管理人合法合规的指令办理资金收付。户名原则上应当包含开户主体和产品名称字样。如法律法规或监管部门另有规定的，从其规定。本基金的银行预留印鉴由基金托管人保管和使用。</w:t>
      </w:r>
    </w:p>
    <w:p w14:paraId="3667D20B">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2.基金托管资金账户的开立和使用，限于满足开展本基金业务的需要。基金托管人和基金管理人不得假借本基金的名义开立任何其他托管资金账户；亦不得使用基金的任何账户进行本基金业务以外的活动。</w:t>
      </w:r>
    </w:p>
    <w:p w14:paraId="6CB7E7BF">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3.基金托管资金账户的开立和管理应符合银行业监督管理机构的有关规定。</w:t>
      </w:r>
    </w:p>
    <w:p w14:paraId="33DEAC1B">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4.在符合法律法规规定的条件下，基金托管人可以通过基金托管人专用账户办理基金资产的支付。</w:t>
      </w:r>
    </w:p>
    <w:p w14:paraId="02D46B18">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5.基金管理人应于基金清盘后及时完成收益兑付、费用结清及其他应收应付款项资金划转，在确保后续不再发生款项进出后的10个工作日内向托管人发出销户申请。</w:t>
      </w:r>
    </w:p>
    <w:p w14:paraId="1182DEC2">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（四）基金证券账户和结算备付金账户的开立和管理</w:t>
      </w:r>
    </w:p>
    <w:p w14:paraId="3B6BEFB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1.基金托管人在中国证券登记结算有限责任公司为基金开立基金托管人与基金联名的证券账户。</w:t>
      </w:r>
    </w:p>
    <w:p w14:paraId="31F1C56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4AEAF89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3.基金证券账户的开立和证券账户卡的保管由基金托管人负责，账户资产的管理和运用由基金管理人负责。</w:t>
      </w:r>
    </w:p>
    <w:p w14:paraId="789FD61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证券账户开户费由基金管理人先行垫付，待基金启始运营后，基金管理人可向基金托管人发送划款指令，将代垫开户费从本基金托管资金账户中扣还基金管理人。</w:t>
      </w:r>
    </w:p>
    <w:p w14:paraId="71AF260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交收资金等的收取按照中国证券登记结算有限责任公司的规定以及基金管理人与基金托管人签署的《托管银行证券资金结算协议》执行。</w:t>
      </w:r>
    </w:p>
    <w:p w14:paraId="1C85AEC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5.账户注销时，在遵守中国证券登记结算有限责任公司的相关规定下，由管理人和托管人协商确认主要办理人。账户注销期间，主要办理人如需另一方提供配合的，另一方应予以配合。</w:t>
      </w:r>
    </w:p>
    <w:p w14:paraId="6FBF267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6.若中国证监会或其他监管机构在本托管协议订立日之后允许基金从事其他投资品种的投资业务，涉及相关账户的开立、使用的，若无相关规定，则基金托管人比照上述关于账户开立、使用的规定执行。</w:t>
      </w:r>
    </w:p>
    <w:p w14:paraId="788B7EA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（五）银行间账户的开设和管理</w:t>
      </w:r>
    </w:p>
    <w:p w14:paraId="5370E75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基金管理人代表基金签订全国银行间债券市场债券回购主协议。</w:t>
      </w:r>
    </w:p>
    <w:p w14:paraId="725FF3F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（六）开放式基金账户的开设和管理</w:t>
      </w:r>
    </w:p>
    <w:p w14:paraId="2752B58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场外开放式基金账户由管理人根据基金公司要求填写相关资料后开立。管理人应指定托管资金账户作为开放式基金交易及回款的唯一结算账户。管理人应及时将开放式基金账户的信息发送托管人。</w:t>
      </w:r>
    </w:p>
    <w:p w14:paraId="15D8E22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管理人选择通过机构投资者场外投资业务平台（简称"FISP"）参与开放式基金投资的，应由基金管理人在FISP系统登记产品信息（包含托管人信息），由托管人对银行账户信息进行验证。产品登记成功后，由基金管理人在线向基金销售机构提交开户申请，账户开立信息通过FISP反馈基金管理人和托管人。</w:t>
      </w:r>
    </w:p>
    <w:p w14:paraId="0C8578B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（七）其他账户的开立和管理</w:t>
      </w:r>
    </w:p>
    <w:p w14:paraId="4848143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在本托管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14:paraId="3E299789">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2.法律法规等有关规定对相关账户的开立和管理另有规定的，从其规定办理。</w:t>
      </w:r>
    </w:p>
    <w:p w14:paraId="5D3CDCDC">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（八）基金财产投资的有关有价凭证等的保管</w:t>
      </w:r>
    </w:p>
    <w:p w14:paraId="42F58545">
      <w:pPr>
        <w:adjustRightInd w:val="0"/>
        <w:snapToGrid w:val="0"/>
        <w:spacing w:line="360" w:lineRule="auto"/>
        <w:ind w:firstLine="480" w:firstLineChars="200"/>
        <w:rPr>
          <w:rFonts w:cs="Arial" w:asciiTheme="minorEastAsia" w:hAnsiTheme="minorEastAsia" w:eastAsiaTheme="minorEastAsia"/>
        </w:rPr>
      </w:pPr>
      <w:r>
        <w:rPr>
          <w:rFonts w:hint="eastAsia" w:cs="Arial" w:asciiTheme="minorEastAsia" w:hAnsiTheme="minorEastAsia" w:eastAsiaTheme="minorEastAsia"/>
          <w:sz w:val="24"/>
        </w:rPr>
        <w:t>基金财产投资的有关实物证券、银行</w:t>
      </w:r>
      <w:r>
        <w:rPr>
          <w:rFonts w:hint="eastAsia" w:asciiTheme="minorEastAsia" w:hAnsiTheme="minorEastAsia" w:eastAsiaTheme="minorEastAsia"/>
          <w:sz w:val="24"/>
        </w:rPr>
        <w:t>存款开户证实书</w:t>
      </w:r>
      <w:r>
        <w:rPr>
          <w:rFonts w:hint="eastAsia" w:cs="Arial" w:asciiTheme="minorEastAsia" w:hAnsiTheme="minorEastAsia" w:eastAsiaTheme="minorEastAsia"/>
          <w:sz w:val="24"/>
        </w:rPr>
        <w:t>等有价凭证由基金托管人存放于基金托管人的保管库，也可存入法律法规有关规定允许的各类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2A1B67A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（九）与基金财产有关的重大合同的保管</w:t>
      </w:r>
    </w:p>
    <w:p w14:paraId="25B8CF0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尽量保证基金管理人和基金托管人至少各持有一份正本的原件。基金管理人应在重大合同签署后及时以加密方式或双方同意的其他方式将重大合同发送给基金托管人，并在三十个工作日内将正本送达基金托管人处。重大合同的保管期限</w:t>
      </w:r>
      <w:r>
        <w:rPr>
          <w:rFonts w:hint="eastAsia" w:ascii="Cambria" w:hAnsi="Cambria"/>
          <w:bCs/>
          <w:sz w:val="24"/>
        </w:rPr>
        <w:t>按照法律法规的规定执行</w:t>
      </w:r>
      <w:r>
        <w:rPr>
          <w:rFonts w:hint="eastAsia" w:cs="Arial" w:asciiTheme="minorEastAsia" w:hAnsiTheme="minorEastAsia" w:eastAsiaTheme="minorEastAsia"/>
          <w:sz w:val="24"/>
        </w:rPr>
        <w:t>。对于无法取得二份以上的正本的，基金管理人应向基金托管人提供加盖公章的合同传真件、复印件或扫描件，未经双方协商一致，合同原件不得转移。</w:t>
      </w:r>
    </w:p>
    <w:p w14:paraId="7337555A">
      <w:pPr>
        <w:spacing w:line="360" w:lineRule="auto"/>
        <w:rPr>
          <w:rFonts w:asciiTheme="minorEastAsia" w:hAnsiTheme="minorEastAsia" w:eastAsiaTheme="minorEastAsia"/>
          <w:sz w:val="24"/>
        </w:rPr>
      </w:pPr>
    </w:p>
    <w:p w14:paraId="06ABB7B1">
      <w:pPr>
        <w:pStyle w:val="3"/>
        <w:spacing w:line="360" w:lineRule="auto"/>
        <w:jc w:val="center"/>
        <w:rPr>
          <w:rFonts w:asciiTheme="minorEastAsia" w:hAnsiTheme="minorEastAsia" w:eastAsiaTheme="minorEastAsia"/>
          <w:sz w:val="30"/>
        </w:rPr>
      </w:pPr>
      <w:bookmarkStart w:id="43" w:name="_Toc84133787"/>
      <w:bookmarkStart w:id="44" w:name="_Toc84234436"/>
      <w:bookmarkStart w:id="45" w:name="_Toc89163370"/>
      <w:bookmarkStart w:id="46" w:name="_Toc120435785"/>
      <w:bookmarkStart w:id="47" w:name="_Toc118212952"/>
      <w:bookmarkStart w:id="48" w:name="_Toc108512360"/>
      <w:bookmarkStart w:id="49" w:name="_Toc86737931"/>
      <w:bookmarkStart w:id="50" w:name="_Toc86223244"/>
      <w:bookmarkStart w:id="51" w:name="_Toc84234389"/>
      <w:bookmarkStart w:id="52" w:name="_Toc110761798"/>
      <w:bookmarkStart w:id="53" w:name="_Toc119402712"/>
      <w:bookmarkStart w:id="54" w:name="_Toc86225293"/>
      <w:bookmarkStart w:id="55" w:name="_Toc86726441"/>
      <w:bookmarkStart w:id="56" w:name="_Toc110765662"/>
      <w:bookmarkStart w:id="57" w:name="_Toc86727357"/>
      <w:bookmarkStart w:id="58" w:name="_Toc124325890"/>
      <w:bookmarkStart w:id="59" w:name="_Toc118972650"/>
      <w:bookmarkStart w:id="60" w:name="_Toc86204790"/>
      <w:bookmarkStart w:id="61" w:name="_Toc86649724"/>
      <w:bookmarkStart w:id="62" w:name="_Toc118774805"/>
      <w:bookmarkStart w:id="63" w:name="_Toc110830494"/>
      <w:r>
        <w:rPr>
          <w:rFonts w:hint="eastAsia" w:asciiTheme="minorEastAsia" w:hAnsiTheme="minorEastAsia" w:eastAsiaTheme="minorEastAsia"/>
          <w:sz w:val="30"/>
        </w:rPr>
        <w:t>六、指令的发送、确认及执行</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65147BE6">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基金管理人在运用基金财产时向基金托管人发送资金划拨及其他款项付款指令，基金托管人执行基金管理人的指令、办理基金名下的资金往来等有关事项。</w:t>
      </w:r>
    </w:p>
    <w:p w14:paraId="768EC98E">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（一）基金管理人对发送指令人员的书面授权</w:t>
      </w:r>
    </w:p>
    <w:p w14:paraId="320C2809">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本协议签署生效后，管理人应向托管人提供授权代表签字与印鉴样本通知书（以下简称“授权文件”），内容包括被授权人名单、预留印鉴及被授权人签字样本，授权文件应注明被授权人相应的权限，授权文件应加盖单位公章。</w:t>
      </w:r>
    </w:p>
    <w:p w14:paraId="525495E8">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管理人应将“授权文件”原件在生效前寄送托管人，托管人在收到授权文件原件并经管理人确认后，授权文件即生效。如果授权文件中载明具体生效时间的，该生效时间不得早于托管人收到授权文件并经确认的时点。如早于，则以托管人收到授权文件并经确认的时点为授权文件的生效时间。</w:t>
      </w:r>
    </w:p>
    <w:p w14:paraId="52760285">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特殊情况下，经托管人同意，管理人可至少提前一个工作日将授权文件以邮件发送扫描件的方式先行通知托管人并确认生效。授权文件原件应在邮件发送后7个工作日内送达托管人。授权文件生效之后，原件送达之前，托管人按照新授权文件扫描件内容执行有关业务，如果授权文件原件与托管人收到的扫描件不同，由此产生的责任由管理人承担。</w:t>
      </w:r>
    </w:p>
    <w:p w14:paraId="6473CE65">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管理人更换被授权人、更改或终止对被授权人的授权、变更预留印鉴应按上述要求提供新的授权文件。在授权变更生效前，托管人仍应按原授权文件执行指令，管理人不得否认其效力。</w:t>
      </w:r>
    </w:p>
    <w:p w14:paraId="1B55229E">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托管人更换接受管理人指令的传真号或邮箱地址，应提前通知管理人。基金管理人和基金托管人对授权文件负有保密义务，其内容不得向被授权人及相关操作人员以外的任何人泄露。但法律法规</w:t>
      </w:r>
      <w:bookmarkStart w:id="64" w:name="OLE_LINK4"/>
      <w:bookmarkStart w:id="65" w:name="OLE_LINK5"/>
      <w:r>
        <w:rPr>
          <w:rFonts w:hint="eastAsia" w:cs="Arial" w:asciiTheme="minorEastAsia" w:hAnsiTheme="minorEastAsia" w:eastAsiaTheme="minorEastAsia"/>
          <w:sz w:val="24"/>
        </w:rPr>
        <w:t>另有</w:t>
      </w:r>
      <w:bookmarkEnd w:id="64"/>
      <w:bookmarkEnd w:id="65"/>
      <w:r>
        <w:rPr>
          <w:rFonts w:hint="eastAsia" w:cs="Arial" w:asciiTheme="minorEastAsia" w:hAnsiTheme="minorEastAsia" w:eastAsiaTheme="minorEastAsia"/>
          <w:sz w:val="24"/>
        </w:rPr>
        <w:t>规定或有权机关另有要求的除外。</w:t>
      </w:r>
    </w:p>
    <w:p w14:paraId="76A44C48">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（二）指令的内容</w:t>
      </w:r>
    </w:p>
    <w:p w14:paraId="41F3D577">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1.指令包括付款指令以及其他资金划拨指令等。</w:t>
      </w:r>
    </w:p>
    <w:p w14:paraId="6FAE0E30">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2.基金管理人发给基金托管人的指令应写明款项事由、支付时间、到账时间、金额、收付款账户等，加盖预留印鉴并由被授权人签章。</w:t>
      </w:r>
    </w:p>
    <w:p w14:paraId="0AE475AD">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（三）指令的发送、确认及执行的时间和程序</w:t>
      </w:r>
    </w:p>
    <w:p w14:paraId="200CD97A">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1.指令的发送</w:t>
      </w:r>
    </w:p>
    <w:p w14:paraId="7E93656A">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基金管理人发送指令应采用传真方式或双方协商一致的其他方式。</w:t>
      </w:r>
    </w:p>
    <w:p w14:paraId="556539A6">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14:paraId="2071D26F">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指令发出后，基金管理人应及时以电话方式向基金托管人确认。</w:t>
      </w:r>
    </w:p>
    <w:p w14:paraId="4A25FBB9">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基金管理人应在银行间交易成交后，及时将通知单、相关文件及划款指令加盖印章后发至基金托管人并电话确认，由基金托管人完成后台交易匹配及资金交收事宜。</w:t>
      </w:r>
      <w:r>
        <w:rPr>
          <w:rFonts w:hint="eastAsia" w:asciiTheme="minorEastAsia" w:hAnsiTheme="minorEastAsia" w:eastAsiaTheme="minorEastAsia"/>
          <w:sz w:val="24"/>
        </w:rPr>
        <w:t>如果银行间结算系统已经生成的交易需要取消或终止，基金管理人要书面通知基金托管人。</w:t>
      </w:r>
    </w:p>
    <w:p w14:paraId="3CAF6C88">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2.指令的确认</w:t>
      </w:r>
    </w:p>
    <w:p w14:paraId="3EC88D3F">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章和印鉴与授权文件进行表面真实性及权限范围核对，复核无误后应在规定期限内执行，不得延误，如有疑问必须及时通知基金管理人。</w:t>
      </w:r>
    </w:p>
    <w:p w14:paraId="37702D91">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3.指令的时间和执行</w:t>
      </w:r>
    </w:p>
    <w:p w14:paraId="5FB065CA">
      <w:pPr>
        <w:pStyle w:val="8"/>
        <w:spacing w:line="360" w:lineRule="auto"/>
        <w:ind w:firstLineChars="0"/>
        <w:rPr>
          <w:rFonts w:cs="Arial" w:asciiTheme="minorEastAsia" w:hAnsiTheme="minorEastAsia" w:eastAsiaTheme="minorEastAsia"/>
          <w:szCs w:val="24"/>
          <w:shd w:val="pct10" w:color="auto" w:fill="FFFFFF"/>
        </w:rPr>
      </w:pPr>
      <w:r>
        <w:rPr>
          <w:rFonts w:hint="eastAsia" w:cs="Arial" w:asciiTheme="minorEastAsia" w:hAnsiTheme="minorEastAsia" w:eastAsiaTheme="minorEastAsia"/>
        </w:rPr>
        <w:t>基金管理人应尽量于划款前1个工作日向基金托管人发送指令并确认。对于要求当天到账的指令，必须在当天15:30前向基金托管人发送，15:30之后发送的，基金托管人尽力执行，但不能保证划账成功。如果要求当天某一时点到账的指令，则指令需要提前2个工作小时发送，并确保相关付款条件已经具备。基金托管人将视付款条件具备时为指令送达时间。对新股申购网下发行业务，基金管理人应在网下申购缴款日(T日)的前一工作日下班前将指令发送给基金托管人，指令发送时间最迟不应晚于T日上午10:00。</w:t>
      </w:r>
      <w:r>
        <w:rPr>
          <w:rFonts w:hint="eastAsia" w:cs="Arial" w:asciiTheme="minorEastAsia" w:hAnsiTheme="minorEastAsia" w:eastAsiaTheme="minorEastAsia"/>
          <w:szCs w:val="24"/>
        </w:rPr>
        <w:t>基金管理人应确保基金托管人在执行指令时，基金托管资金账户有足够的资金余额，</w:t>
      </w:r>
      <w:r>
        <w:rPr>
          <w:rFonts w:hint="eastAsia" w:cs="Arial" w:asciiTheme="minorEastAsia" w:hAnsiTheme="minorEastAsia" w:eastAsiaTheme="minorEastAsia"/>
        </w:rPr>
        <w:t>在基金资金头寸充足的情况下，基金托管人对基金管理人符合法律法规、《基金合同》、本协议的指令不得拖延或拒绝执行。</w:t>
      </w:r>
    </w:p>
    <w:p w14:paraId="52D7B891">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（四）基金管理人发送错误指令的情形和处理程序</w:t>
      </w:r>
    </w:p>
    <w:p w14:paraId="12ED6580">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基金管理人发送错误指令的情形包括指令违反法律法规、监管规定、《基金合同》或本协议的约定，或者指令发送人员无权或超越权限发送指令。</w:t>
      </w:r>
    </w:p>
    <w:p w14:paraId="7A117FC6">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基金托管人发现基金管理人的指令错误时，有权拒绝执行，并及时通知基金管理人改正。如需托管人撤销尚未执行的指令，基金管理人应出具作废指令或作废说明，并电话通知托管人。</w:t>
      </w:r>
    </w:p>
    <w:p w14:paraId="14D3E50B">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（五）基金托管人未按照基金管理人指令执行的处理方法</w:t>
      </w:r>
    </w:p>
    <w:p w14:paraId="125E4247">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基金托管人由于自身过错，未按照基金管理人发送的符合法律法规、监管规定、《基金合同》和本协议约定的指令执行并对基金财产或投资人造成的直接损失，由基金托管人赔偿由此造成的直接损失。</w:t>
      </w:r>
    </w:p>
    <w:p w14:paraId="2F6B60DC">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（六）其他事项</w:t>
      </w:r>
    </w:p>
    <w:p w14:paraId="696A820E">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托管人在接收指令时，应对指令的要素是否齐全、印鉴与被授权人是否与预留的授权文件内容表面相符进行检查，如发现问题，应及时报告基金管理人，基金托管人对正确、及时执行基金管理人的有效指令对基金财产造成的损失不承担相应赔偿责任。</w:t>
      </w:r>
    </w:p>
    <w:p w14:paraId="7FF537A3">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基金参与认购未上市债券时，基金管理人应代表本基金与对手方签署相关合同或协议，明确约定债券过户具体事宜。否则，基金管理人需对所认购债券的过户事宜承担相应责任。</w:t>
      </w:r>
    </w:p>
    <w:p w14:paraId="04061DE5">
      <w:pPr>
        <w:adjustRightInd w:val="0"/>
        <w:snapToGrid w:val="0"/>
        <w:spacing w:line="360" w:lineRule="auto"/>
        <w:rPr>
          <w:rFonts w:cs="Arial" w:asciiTheme="minorEastAsia" w:hAnsiTheme="minorEastAsia" w:eastAsiaTheme="minorEastAsia"/>
          <w:sz w:val="24"/>
        </w:rPr>
      </w:pPr>
    </w:p>
    <w:p w14:paraId="0256135D">
      <w:pPr>
        <w:pStyle w:val="3"/>
        <w:spacing w:line="360" w:lineRule="auto"/>
        <w:jc w:val="center"/>
        <w:rPr>
          <w:rFonts w:asciiTheme="minorEastAsia" w:hAnsiTheme="minorEastAsia" w:eastAsiaTheme="minorEastAsia"/>
          <w:sz w:val="30"/>
        </w:rPr>
      </w:pPr>
      <w:bookmarkStart w:id="66" w:name="_Toc86727358"/>
      <w:bookmarkStart w:id="67" w:name="_Toc86737932"/>
      <w:bookmarkStart w:id="68" w:name="_Toc118774806"/>
      <w:bookmarkStart w:id="69" w:name="_Toc86726442"/>
      <w:bookmarkStart w:id="70" w:name="_Toc84234390"/>
      <w:bookmarkStart w:id="71" w:name="_Toc86204791"/>
      <w:bookmarkStart w:id="72" w:name="_Toc86649725"/>
      <w:bookmarkStart w:id="73" w:name="_Toc86223245"/>
      <w:bookmarkStart w:id="74" w:name="_Toc118972651"/>
      <w:bookmarkStart w:id="75" w:name="_Toc86225294"/>
      <w:bookmarkStart w:id="76" w:name="_Toc110761799"/>
      <w:bookmarkStart w:id="77" w:name="_Toc110765663"/>
      <w:bookmarkStart w:id="78" w:name="_Toc89163371"/>
      <w:bookmarkStart w:id="79" w:name="_Toc124325891"/>
      <w:bookmarkStart w:id="80" w:name="_Toc120435786"/>
      <w:bookmarkStart w:id="81" w:name="_Toc84133788"/>
      <w:bookmarkStart w:id="82" w:name="_Toc119402713"/>
      <w:bookmarkStart w:id="83" w:name="_Toc108512361"/>
      <w:bookmarkStart w:id="84" w:name="_Toc110830495"/>
      <w:bookmarkStart w:id="85" w:name="_Toc118212953"/>
      <w:bookmarkStart w:id="86" w:name="_Toc84234437"/>
      <w:r>
        <w:rPr>
          <w:rFonts w:hint="eastAsia" w:asciiTheme="minorEastAsia" w:hAnsiTheme="minorEastAsia" w:eastAsiaTheme="minorEastAsia"/>
          <w:sz w:val="30"/>
        </w:rPr>
        <w:t>七、交易及清算交收安排</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37DD21A9">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本基金参与交易所场内证券投资，采取托管人结算模式，基金管理人与基金托管人应根据有关法律法规及相关业务规则，签订《托管银行证券资金结算协议》用以具体明确基金管理人与基金托管人在证券交易资金结算（含港股通）业务中的程序与责任。协议签署前，基金管理人应按基金托管人要求配合提供相应准入材料。</w:t>
      </w:r>
    </w:p>
    <w:p w14:paraId="61AB2D2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（一）选择证券买卖的证券、期货经营机构</w:t>
      </w:r>
    </w:p>
    <w:p w14:paraId="102D025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应设计选择证券买卖的证券经营机构的标准和程序。基金管理人负责选择证券经营机构，租用其交易单元作为基金的专用交易单元。基金管理人和被选中的证券经营机构签订委托协议，基金管理人应提前通知基金托管人，并依据基金托管人要求提供相关资料，以便基金托管人申请办理接收结算数据手续。基金管理人应根据有关规定，在基金的中期报告和年度报告中将所选证券经营机构的有关情况及交易信息予以披露，并将该等情况及基金交易单元号、佣金费率等基本信息以及变更情况及时以书面形式通知基金托管人。</w:t>
      </w:r>
    </w:p>
    <w:p w14:paraId="6590F5D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本基金在开始进行期货投资之前，应与基金托管人、期货经营机构三方一同就期货开户、清算、估值、交收等事宜另行签署《期货投资托管操作三方备忘录》。</w:t>
      </w:r>
    </w:p>
    <w:p w14:paraId="0C55C88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（二）基金投资证券后的清算交收安排</w:t>
      </w:r>
    </w:p>
    <w:p w14:paraId="355EB81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1.结算备付金与保证金</w:t>
      </w:r>
    </w:p>
    <w:p w14:paraId="5D3A96E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中国证券登记结算有限责任公司分别于每月前</w:t>
      </w:r>
      <w:r>
        <w:rPr>
          <w:rFonts w:cs="Arial" w:asciiTheme="minorEastAsia" w:hAnsiTheme="minorEastAsia" w:eastAsiaTheme="minorEastAsia"/>
          <w:sz w:val="24"/>
        </w:rPr>
        <w:t>6个交易日</w:t>
      </w:r>
      <w:r>
        <w:rPr>
          <w:rFonts w:hint="eastAsia" w:cs="Arial" w:asciiTheme="minorEastAsia" w:hAnsiTheme="minorEastAsia" w:eastAsiaTheme="minorEastAsia"/>
          <w:sz w:val="24"/>
        </w:rPr>
        <w:t>及每月前</w:t>
      </w:r>
      <w:r>
        <w:rPr>
          <w:rFonts w:cs="Arial" w:asciiTheme="minorEastAsia" w:hAnsiTheme="minorEastAsia" w:eastAsiaTheme="minorEastAsia"/>
          <w:sz w:val="24"/>
        </w:rPr>
        <w:t>3个交易日内，对结算参与人最低备付金限额与结算保证金限额进行重新核算、调整。基金托管人</w:t>
      </w:r>
      <w:r>
        <w:rPr>
          <w:rFonts w:hint="eastAsia" w:cs="Arial" w:asciiTheme="minorEastAsia" w:hAnsiTheme="minorEastAsia" w:eastAsiaTheme="minorEastAsia"/>
          <w:sz w:val="24"/>
        </w:rPr>
        <w:t>应分别于每月前3</w:t>
      </w:r>
      <w:r>
        <w:rPr>
          <w:rFonts w:cs="Arial" w:asciiTheme="minorEastAsia" w:hAnsiTheme="minorEastAsia" w:eastAsiaTheme="minorEastAsia"/>
          <w:sz w:val="24"/>
        </w:rPr>
        <w:t>个交易日内及结算保证金调整当日</w:t>
      </w:r>
      <w:r>
        <w:rPr>
          <w:rFonts w:hint="eastAsia" w:cs="Arial" w:asciiTheme="minorEastAsia" w:hAnsiTheme="minorEastAsia" w:eastAsiaTheme="minorEastAsia"/>
          <w:sz w:val="24"/>
        </w:rPr>
        <w:t>，</w:t>
      </w:r>
      <w:r>
        <w:rPr>
          <w:rFonts w:cs="Arial" w:asciiTheme="minorEastAsia" w:hAnsiTheme="minorEastAsia" w:eastAsiaTheme="minorEastAsia"/>
          <w:sz w:val="24"/>
        </w:rPr>
        <w:t>通过《资金账户报告》通知基金管理人</w:t>
      </w:r>
      <w:r>
        <w:rPr>
          <w:rFonts w:hint="eastAsia" w:cs="Arial" w:asciiTheme="minorEastAsia" w:hAnsiTheme="minorEastAsia" w:eastAsiaTheme="minorEastAsia"/>
          <w:sz w:val="24"/>
        </w:rPr>
        <w:t>本基金最低备付金调整金额以及调整后的结算保证金金额。</w:t>
      </w:r>
    </w:p>
    <w:p w14:paraId="1E44865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应预留最低备付金和结算保证金，并根据中国证券登记结算有限责任公司确定的实际最低备付金、结算保证金数据为依据安排资金运作，调整所需的现金头寸。如因调整最低备付金、结算保证金后造成透支，基金管理人应视基金托管人最低结算备付金比例计收方式分别于下列时点补足透支金额：</w:t>
      </w:r>
    </w:p>
    <w:p w14:paraId="517EFFF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1）固定备付金比例</w:t>
      </w:r>
      <w:r>
        <w:rPr>
          <w:rFonts w:hint="eastAsia" w:cs="Arial" w:asciiTheme="minorEastAsia" w:hAnsiTheme="minorEastAsia" w:eastAsiaTheme="minorEastAsia"/>
          <w:sz w:val="24"/>
        </w:rPr>
        <w:t>计收方式下，基金管理人应在调整最低备付金、结算保证金当日上午</w:t>
      </w:r>
      <w:r>
        <w:rPr>
          <w:rFonts w:cs="Arial" w:asciiTheme="minorEastAsia" w:hAnsiTheme="minorEastAsia" w:eastAsiaTheme="minorEastAsia"/>
          <w:sz w:val="24"/>
        </w:rPr>
        <w:t>11</w:t>
      </w:r>
      <w:r>
        <w:rPr>
          <w:rFonts w:hint="eastAsia" w:cs="Arial" w:asciiTheme="minorEastAsia" w:hAnsiTheme="minorEastAsia" w:eastAsiaTheme="minorEastAsia"/>
          <w:sz w:val="24"/>
        </w:rPr>
        <w:t>：</w:t>
      </w:r>
      <w:r>
        <w:rPr>
          <w:rFonts w:cs="Arial" w:asciiTheme="minorEastAsia" w:hAnsiTheme="minorEastAsia" w:eastAsiaTheme="minorEastAsia"/>
          <w:sz w:val="24"/>
        </w:rPr>
        <w:t>00之前补足</w:t>
      </w:r>
      <w:r>
        <w:rPr>
          <w:rFonts w:hint="eastAsia" w:cs="Arial" w:asciiTheme="minorEastAsia" w:hAnsiTheme="minorEastAsia" w:eastAsiaTheme="minorEastAsia"/>
          <w:sz w:val="24"/>
        </w:rPr>
        <w:t>金额。</w:t>
      </w:r>
    </w:p>
    <w:p w14:paraId="6E34AA9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2）差异化备付金比例</w:t>
      </w:r>
      <w:r>
        <w:rPr>
          <w:rFonts w:hint="eastAsia" w:cs="Arial" w:asciiTheme="minorEastAsia" w:hAnsiTheme="minorEastAsia" w:eastAsiaTheme="minorEastAsia"/>
          <w:sz w:val="24"/>
        </w:rPr>
        <w:t>计收方式下，基金管理人应最晚于资金交收日上午</w:t>
      </w:r>
      <w:r>
        <w:rPr>
          <w:rFonts w:cs="Arial" w:asciiTheme="minorEastAsia" w:hAnsiTheme="minorEastAsia" w:eastAsiaTheme="minorEastAsia"/>
          <w:sz w:val="24"/>
        </w:rPr>
        <w:t>8：30前补足金额</w:t>
      </w:r>
      <w:r>
        <w:rPr>
          <w:rFonts w:hint="eastAsia" w:cs="Arial" w:asciiTheme="minorEastAsia" w:hAnsiTheme="minorEastAsia" w:eastAsiaTheme="minorEastAsia"/>
          <w:sz w:val="24"/>
        </w:rPr>
        <w:t>。</w:t>
      </w:r>
    </w:p>
    <w:p w14:paraId="705749D9">
      <w:pPr>
        <w:adjustRightInd w:val="0"/>
        <w:snapToGrid w:val="0"/>
        <w:spacing w:line="360" w:lineRule="auto"/>
        <w:ind w:firstLine="480" w:firstLineChars="200"/>
        <w:rPr>
          <w:rFonts w:cs="Arial" w:asciiTheme="minorEastAsia" w:hAnsiTheme="minorEastAsia" w:eastAsiaTheme="minorEastAsia"/>
          <w:sz w:val="24"/>
        </w:rPr>
      </w:pPr>
      <w:r>
        <w:rPr>
          <w:rFonts w:cs="Arial" w:asciiTheme="minorEastAsia" w:hAnsiTheme="minorEastAsia" w:eastAsiaTheme="minorEastAsia"/>
          <w:sz w:val="24"/>
        </w:rPr>
        <w:t>2</w:t>
      </w:r>
      <w:r>
        <w:rPr>
          <w:rFonts w:hint="eastAsia" w:cs="Arial" w:asciiTheme="minorEastAsia" w:hAnsiTheme="minorEastAsia" w:eastAsiaTheme="minorEastAsia"/>
          <w:sz w:val="24"/>
        </w:rPr>
        <w:t>.</w:t>
      </w:r>
      <w:r>
        <w:rPr>
          <w:rFonts w:cs="Arial" w:asciiTheme="minorEastAsia" w:hAnsiTheme="minorEastAsia" w:eastAsiaTheme="minorEastAsia"/>
          <w:sz w:val="24"/>
        </w:rPr>
        <w:t>清算交收</w:t>
      </w:r>
    </w:p>
    <w:p w14:paraId="529E786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基金托管人负责基金买卖证券的清算交收。场内资金结算由基金托管人根据中国证券登记结算有限责任公司结算数据办理；场外资金汇划由基金托管人根据基金管理人的交易划款指令具体办理。</w:t>
      </w:r>
    </w:p>
    <w:p w14:paraId="13C6A4C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如果因为基金托管人自身过错在清算上造成基金财产的直接损失，应由基金托管人负责赔偿，但因中国人民银行、中国结算和银行间市场登记结算机构资金结算系统以及其他机构的结算系统发生故障等非基金托管人可以控制的因素造成清算资金无法按时到账的情形，基金托管人免责；如果因为基金管理人未事先通知基金托管人增加交易单元等事宜，致使基金托管人接收数据不完整，造成清算差错的责任由基金管理人承担；如果因为基金管理人未事先通知需要单独结算的交易，造成基金资产损失的由基金管理人承担；如果由于基金管理人违反市场操作规则的规定进行超买、超卖及质押券欠库等原因造成基金投资清算困难和风险的，基金托管人在预清算结束后通知基金管理人预透支和预欠库事项，基金管理人应保持联系方式畅通，后续补缴等事宜由基金管理人负责解决，由此给基金托管人、本基金及基金托管人托管的其他资产造成的直接损失由基金管理人承担。</w:t>
      </w:r>
    </w:p>
    <w:p w14:paraId="06EA01A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基金管理人应采取合理、必要措施，确保T日日终有足够的资金头寸完成T+1日中国证券登记结算有限责任公司的资金交收；如因基金管理人原因导致资金头寸不足，基金管理人应视基金托管</w:t>
      </w:r>
      <w:r>
        <w:rPr>
          <w:rFonts w:cs="Arial" w:asciiTheme="minorEastAsia" w:hAnsiTheme="minorEastAsia" w:eastAsiaTheme="minorEastAsia"/>
          <w:sz w:val="24"/>
        </w:rPr>
        <w:t>人</w:t>
      </w:r>
      <w:r>
        <w:rPr>
          <w:rFonts w:hint="eastAsia" w:cs="Arial" w:asciiTheme="minorEastAsia" w:hAnsiTheme="minorEastAsia" w:eastAsiaTheme="minorEastAsia"/>
          <w:sz w:val="24"/>
        </w:rPr>
        <w:t>最低结算备付金比例计收方式分别于下列时点补足透支金额：</w:t>
      </w:r>
    </w:p>
    <w:p w14:paraId="1E9DE9E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1）固定备付金比例计收方式下，</w:t>
      </w:r>
      <w:r>
        <w:rPr>
          <w:rFonts w:hint="eastAsia" w:cs="Arial" w:asciiTheme="minorEastAsia" w:hAnsiTheme="minorEastAsia" w:eastAsiaTheme="minorEastAsia"/>
          <w:sz w:val="24"/>
        </w:rPr>
        <w:t>基金</w:t>
      </w:r>
      <w:r>
        <w:rPr>
          <w:rFonts w:cs="Arial" w:asciiTheme="minorEastAsia" w:hAnsiTheme="minorEastAsia" w:eastAsiaTheme="minorEastAsia"/>
          <w:sz w:val="24"/>
        </w:rPr>
        <w:t>管理人应</w:t>
      </w:r>
      <w:r>
        <w:rPr>
          <w:rFonts w:hint="eastAsia" w:cs="Arial" w:asciiTheme="minorEastAsia" w:hAnsiTheme="minorEastAsia" w:eastAsiaTheme="minorEastAsia"/>
          <w:sz w:val="24"/>
        </w:rPr>
        <w:t>最晚于资金交收日上午</w:t>
      </w:r>
      <w:r>
        <w:rPr>
          <w:rFonts w:cs="Arial" w:asciiTheme="minorEastAsia" w:hAnsiTheme="minorEastAsia" w:eastAsiaTheme="minorEastAsia"/>
          <w:sz w:val="24"/>
        </w:rPr>
        <w:t>11</w:t>
      </w:r>
      <w:r>
        <w:rPr>
          <w:rFonts w:hint="eastAsia" w:cs="Arial" w:asciiTheme="minorEastAsia" w:hAnsiTheme="minorEastAsia" w:eastAsiaTheme="minorEastAsia"/>
          <w:sz w:val="24"/>
        </w:rPr>
        <w:t>：</w:t>
      </w:r>
      <w:r>
        <w:rPr>
          <w:rFonts w:cs="Arial" w:asciiTheme="minorEastAsia" w:hAnsiTheme="minorEastAsia" w:eastAsiaTheme="minorEastAsia"/>
          <w:sz w:val="24"/>
        </w:rPr>
        <w:t>00前补足金额。</w:t>
      </w:r>
    </w:p>
    <w:p w14:paraId="27A0C25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2）差异化备付金比例计收方式下，</w:t>
      </w:r>
      <w:r>
        <w:rPr>
          <w:rFonts w:hint="eastAsia" w:cs="Arial" w:asciiTheme="minorEastAsia" w:hAnsiTheme="minorEastAsia" w:eastAsiaTheme="minorEastAsia"/>
          <w:sz w:val="24"/>
        </w:rPr>
        <w:t>基金</w:t>
      </w:r>
      <w:r>
        <w:rPr>
          <w:rFonts w:cs="Arial" w:asciiTheme="minorEastAsia" w:hAnsiTheme="minorEastAsia" w:eastAsiaTheme="minorEastAsia"/>
          <w:sz w:val="24"/>
        </w:rPr>
        <w:t>管理人应最晚于资金交收日</w:t>
      </w:r>
      <w:r>
        <w:rPr>
          <w:rFonts w:hint="eastAsia" w:cs="Arial" w:asciiTheme="minorEastAsia" w:hAnsiTheme="minorEastAsia" w:eastAsiaTheme="minorEastAsia"/>
          <w:sz w:val="24"/>
        </w:rPr>
        <w:t>上午</w:t>
      </w:r>
      <w:r>
        <w:rPr>
          <w:rFonts w:cs="Arial" w:asciiTheme="minorEastAsia" w:hAnsiTheme="minorEastAsia" w:eastAsiaTheme="minorEastAsia"/>
          <w:sz w:val="24"/>
        </w:rPr>
        <w:t>8： 30前补足金额</w:t>
      </w:r>
      <w:r>
        <w:rPr>
          <w:rFonts w:hint="eastAsia" w:cs="Arial" w:asciiTheme="minorEastAsia" w:hAnsiTheme="minorEastAsia" w:eastAsiaTheme="minorEastAsia"/>
          <w:sz w:val="24"/>
        </w:rPr>
        <w:t>。如果基金管理人未遵循上述规定备足资金头寸，影响基金资产的清算交收及基金托管人与中国证券登记结算有限责任公司之间的一级清算，由此给基金托管人、基金资产及基金托管人托管的其他资产造成的直接损失由基金管理人负责。</w:t>
      </w:r>
    </w:p>
    <w:p w14:paraId="42A3056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根据中国证券登记结算有限责任公司结算规定，基金管理人在进行融资回购业务时，用于融资回购的债券将作为偿还融资回购到期购回款的质押券。如因基金管理人过错造成债券回购交收违约或因折算率变化造成质押欠库，导致中国证券登记结算有限责任公司欠库扣款或对质押券进行处置造成的投资风险和损失由基金管理人承担。</w:t>
      </w:r>
    </w:p>
    <w:p w14:paraId="4CD71AE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对于中国证券登记结算有限责任公司实行T+0非担保交收的业务，基金管理人应在交易日14:00前将划款指令发送至基金托管人。因基金管理人指令传输不及时，致使资金未能及时划入中国结算指定交收账户所造成的损失由基金管理人承担。包括但不限于赔偿在该市场引起其他托管客户交易失败、赔偿因占用结算参与人最低备付金带来的利息损失。</w:t>
      </w:r>
    </w:p>
    <w:p w14:paraId="71F6A37C">
      <w:pPr>
        <w:adjustRightInd w:val="0"/>
        <w:snapToGrid w:val="0"/>
        <w:spacing w:line="360" w:lineRule="auto"/>
        <w:ind w:firstLine="480" w:firstLineChars="200"/>
        <w:rPr>
          <w:rFonts w:cs="Arial" w:asciiTheme="minorEastAsia" w:hAnsiTheme="minorEastAsia" w:eastAsiaTheme="minorEastAsia"/>
          <w:sz w:val="24"/>
        </w:rPr>
      </w:pPr>
      <w:r>
        <w:rPr>
          <w:rFonts w:cs="Arial" w:asciiTheme="minorEastAsia" w:hAnsiTheme="minorEastAsia" w:eastAsiaTheme="minorEastAsia"/>
          <w:sz w:val="24"/>
        </w:rPr>
        <w:t>3</w:t>
      </w:r>
      <w:r>
        <w:rPr>
          <w:rFonts w:hint="eastAsia" w:cs="Arial" w:asciiTheme="minorEastAsia" w:hAnsiTheme="minorEastAsia" w:eastAsiaTheme="minorEastAsia"/>
          <w:sz w:val="24"/>
        </w:rPr>
        <w:t>.交易记录、资金和证券/期货账目核对的时间和方式</w:t>
      </w:r>
    </w:p>
    <w:p w14:paraId="5E91A45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（1）交易记录的核对</w:t>
      </w:r>
    </w:p>
    <w:p w14:paraId="6B0DF9C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按日进行交易记录的核对。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3BA3944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（2）资金账目的核对</w:t>
      </w:r>
    </w:p>
    <w:p w14:paraId="70AF933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资金账目按日核实。</w:t>
      </w:r>
    </w:p>
    <w:p w14:paraId="1506865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（3）证券、期货账目的核对</w:t>
      </w:r>
    </w:p>
    <w:p w14:paraId="51D9A13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基金管理人和基金托管人每个交易日结束后核对基金证券、期货账目，确保双方账目相符。</w:t>
      </w:r>
    </w:p>
    <w:p w14:paraId="11761DC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（三）基金申购和赎回业务处理的基本规定</w:t>
      </w:r>
    </w:p>
    <w:p w14:paraId="50024FC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1.基金份额申购、赎回的确认、清算由基金管理人或其委托的登记机构负责。</w:t>
      </w:r>
    </w:p>
    <w:p w14:paraId="5415DA6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管理人应将每个开放日的申购、赎回、转换开放式基金的数据传送给基金托管人。基金管理人应对传递的申购、赎回、转换开放式基金的数据真实性负责。基金托管人应及时查收申购及转入资金的到账情况并根据基金管理人指令及时划付赎回及转出款项。</w:t>
      </w:r>
    </w:p>
    <w:p w14:paraId="14B1F0B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3.基金管理人应保证本基金（或本基金管理人委托）的登记机构每个工作日15:00前向基金托管人发送前一开放日上述有关数据，并保证相关数据的准确、完整。</w:t>
      </w:r>
    </w:p>
    <w:p w14:paraId="3C220D5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4.登记机构应通过与基金托管人建立的加密系统发送有关数据，如因各种原因，该系统无法正常发送，双方可协商解决处理方式。基金管理人向基金托管人发送的数据，双方各自按有关规定保存。</w:t>
      </w:r>
    </w:p>
    <w:p w14:paraId="5416C56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5.如基金管理人委托其他机构办理本基金的登记业务，应保证上述相关事宜按时进行。否则，由基金管理人承担相应的责任。</w:t>
      </w:r>
    </w:p>
    <w:p w14:paraId="358EA0F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6.关于清算专用账户的设立和管理</w:t>
      </w:r>
    </w:p>
    <w:p w14:paraId="0F753E7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为满足申购、赎回及分红资金汇划的需要，由基金管理人开立资金清算的专用账户，该账户由登记机构管理。</w:t>
      </w:r>
    </w:p>
    <w:p w14:paraId="28480CF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7.对于基金申购过程中产生的应收款，应由基金管理人负责与有关当事人确定到账日期并通知基金托管人，到账日应收款没有到达基金托管资金账户的，基金托管人应及时通知基金管理人采取措施进行催收，由此造成基金损失的，基金管理人应负责向有关当事人追偿基金的损失，基金托管人应予以必要的协助与配合。</w:t>
      </w:r>
    </w:p>
    <w:p w14:paraId="323BA72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8.赎回和分红资金划拨规定</w:t>
      </w:r>
    </w:p>
    <w:p w14:paraId="62D28E9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拨付赎回款或进行基金分红时，如基金托管资金账户有足够的资金，基金托管人应按时拨付；因基金托管资金账户没有足够的资金，导致基金托管人不能按时拨付，基金托管人应及时通知基金管理人，如系基金管理人的原因造成，责任由基金管理人承担，基金托管人不承担垫款义务。</w:t>
      </w:r>
    </w:p>
    <w:p w14:paraId="227D949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9.资金指令</w:t>
      </w:r>
    </w:p>
    <w:p w14:paraId="5CBA900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除申购款项到达基金托管资金账户需双方按约定方式对账外，回购到期付款和与投资有关的付款、赎回和分红资金划拨时，基金管理人需向基金托管人下达指令。</w:t>
      </w:r>
    </w:p>
    <w:p w14:paraId="6F33E6C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资金指令的格式、内容、发送、接收和确认方式等与投资指令相同。</w:t>
      </w:r>
    </w:p>
    <w:p w14:paraId="41767E5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（四）申赎净额结算</w:t>
      </w:r>
    </w:p>
    <w:p w14:paraId="613BA8C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资金账户与“基金清算账户”间的资金结算遵循“全额清算、净额交收”的原则，每日按照托管资金账户应收资金与应付资金的差额来确定托管资金账户净应收额或净应付额，以此确定资金交收额。当存在托管资金账户净应收额时，基金管理人应在资金交收日15:00之前从基金清算账户划到基金托管资金账户；当存在托管资金账户净应付额时，基金管理人应在资金交收日10:00前将划款指令发送给基金托管人，基金托管人按基金管理人的划款指令将托管资金账户净应付额在资金交收日15:00之前划往基金清算账户。</w:t>
      </w:r>
    </w:p>
    <w:p w14:paraId="72F9D90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（五）基金转换</w:t>
      </w:r>
    </w:p>
    <w:p w14:paraId="70CA24D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1.在本基金开展转换业务之前，基金管理人应函告基金托管人并就相关事宜进行协商。</w:t>
      </w:r>
    </w:p>
    <w:p w14:paraId="3289DE5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2.基金托管人将根据基金管理人传送的基金转换数据进行账务处理，具体资金清算和数据传递的时间、程序及托管协议当事人承担的权责按基金管理人届时的公告执行。</w:t>
      </w:r>
    </w:p>
    <w:p w14:paraId="04ECE08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3.本基金开展基金转换业务应按相关法律法规规定及《基金合同》的约定进行公告。</w:t>
      </w:r>
    </w:p>
    <w:p w14:paraId="1E5A1F8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（六）基金现金分红</w:t>
      </w:r>
    </w:p>
    <w:p w14:paraId="2E40481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1.基金管理人确定分红方案通知基金托管人，双方核定后</w:t>
      </w:r>
      <w:r>
        <w:rPr>
          <w:rFonts w:hint="eastAsia" w:asciiTheme="minorEastAsia" w:hAnsiTheme="minorEastAsia" w:eastAsiaTheme="minorEastAsia"/>
          <w:sz w:val="24"/>
          <w:szCs w:val="18"/>
        </w:rPr>
        <w:t>依照《信息披露办法》的有关规定在</w:t>
      </w:r>
      <w:r>
        <w:rPr>
          <w:rFonts w:asciiTheme="minorEastAsia" w:hAnsiTheme="minorEastAsia" w:eastAsiaTheme="minorEastAsia"/>
          <w:sz w:val="24"/>
          <w:szCs w:val="18"/>
        </w:rPr>
        <w:t>规</w:t>
      </w:r>
      <w:r>
        <w:rPr>
          <w:rFonts w:hint="eastAsia" w:asciiTheme="minorEastAsia" w:hAnsiTheme="minorEastAsia" w:eastAsiaTheme="minorEastAsia"/>
          <w:sz w:val="24"/>
          <w:szCs w:val="18"/>
        </w:rPr>
        <w:t>定媒介上公告</w:t>
      </w:r>
      <w:r>
        <w:rPr>
          <w:rFonts w:hint="eastAsia" w:cs="Arial" w:asciiTheme="minorEastAsia" w:hAnsiTheme="minorEastAsia" w:eastAsiaTheme="minorEastAsia"/>
          <w:sz w:val="24"/>
        </w:rPr>
        <w:t>。</w:t>
      </w:r>
    </w:p>
    <w:p w14:paraId="22407512">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2.基金托管人和基金管理人对基金分红进行账务处理并核对后，基金管理人向基金托管人发送现金红利的划款指令，基金托管人应及时将资金划入专用账户。</w:t>
      </w:r>
    </w:p>
    <w:p w14:paraId="4FA0EF85">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3.基金管理人在下达指令时，应给基金托管人留出必需的划款时间。</w:t>
      </w:r>
    </w:p>
    <w:p w14:paraId="05F9A3D1">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（七）投资银行存款的特别约定</w:t>
      </w:r>
    </w:p>
    <w:p w14:paraId="297FB2E6">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1.本基金投资银行存款前，基金管理人应与存款银行签订具体存款协议，包括但不限于以下内容：</w:t>
      </w:r>
    </w:p>
    <w:p w14:paraId="5CBE6BCF">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（1）存款账户必须以本基金名义开立，并将基金托管人为本基金开立的基金托管资金账户指定为唯一回款账户，任何情况下，存款银行都不得将存款投资本息划往任何其他账户。</w:t>
      </w:r>
    </w:p>
    <w:p w14:paraId="3E13DB18">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（2）存款银行不得接受基金管理人或基金托管人任何一方单方面提出的对存款进行更名、转让、挂失、质押、担保、撤销、变更印鉴及回款账户信息等可能导致财产转移的操作申请。</w:t>
      </w:r>
    </w:p>
    <w:p w14:paraId="6612A126">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（3）约定存款证实书的具体传递交接方式及交接期限。</w:t>
      </w:r>
    </w:p>
    <w:p w14:paraId="1B51E055">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（4）资金划转过程中需要使用存款银行过渡账户的，存款银行须保证资金在过渡账户中不出现滞留，不被挪用。</w:t>
      </w:r>
    </w:p>
    <w:p w14:paraId="56AB4CA3">
      <w:pPr>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本基金投资银行存款，必须采用双方认可的方式办理。基金托管人负责依据基金管理人提供的银行存款投资合同/协议、投资指令、支取通知等有关文件办理资金的支付以及存款证实书的接收、保管与交付，切实履行托管职责。基金托管人负责对存款开户证实书进行保管，不负责对存款开户证实书真伪的辨别，不承担存款开户证实书对应存款的本金及收益的安全。</w:t>
      </w:r>
    </w:p>
    <w:p w14:paraId="3C96D14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基金管理人投资银行存款或办理存款支取时，应提前书面通知基金托管人，以便基金托管人有足够的时间履行相应的业务操作程序。因发生逾期支取、提前支取或部分提前支取，基金托管人不承担相应利息损失及逾期支取手续费。</w:t>
      </w:r>
    </w:p>
    <w:p w14:paraId="5BB36693">
      <w:pPr>
        <w:adjustRightInd w:val="0"/>
        <w:snapToGrid w:val="0"/>
        <w:spacing w:line="360" w:lineRule="auto"/>
        <w:ind w:firstLine="480"/>
        <w:rPr>
          <w:rFonts w:cs="Arial" w:asciiTheme="minorEastAsia" w:hAnsiTheme="minorEastAsia" w:eastAsiaTheme="minorEastAsia"/>
          <w:sz w:val="24"/>
        </w:rPr>
      </w:pPr>
      <w:r>
        <w:rPr>
          <w:rFonts w:cs="Arial" w:asciiTheme="minorEastAsia" w:hAnsiTheme="minorEastAsia" w:eastAsiaTheme="minorEastAsia"/>
          <w:sz w:val="24"/>
        </w:rPr>
        <w:t>4</w:t>
      </w:r>
      <w:r>
        <w:rPr>
          <w:rFonts w:hint="eastAsia" w:cs="Arial" w:asciiTheme="minorEastAsia" w:hAnsiTheme="minorEastAsia" w:eastAsiaTheme="minorEastAsia"/>
          <w:sz w:val="24"/>
        </w:rPr>
        <w:t>.对于已移交基金托管人保管的存款开户证实书等实物凭证，基金托管人应确保安全保管；对未按约定将存款开户证实书等实物凭证移交基金托管人保管的，基金托管人应向基金管理人进行必要的催缴和风险提示；提示后仍不将相关实物凭证送达基金托管人保管的，出于托管履职和尽责，基金托管人可视情况采取必要的风险控制措施：（</w:t>
      </w:r>
      <w:r>
        <w:rPr>
          <w:rFonts w:cs="Arial" w:asciiTheme="minorEastAsia" w:hAnsiTheme="minorEastAsia" w:eastAsiaTheme="minorEastAsia"/>
          <w:sz w:val="24"/>
        </w:rPr>
        <w:t>1</w:t>
      </w:r>
      <w:r>
        <w:rPr>
          <w:rFonts w:hint="eastAsia" w:cs="Arial" w:asciiTheme="minorEastAsia" w:hAnsiTheme="minorEastAsia" w:eastAsiaTheme="minorEastAsia"/>
          <w:sz w:val="24"/>
        </w:rPr>
        <w:t>）建立风险预警机制，对于实物凭证未送达集中度较高的存款银行，主动发函基金管理人尽量避免在此类银行进行存款投资；（</w:t>
      </w:r>
      <w:r>
        <w:rPr>
          <w:rFonts w:cs="Arial" w:asciiTheme="minorEastAsia" w:hAnsiTheme="minorEastAsia" w:eastAsiaTheme="minorEastAsia"/>
          <w:sz w:val="24"/>
        </w:rPr>
        <w:t>2</w:t>
      </w:r>
      <w:r>
        <w:rPr>
          <w:rFonts w:hint="eastAsia" w:cs="Arial" w:asciiTheme="minorEastAsia" w:hAnsiTheme="minorEastAsia" w:eastAsiaTheme="minorEastAsia"/>
          <w:sz w:val="24"/>
        </w:rPr>
        <w:t>）在定期报告中，对未按约定送达基金托管人保管的实物凭证信息进行规定范围信息披露；（</w:t>
      </w:r>
      <w:r>
        <w:rPr>
          <w:rFonts w:cs="Arial" w:asciiTheme="minorEastAsia" w:hAnsiTheme="minorEastAsia" w:eastAsiaTheme="minorEastAsia"/>
          <w:sz w:val="24"/>
        </w:rPr>
        <w:t>3</w:t>
      </w:r>
      <w:r>
        <w:rPr>
          <w:rFonts w:hint="eastAsia" w:cs="Arial" w:asciiTheme="minorEastAsia" w:hAnsiTheme="minorEastAsia" w:eastAsiaTheme="minorEastAsia"/>
          <w:sz w:val="24"/>
        </w:rPr>
        <w:t>）未送达实物凭证超过送单截止日后</w:t>
      </w:r>
      <w:r>
        <w:rPr>
          <w:rFonts w:cs="Arial" w:asciiTheme="minorEastAsia" w:hAnsiTheme="minorEastAsia" w:eastAsiaTheme="minorEastAsia"/>
          <w:sz w:val="24"/>
        </w:rPr>
        <w:t>30</w:t>
      </w:r>
      <w:r>
        <w:rPr>
          <w:rFonts w:hint="eastAsia" w:cs="Arial" w:asciiTheme="minorEastAsia" w:hAnsiTheme="minorEastAsia" w:eastAsiaTheme="minorEastAsia"/>
          <w:sz w:val="24"/>
        </w:rPr>
        <w:t>个工作日，且累计超过</w:t>
      </w:r>
      <w:r>
        <w:rPr>
          <w:rFonts w:cs="Arial" w:asciiTheme="minorEastAsia" w:hAnsiTheme="minorEastAsia" w:eastAsiaTheme="minorEastAsia"/>
          <w:sz w:val="24"/>
        </w:rPr>
        <w:t>3</w:t>
      </w:r>
      <w:r>
        <w:rPr>
          <w:rFonts w:hint="eastAsia" w:cs="Arial" w:asciiTheme="minorEastAsia" w:hAnsiTheme="minorEastAsia" w:eastAsiaTheme="minorEastAsia"/>
          <w:sz w:val="24"/>
        </w:rPr>
        <w:t>笔（含）以上的，部分或全部暂停配合基金管理人办理后续新增存款投资业务，直至实物凭证送达基金托管人保管后解除。实物凭证未送达但存款本息已安全划回托管资金账户的，以及因发生特殊情况由基金管理人提供相关书面说明并重新承诺送单截止时间的，可剔除不计。</w:t>
      </w:r>
    </w:p>
    <w:p w14:paraId="7FEC28E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（八）托管产品通过第三方销售机构参与开放式基金投资的特别约定</w:t>
      </w:r>
    </w:p>
    <w:p w14:paraId="4CF119F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可以通过第三方基金销售机构渠道投资开放式基金。为维护基金份额持有人利益、保障资产安全，基金管理人应负责制订选择第三方基金销售机构的标准和程序，并据此选择第三方基金销售机构。对于第三方基金销售机构原因给本基金造成损失的，由基金管理人向第三方基金销售机构追责，若基金管理人存在过错，则基金管理人承担相应责任。</w:t>
      </w:r>
    </w:p>
    <w:p w14:paraId="62F74DA9">
      <w:pPr>
        <w:pStyle w:val="3"/>
        <w:spacing w:line="360" w:lineRule="auto"/>
        <w:jc w:val="center"/>
        <w:rPr>
          <w:rFonts w:asciiTheme="minorEastAsia" w:hAnsiTheme="minorEastAsia" w:eastAsiaTheme="minorEastAsia"/>
          <w:sz w:val="30"/>
        </w:rPr>
      </w:pPr>
      <w:bookmarkStart w:id="87" w:name="_Toc124325892"/>
      <w:r>
        <w:rPr>
          <w:rFonts w:hint="eastAsia" w:asciiTheme="minorEastAsia" w:hAnsiTheme="minorEastAsia" w:eastAsiaTheme="minorEastAsia"/>
          <w:sz w:val="30"/>
        </w:rPr>
        <w:t>八、基金资产净值计算和会计核算</w:t>
      </w:r>
      <w:bookmarkEnd w:id="87"/>
    </w:p>
    <w:p w14:paraId="762810E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（一）基金资产净值的计算、复核与完成的时间及程序</w:t>
      </w:r>
    </w:p>
    <w:p w14:paraId="180C77A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1.基金资产净值是指基金资产总值减去基金负债后的价值。各类基金份额净值是按照每个估值日闭市后，各类基金份额的基金资产净值分别除以当日该类基金份额的余额数量计算，均精确到0.00</w:t>
      </w:r>
      <w:r>
        <w:rPr>
          <w:rFonts w:cs="Arial" w:asciiTheme="minorEastAsia" w:hAnsiTheme="minorEastAsia" w:eastAsiaTheme="minorEastAsia"/>
          <w:sz w:val="24"/>
        </w:rPr>
        <w:t>0</w:t>
      </w:r>
      <w:r>
        <w:rPr>
          <w:rFonts w:hint="eastAsia" w:cs="Arial" w:asciiTheme="minorEastAsia" w:hAnsiTheme="minorEastAsia" w:eastAsiaTheme="minorEastAsia"/>
          <w:sz w:val="24"/>
        </w:rPr>
        <w:t>1元，小数点后第5位四舍五入。基金管理人可以设立大额赎回情形下的净值精度应急调整机制。国家另有规定的，从其规定。</w:t>
      </w:r>
    </w:p>
    <w:p w14:paraId="0C1C8E2A">
      <w:pPr>
        <w:adjustRightInd w:val="0"/>
        <w:snapToGrid w:val="0"/>
        <w:spacing w:line="360" w:lineRule="auto"/>
        <w:ind w:firstLine="480" w:firstLineChars="200"/>
        <w:rPr>
          <w:rFonts w:ascii="宋体" w:hAnsi="宋体" w:cs="Arial"/>
          <w:sz w:val="24"/>
        </w:rPr>
      </w:pPr>
      <w:r>
        <w:rPr>
          <w:rFonts w:hint="eastAsia" w:ascii="宋体" w:hAnsi="宋体" w:cs="Arial"/>
          <w:sz w:val="24"/>
        </w:rPr>
        <w:t>基金</w:t>
      </w:r>
      <w:r>
        <w:rPr>
          <w:rFonts w:ascii="宋体" w:hAnsi="宋体" w:cs="Arial"/>
          <w:sz w:val="24"/>
        </w:rPr>
        <w:t>管理人</w:t>
      </w:r>
      <w:r>
        <w:rPr>
          <w:rFonts w:hint="eastAsia" w:ascii="宋体" w:hAnsi="宋体" w:cs="Arial"/>
          <w:sz w:val="24"/>
        </w:rPr>
        <w:t>于每个估值日计算基金资产净值及各类基金份额净值，经基金托管人复核，并按规定公告。如遇特殊情况，</w:t>
      </w:r>
      <w:r>
        <w:rPr>
          <w:rFonts w:hint="eastAsia" w:ascii="宋体" w:hAnsi="宋体" w:cs="Arial"/>
          <w:bCs/>
          <w:sz w:val="24"/>
        </w:rPr>
        <w:t>经履行适当程序，</w:t>
      </w:r>
      <w:r>
        <w:rPr>
          <w:rFonts w:hint="eastAsia" w:ascii="宋体" w:hAnsi="宋体" w:cs="Arial"/>
          <w:sz w:val="24"/>
        </w:rPr>
        <w:t>可以适当延迟计算或公告。</w:t>
      </w:r>
    </w:p>
    <w:p w14:paraId="44D8E07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管理人应每个估值日对基金资产估值。但基金管理人根据法律法规或《基金合同》的规定暂停估值时除外。基金管理人每个估值日对基金资产估值后，将各类基金份额净值结果发送基金托管人，经基金托管人复核无误后，由基金管理人按约定对外公布。</w:t>
      </w:r>
    </w:p>
    <w:p w14:paraId="51CDE68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（二）基金资产估值方法和特殊情形的处理</w:t>
      </w:r>
    </w:p>
    <w:p w14:paraId="6B04836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1.估值对象</w:t>
      </w:r>
    </w:p>
    <w:p w14:paraId="58B53CD6">
      <w:pPr>
        <w:adjustRightInd w:val="0"/>
        <w:snapToGrid w:val="0"/>
        <w:spacing w:line="360" w:lineRule="auto"/>
        <w:ind w:firstLine="480" w:firstLineChars="200"/>
        <w:rPr>
          <w:rFonts w:ascii="宋体" w:hAnsi="宋体"/>
          <w:bCs/>
          <w:sz w:val="24"/>
          <w:shd w:val="pct10" w:color="auto" w:fill="FFFFFF"/>
        </w:rPr>
      </w:pPr>
      <w:r>
        <w:rPr>
          <w:rFonts w:ascii="宋体" w:hAnsi="宋体"/>
          <w:bCs/>
          <w:sz w:val="24"/>
        </w:rPr>
        <w:t>基金所拥有的债券</w:t>
      </w:r>
      <w:r>
        <w:rPr>
          <w:rFonts w:hint="eastAsia" w:ascii="宋体" w:hAnsi="宋体"/>
          <w:bCs/>
          <w:sz w:val="24"/>
        </w:rPr>
        <w:t>、股票、国债期货</w:t>
      </w:r>
      <w:r>
        <w:rPr>
          <w:rFonts w:ascii="宋体" w:hAnsi="宋体"/>
          <w:bCs/>
          <w:sz w:val="24"/>
        </w:rPr>
        <w:t>合约</w:t>
      </w:r>
      <w:r>
        <w:rPr>
          <w:rFonts w:hint="eastAsia" w:ascii="宋体" w:hAnsi="宋体"/>
          <w:bCs/>
          <w:sz w:val="24"/>
        </w:rPr>
        <w:t>、</w:t>
      </w:r>
      <w:r>
        <w:rPr>
          <w:rFonts w:ascii="宋体" w:hAnsi="宋体"/>
          <w:bCs/>
          <w:sz w:val="24"/>
        </w:rPr>
        <w:t>银行存款本息、</w:t>
      </w:r>
      <w:r>
        <w:rPr>
          <w:rFonts w:hint="eastAsia" w:ascii="宋体" w:hAnsi="宋体"/>
          <w:bCs/>
          <w:sz w:val="24"/>
        </w:rPr>
        <w:t>资产支持证券、</w:t>
      </w:r>
      <w:r>
        <w:rPr>
          <w:rFonts w:ascii="宋体" w:hAnsi="宋体"/>
          <w:bCs/>
          <w:sz w:val="24"/>
        </w:rPr>
        <w:t>应收款项、</w:t>
      </w:r>
      <w:r>
        <w:rPr>
          <w:rFonts w:hint="eastAsia" w:ascii="宋体" w:hAnsi="宋体"/>
          <w:bCs/>
          <w:sz w:val="24"/>
        </w:rPr>
        <w:t>基金份额、</w:t>
      </w:r>
      <w:r>
        <w:rPr>
          <w:rFonts w:ascii="宋体" w:hAnsi="宋体"/>
          <w:bCs/>
          <w:sz w:val="24"/>
        </w:rPr>
        <w:t>其它投资等资产及负债。</w:t>
      </w:r>
    </w:p>
    <w:p w14:paraId="416AAEC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2.估值方法</w:t>
      </w:r>
    </w:p>
    <w:p w14:paraId="56CE47C2">
      <w:pPr>
        <w:adjustRightInd w:val="0"/>
        <w:snapToGrid w:val="0"/>
        <w:spacing w:line="360" w:lineRule="auto"/>
        <w:ind w:firstLine="480" w:firstLineChars="200"/>
        <w:rPr>
          <w:rFonts w:ascii="宋体" w:hAnsi="宋体"/>
          <w:bCs/>
          <w:sz w:val="24"/>
        </w:rPr>
      </w:pPr>
      <w:r>
        <w:rPr>
          <w:rFonts w:hint="eastAsia" w:ascii="宋体" w:hAnsi="宋体"/>
          <w:bCs/>
          <w:sz w:val="24"/>
        </w:rPr>
        <w:t>（1）证券交易所上市的有价证券的估值</w:t>
      </w:r>
    </w:p>
    <w:p w14:paraId="3D6E87CF">
      <w:pPr>
        <w:adjustRightInd w:val="0"/>
        <w:snapToGrid w:val="0"/>
        <w:spacing w:line="360" w:lineRule="auto"/>
        <w:ind w:firstLine="480" w:firstLineChars="200"/>
        <w:rPr>
          <w:rFonts w:ascii="宋体" w:hAnsi="宋体"/>
          <w:bCs/>
          <w:sz w:val="24"/>
        </w:rPr>
      </w:pPr>
      <w:r>
        <w:rPr>
          <w:rFonts w:hint="eastAsia" w:ascii="宋体" w:hAnsi="宋体"/>
          <w:bCs/>
          <w:sz w:val="24"/>
        </w:rPr>
        <w:t>1）交易所上市的有价证券（包括股票等），以其估值日在证券交易所挂牌的市价（收盘价）估值；估值日无市价，但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值；</w:t>
      </w:r>
    </w:p>
    <w:p w14:paraId="28E01AE4">
      <w:pPr>
        <w:adjustRightInd w:val="0"/>
        <w:snapToGrid w:val="0"/>
        <w:spacing w:line="360" w:lineRule="auto"/>
        <w:ind w:firstLine="480" w:firstLineChars="200"/>
        <w:rPr>
          <w:rFonts w:ascii="宋体" w:hAnsi="宋体"/>
          <w:bCs/>
          <w:sz w:val="24"/>
        </w:rPr>
      </w:pPr>
      <w:r>
        <w:rPr>
          <w:rFonts w:hint="eastAsia" w:ascii="宋体" w:hAnsi="宋体"/>
          <w:bCs/>
          <w:sz w:val="24"/>
        </w:rPr>
        <w:t>2）对于已上市或已挂牌转让的不含权固定收益品种（法规另有规定的除外），选取第三方估值基准服务机构提供的相应品种当日的估值全价，基金管理人根据相关法律、法规的规定进行涉税处理(下同)。对于已上市或已挂牌转让的含权固定收益品种（法规另有规定的除外），选取第三方估值基准服务机构提供的相应品种当日的唯一估值全价或推荐估值全价。对于含投资者回售权的固定收益品种，行使回售权的，在回售登记日至实际收款日期间选取第三方估值基准服务机构提供的相应品种的唯一估值全价或推荐估值全价，同时充分考虑发行人的信用风险变化对公允价值的影响。回售登记期截止日（含当日）后未行使回售权的按照长待偿期所对应的价格进行估值。如最近交易日后经济环境发生了重大变化的，可参考类似投资品种的现行市价及重大变化因素，调整最近交易市价，确定公允价值；</w:t>
      </w:r>
    </w:p>
    <w:p w14:paraId="0501D412">
      <w:pPr>
        <w:adjustRightInd w:val="0"/>
        <w:snapToGrid w:val="0"/>
        <w:spacing w:line="360" w:lineRule="auto"/>
        <w:ind w:firstLine="480" w:firstLineChars="200"/>
        <w:rPr>
          <w:rFonts w:ascii="宋体" w:hAnsi="宋体"/>
          <w:bCs/>
          <w:sz w:val="24"/>
        </w:rPr>
      </w:pPr>
      <w:r>
        <w:rPr>
          <w:rFonts w:hint="eastAsia" w:ascii="宋体" w:hAnsi="宋体"/>
          <w:bCs/>
          <w:sz w:val="24"/>
        </w:rPr>
        <w:t>3）交易所上市交易的公开发行的可转换债券等有活跃市场的含转股权的债券，实行全价交易的债券选取估值日收盘价作为估值全价；实行净价交易的债券选取估值日收盘价并加计每百元税前应计利息作为估值全价。估值日没有交易的，且最近交易日后经济环境未发生重大变化，按最近交易日收盘价并加计每百元税前应计利息作为估值全价。如最近交易日后经济环境发生了重大变化的，可参考类似投资品种的现行市价及重大变化因素，调整最近交易市价，确定公允价值；</w:t>
      </w:r>
      <w:r>
        <w:rPr>
          <w:rFonts w:ascii="宋体" w:hAnsi="宋体"/>
          <w:bCs/>
          <w:sz w:val="24"/>
        </w:rPr>
        <w:t xml:space="preserve"> </w:t>
      </w:r>
    </w:p>
    <w:p w14:paraId="2DEAF11A">
      <w:pPr>
        <w:adjustRightInd w:val="0"/>
        <w:snapToGrid w:val="0"/>
        <w:spacing w:line="360" w:lineRule="auto"/>
        <w:ind w:firstLine="480" w:firstLineChars="200"/>
        <w:rPr>
          <w:rFonts w:ascii="宋体" w:hAnsi="宋体"/>
          <w:bCs/>
          <w:sz w:val="24"/>
        </w:rPr>
      </w:pPr>
      <w:r>
        <w:rPr>
          <w:rFonts w:hint="eastAsia" w:ascii="宋体" w:hAnsi="宋体"/>
          <w:bCs/>
          <w:sz w:val="24"/>
        </w:rPr>
        <w:t>4）本基金投资存托凭证的估值核算，依照境内上市交易的股票执行；</w:t>
      </w:r>
    </w:p>
    <w:p w14:paraId="2584D272">
      <w:pPr>
        <w:adjustRightInd w:val="0"/>
        <w:snapToGrid w:val="0"/>
        <w:spacing w:line="360" w:lineRule="auto"/>
        <w:ind w:firstLine="480" w:firstLineChars="200"/>
        <w:rPr>
          <w:rFonts w:ascii="宋体" w:hAnsi="宋体"/>
          <w:bCs/>
          <w:sz w:val="24"/>
        </w:rPr>
      </w:pPr>
      <w:r>
        <w:rPr>
          <w:rFonts w:hint="eastAsia" w:ascii="宋体" w:hAnsi="宋体"/>
          <w:bCs/>
          <w:sz w:val="24"/>
        </w:rPr>
        <w:t>5）交易所上市不存在活跃市场的有价证券，采用估值技术确定公允价值。</w:t>
      </w:r>
    </w:p>
    <w:p w14:paraId="4305DECF">
      <w:pPr>
        <w:adjustRightInd w:val="0"/>
        <w:snapToGrid w:val="0"/>
        <w:spacing w:line="360" w:lineRule="auto"/>
        <w:ind w:firstLine="480" w:firstLineChars="200"/>
        <w:rPr>
          <w:rFonts w:ascii="宋体" w:hAnsi="宋体"/>
          <w:bCs/>
          <w:sz w:val="24"/>
        </w:rPr>
      </w:pPr>
      <w:r>
        <w:rPr>
          <w:rFonts w:hint="eastAsia" w:ascii="宋体" w:hAnsi="宋体"/>
          <w:bCs/>
          <w:sz w:val="24"/>
        </w:rPr>
        <w:t>（2）处于未上市期间的有价证券应区分如下情况处理：</w:t>
      </w:r>
    </w:p>
    <w:p w14:paraId="6E2FA08B">
      <w:pPr>
        <w:adjustRightInd w:val="0"/>
        <w:snapToGrid w:val="0"/>
        <w:spacing w:line="360" w:lineRule="auto"/>
        <w:ind w:firstLine="480" w:firstLineChars="200"/>
        <w:rPr>
          <w:rFonts w:ascii="宋体" w:hAnsi="宋体"/>
          <w:bCs/>
          <w:sz w:val="24"/>
        </w:rPr>
      </w:pPr>
      <w:r>
        <w:rPr>
          <w:rFonts w:hint="eastAsia" w:ascii="宋体" w:hAnsi="宋体"/>
          <w:bCs/>
          <w:sz w:val="24"/>
        </w:rPr>
        <w:t>1）送股、转增股、配股和公开增发的股票，按估值日在证券交易所挂牌的同一股票的估值方法估值；该日无交易的，以最近一日的市价（收盘价）估值；</w:t>
      </w:r>
    </w:p>
    <w:p w14:paraId="104E076F">
      <w:pPr>
        <w:adjustRightInd w:val="0"/>
        <w:snapToGrid w:val="0"/>
        <w:spacing w:line="360" w:lineRule="auto"/>
        <w:ind w:firstLine="480" w:firstLineChars="200"/>
        <w:rPr>
          <w:rFonts w:ascii="宋体" w:hAnsi="宋体"/>
          <w:bCs/>
          <w:sz w:val="24"/>
        </w:rPr>
      </w:pPr>
      <w:r>
        <w:rPr>
          <w:rFonts w:hint="eastAsia" w:ascii="宋体" w:hAnsi="宋体"/>
          <w:bCs/>
          <w:sz w:val="24"/>
        </w:rPr>
        <w:t>2）首次公开发行未上市的股票，采用估值技术确定公允价值；</w:t>
      </w:r>
    </w:p>
    <w:p w14:paraId="4614F207">
      <w:pPr>
        <w:adjustRightInd w:val="0"/>
        <w:snapToGrid w:val="0"/>
        <w:spacing w:line="360" w:lineRule="auto"/>
        <w:ind w:firstLine="480" w:firstLineChars="200"/>
        <w:rPr>
          <w:rFonts w:ascii="宋体" w:hAnsi="宋体"/>
          <w:bCs/>
          <w:sz w:val="24"/>
        </w:rPr>
      </w:pPr>
      <w:r>
        <w:rPr>
          <w:rFonts w:hint="eastAsia" w:ascii="宋体" w:hAnsi="宋体"/>
          <w:bCs/>
          <w:sz w:val="24"/>
        </w:rPr>
        <w:t>3）流通受限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4464DDF8">
      <w:pPr>
        <w:adjustRightInd w:val="0"/>
        <w:snapToGrid w:val="0"/>
        <w:spacing w:line="360" w:lineRule="auto"/>
        <w:ind w:firstLine="480" w:firstLineChars="200"/>
        <w:rPr>
          <w:rFonts w:ascii="宋体" w:hAnsi="宋体"/>
          <w:bCs/>
          <w:sz w:val="24"/>
        </w:rPr>
      </w:pPr>
      <w:r>
        <w:rPr>
          <w:rFonts w:ascii="宋体" w:hAnsi="宋体"/>
          <w:bCs/>
          <w:sz w:val="24"/>
        </w:rPr>
        <w:t>4</w:t>
      </w:r>
      <w:r>
        <w:rPr>
          <w:rFonts w:hint="eastAsia" w:ascii="宋体" w:hAnsi="宋体"/>
          <w:bCs/>
          <w:sz w:val="24"/>
        </w:rPr>
        <w:t>）对于未上市或未挂牌转让且不存在活跃市场的固定收益品种，采用在当前情况下适用并且有足够可利用数据和其他信息支持的估值技术确定其公允价值。</w:t>
      </w:r>
    </w:p>
    <w:p w14:paraId="29F58FF0">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3</w:t>
      </w:r>
      <w:r>
        <w:rPr>
          <w:rFonts w:hint="eastAsia" w:ascii="宋体" w:hAnsi="宋体"/>
          <w:bCs/>
          <w:sz w:val="24"/>
        </w:rPr>
        <w:t>）对全国银行间市场已上市或已挂牌转让的不含权固定收益品种（法规另有规定的除外），选取第三方估值基准服务机构提供的相应品种当日的估值全价，基金管理人根据相关法律、法规的规定进行涉税处理(下同)。对于已上市或已挂牌转让的含权固定收益品种（法规另有规定的除外），选取第三方估值基准服务机构提供的相应品种当日的唯一估值全价或推荐估值全价。对于含投资者回售权的固定收益品种，行使回售权的，在回售登记日至实际收款日期间选取第三方估值基准服务机构提供的相应品种的唯一估值全价或推荐估值全价，同时充分考虑发行人的信用风险变化对公允价值的影响。回售登记期截止日（含当日）后未行使回售权的按照长待偿期所对应的价格进行估值。如最近交易日后经济环境发生了重大变化的，可参考类似投资品种的现行市价及重大变化因素，调整最近交易市价，确定公允价值。</w:t>
      </w:r>
    </w:p>
    <w:p w14:paraId="3E923152">
      <w:pPr>
        <w:adjustRightInd w:val="0"/>
        <w:snapToGrid w:val="0"/>
        <w:spacing w:line="360" w:lineRule="auto"/>
        <w:ind w:firstLine="480" w:firstLineChars="200"/>
        <w:rPr>
          <w:rStyle w:val="31"/>
          <w:lang w:val="zh-CN"/>
        </w:rPr>
      </w:pPr>
      <w:r>
        <w:rPr>
          <w:rFonts w:hint="eastAsia"/>
          <w:bCs/>
          <w:sz w:val="24"/>
        </w:rPr>
        <w:t>对全国银行间市场未上市或未挂牌转让且不存在活跃市场的固定收益品种，应采用在当前情况下适用并且有足够可利用数据和其他信息支持的估值技术确定其公允价值。</w:t>
      </w:r>
    </w:p>
    <w:p w14:paraId="22C65C9A">
      <w:pPr>
        <w:adjustRightInd w:val="0"/>
        <w:snapToGrid w:val="0"/>
        <w:spacing w:line="360" w:lineRule="auto"/>
        <w:ind w:firstLine="480" w:firstLineChars="200"/>
        <w:rPr>
          <w:rFonts w:ascii="宋体" w:hAnsi="宋体"/>
          <w:bCs/>
          <w:sz w:val="24"/>
        </w:rPr>
      </w:pPr>
      <w:r>
        <w:rPr>
          <w:rFonts w:hint="eastAsia" w:ascii="宋体" w:hAnsi="宋体"/>
          <w:bCs/>
          <w:sz w:val="24"/>
        </w:rPr>
        <w:t>（4）公开募集证券投资基金的估值</w:t>
      </w:r>
    </w:p>
    <w:p w14:paraId="6ECCF6AF">
      <w:pPr>
        <w:adjustRightInd w:val="0"/>
        <w:snapToGrid w:val="0"/>
        <w:spacing w:line="360" w:lineRule="auto"/>
        <w:ind w:firstLine="480" w:firstLineChars="200"/>
        <w:rPr>
          <w:rFonts w:ascii="宋体" w:hAnsi="宋体"/>
          <w:bCs/>
          <w:sz w:val="24"/>
        </w:rPr>
      </w:pPr>
      <w:r>
        <w:rPr>
          <w:rFonts w:hint="eastAsia" w:ascii="宋体" w:hAnsi="宋体"/>
          <w:bCs/>
          <w:sz w:val="24"/>
        </w:rPr>
        <w:t>1）非上市证券投资基金的估值</w:t>
      </w:r>
    </w:p>
    <w:p w14:paraId="4EDFD490">
      <w:pPr>
        <w:adjustRightInd w:val="0"/>
        <w:snapToGrid w:val="0"/>
        <w:spacing w:line="360" w:lineRule="auto"/>
        <w:ind w:firstLine="480" w:firstLineChars="200"/>
        <w:rPr>
          <w:rFonts w:ascii="宋体" w:hAnsi="宋体"/>
          <w:bCs/>
          <w:sz w:val="24"/>
        </w:rPr>
      </w:pPr>
      <w:r>
        <w:rPr>
          <w:rFonts w:hint="eastAsia" w:ascii="宋体" w:hAnsi="宋体"/>
          <w:bCs/>
          <w:sz w:val="24"/>
        </w:rPr>
        <w:t>本基金投资的境内非货币市场基金，按所投资基金估值日的份额净值估值。</w:t>
      </w:r>
    </w:p>
    <w:p w14:paraId="7E9CEE24">
      <w:pPr>
        <w:adjustRightInd w:val="0"/>
        <w:snapToGrid w:val="0"/>
        <w:spacing w:line="360" w:lineRule="auto"/>
        <w:ind w:firstLine="480" w:firstLineChars="200"/>
        <w:rPr>
          <w:rFonts w:ascii="宋体" w:hAnsi="宋体"/>
          <w:bCs/>
          <w:sz w:val="24"/>
        </w:rPr>
      </w:pPr>
      <w:r>
        <w:rPr>
          <w:rFonts w:hint="eastAsia" w:ascii="宋体" w:hAnsi="宋体"/>
          <w:bCs/>
          <w:sz w:val="24"/>
        </w:rPr>
        <w:t>2）上市证券投资基金的估值</w:t>
      </w:r>
    </w:p>
    <w:p w14:paraId="473E5B44">
      <w:pPr>
        <w:adjustRightInd w:val="0"/>
        <w:snapToGrid w:val="0"/>
        <w:spacing w:line="360" w:lineRule="auto"/>
        <w:ind w:firstLine="480" w:firstLineChars="200"/>
        <w:rPr>
          <w:rFonts w:ascii="宋体" w:hAnsi="宋体"/>
          <w:bCs/>
          <w:sz w:val="24"/>
        </w:rPr>
      </w:pPr>
      <w:r>
        <w:rPr>
          <w:rFonts w:ascii="宋体" w:hAnsi="宋体"/>
          <w:bCs/>
          <w:sz w:val="24"/>
        </w:rPr>
        <w:fldChar w:fldCharType="begin"/>
      </w:r>
      <w:r>
        <w:rPr>
          <w:rFonts w:ascii="宋体" w:hAnsi="宋体"/>
          <w:bCs/>
          <w:sz w:val="24"/>
        </w:rPr>
        <w:instrText xml:space="preserve"> </w:instrText>
      </w:r>
      <w:r>
        <w:rPr>
          <w:rFonts w:hint="eastAsia" w:ascii="宋体" w:hAnsi="宋体"/>
          <w:bCs/>
          <w:sz w:val="24"/>
        </w:rPr>
        <w:instrText xml:space="preserve">= 1 \* GB3</w:instrText>
      </w:r>
      <w:r>
        <w:rPr>
          <w:rFonts w:ascii="宋体" w:hAnsi="宋体"/>
          <w:bCs/>
          <w:sz w:val="24"/>
        </w:rPr>
        <w:instrText xml:space="preserve"> </w:instrText>
      </w:r>
      <w:r>
        <w:rPr>
          <w:rFonts w:ascii="宋体" w:hAnsi="宋体"/>
          <w:bCs/>
          <w:sz w:val="24"/>
        </w:rPr>
        <w:fldChar w:fldCharType="separate"/>
      </w:r>
      <w:r>
        <w:rPr>
          <w:rFonts w:hint="eastAsia" w:ascii="宋体" w:hAnsi="宋体"/>
          <w:bCs/>
          <w:sz w:val="24"/>
        </w:rPr>
        <w:t>①</w:t>
      </w:r>
      <w:r>
        <w:rPr>
          <w:rFonts w:ascii="宋体" w:hAnsi="宋体"/>
          <w:bCs/>
          <w:sz w:val="24"/>
        </w:rPr>
        <w:fldChar w:fldCharType="end"/>
      </w:r>
      <w:r>
        <w:rPr>
          <w:rFonts w:hint="eastAsia" w:ascii="宋体" w:hAnsi="宋体"/>
          <w:bCs/>
          <w:sz w:val="24"/>
        </w:rPr>
        <w:t>本基金投资的ETF基金（货币ETF除外），按所投资ETF基金估值日的收盘价估值。</w:t>
      </w:r>
    </w:p>
    <w:p w14:paraId="1948BDCB">
      <w:pPr>
        <w:adjustRightInd w:val="0"/>
        <w:snapToGrid w:val="0"/>
        <w:spacing w:line="360" w:lineRule="auto"/>
        <w:ind w:firstLine="480" w:firstLineChars="200"/>
        <w:rPr>
          <w:rFonts w:ascii="宋体" w:hAnsi="宋体"/>
          <w:bCs/>
          <w:sz w:val="24"/>
        </w:rPr>
      </w:pPr>
      <w:r>
        <w:rPr>
          <w:rFonts w:ascii="宋体" w:hAnsi="宋体"/>
          <w:bCs/>
          <w:sz w:val="24"/>
        </w:rPr>
        <w:fldChar w:fldCharType="begin"/>
      </w:r>
      <w:r>
        <w:rPr>
          <w:rFonts w:ascii="宋体" w:hAnsi="宋体"/>
          <w:bCs/>
          <w:sz w:val="24"/>
        </w:rPr>
        <w:instrText xml:space="preserve"> </w:instrText>
      </w:r>
      <w:r>
        <w:rPr>
          <w:rFonts w:hint="eastAsia" w:ascii="宋体" w:hAnsi="宋体"/>
          <w:bCs/>
          <w:sz w:val="24"/>
        </w:rPr>
        <w:instrText xml:space="preserve">= 2 \* GB3</w:instrText>
      </w:r>
      <w:r>
        <w:rPr>
          <w:rFonts w:ascii="宋体" w:hAnsi="宋体"/>
          <w:bCs/>
          <w:sz w:val="24"/>
        </w:rPr>
        <w:instrText xml:space="preserve"> </w:instrText>
      </w:r>
      <w:r>
        <w:rPr>
          <w:rFonts w:ascii="宋体" w:hAnsi="宋体"/>
          <w:bCs/>
          <w:sz w:val="24"/>
        </w:rPr>
        <w:fldChar w:fldCharType="separate"/>
      </w:r>
      <w:r>
        <w:rPr>
          <w:rFonts w:hint="eastAsia" w:ascii="宋体" w:hAnsi="宋体"/>
          <w:bCs/>
          <w:sz w:val="24"/>
        </w:rPr>
        <w:t>②</w:t>
      </w:r>
      <w:r>
        <w:rPr>
          <w:rFonts w:ascii="宋体" w:hAnsi="宋体"/>
          <w:bCs/>
          <w:sz w:val="24"/>
        </w:rPr>
        <w:fldChar w:fldCharType="end"/>
      </w:r>
      <w:r>
        <w:rPr>
          <w:rFonts w:hint="eastAsia" w:ascii="宋体" w:hAnsi="宋体"/>
          <w:bCs/>
          <w:sz w:val="24"/>
        </w:rPr>
        <w:t>本基金投资的境内上市开放式基金（LOF），按所投资基金估值日的份额净值估值。</w:t>
      </w:r>
    </w:p>
    <w:p w14:paraId="6B921F13">
      <w:pPr>
        <w:adjustRightInd w:val="0"/>
        <w:snapToGrid w:val="0"/>
        <w:spacing w:line="360" w:lineRule="auto"/>
        <w:ind w:firstLine="480" w:firstLineChars="200"/>
        <w:rPr>
          <w:rFonts w:ascii="宋体" w:hAnsi="宋体"/>
          <w:bCs/>
          <w:sz w:val="24"/>
        </w:rPr>
      </w:pPr>
      <w:r>
        <w:rPr>
          <w:rFonts w:ascii="宋体" w:hAnsi="宋体"/>
          <w:bCs/>
          <w:sz w:val="24"/>
        </w:rPr>
        <w:fldChar w:fldCharType="begin"/>
      </w:r>
      <w:r>
        <w:rPr>
          <w:rFonts w:ascii="宋体" w:hAnsi="宋体"/>
          <w:bCs/>
          <w:sz w:val="24"/>
        </w:rPr>
        <w:instrText xml:space="preserve"> </w:instrText>
      </w:r>
      <w:r>
        <w:rPr>
          <w:rFonts w:hint="eastAsia" w:ascii="宋体" w:hAnsi="宋体"/>
          <w:bCs/>
          <w:sz w:val="24"/>
        </w:rPr>
        <w:instrText xml:space="preserve">= 3 \* GB3</w:instrText>
      </w:r>
      <w:r>
        <w:rPr>
          <w:rFonts w:ascii="宋体" w:hAnsi="宋体"/>
          <w:bCs/>
          <w:sz w:val="24"/>
        </w:rPr>
        <w:instrText xml:space="preserve"> </w:instrText>
      </w:r>
      <w:r>
        <w:rPr>
          <w:rFonts w:ascii="宋体" w:hAnsi="宋体"/>
          <w:bCs/>
          <w:sz w:val="24"/>
        </w:rPr>
        <w:fldChar w:fldCharType="separate"/>
      </w:r>
      <w:r>
        <w:rPr>
          <w:rFonts w:hint="eastAsia" w:ascii="宋体" w:hAnsi="宋体"/>
          <w:bCs/>
          <w:sz w:val="24"/>
        </w:rPr>
        <w:t>③</w:t>
      </w:r>
      <w:r>
        <w:rPr>
          <w:rFonts w:ascii="宋体" w:hAnsi="宋体"/>
          <w:bCs/>
          <w:sz w:val="24"/>
        </w:rPr>
        <w:fldChar w:fldCharType="end"/>
      </w:r>
      <w:r>
        <w:rPr>
          <w:rFonts w:hint="eastAsia" w:ascii="宋体" w:hAnsi="宋体"/>
          <w:bCs/>
          <w:sz w:val="24"/>
        </w:rPr>
        <w:t>本基金投资的境内上市定期开放式基金、封闭式基金，按所投资基金估值日的收盘价估值。</w:t>
      </w:r>
    </w:p>
    <w:p w14:paraId="29D55AE8">
      <w:pPr>
        <w:adjustRightInd w:val="0"/>
        <w:snapToGrid w:val="0"/>
        <w:spacing w:line="360" w:lineRule="auto"/>
        <w:ind w:firstLine="480" w:firstLineChars="200"/>
        <w:rPr>
          <w:rFonts w:ascii="宋体" w:hAnsi="宋体"/>
          <w:bCs/>
          <w:sz w:val="24"/>
        </w:rPr>
      </w:pPr>
      <w:r>
        <w:rPr>
          <w:rFonts w:hint="eastAsia" w:ascii="宋体" w:hAnsi="宋体"/>
          <w:bCs/>
          <w:sz w:val="24"/>
        </w:rPr>
        <w:t>3）特殊情况处理</w:t>
      </w:r>
    </w:p>
    <w:p w14:paraId="4FFBCA3C">
      <w:pPr>
        <w:adjustRightInd w:val="0"/>
        <w:snapToGrid w:val="0"/>
        <w:spacing w:line="360" w:lineRule="auto"/>
        <w:ind w:firstLine="480" w:firstLineChars="200"/>
        <w:rPr>
          <w:rFonts w:ascii="宋体" w:hAnsi="宋体"/>
          <w:bCs/>
          <w:sz w:val="24"/>
        </w:rPr>
      </w:pPr>
      <w:r>
        <w:rPr>
          <w:rFonts w:hint="eastAsia" w:ascii="宋体" w:hAnsi="宋体"/>
          <w:bCs/>
          <w:sz w:val="24"/>
        </w:rPr>
        <w:t>如遇所投资基金不公布基金份额净值、进行折算或拆分、估值日无交易等特殊情况，基金管理人根据以下原则进行估值：</w:t>
      </w:r>
    </w:p>
    <w:p w14:paraId="24484CC5">
      <w:pPr>
        <w:adjustRightInd w:val="0"/>
        <w:snapToGrid w:val="0"/>
        <w:spacing w:line="360" w:lineRule="auto"/>
        <w:ind w:firstLine="480" w:firstLineChars="200"/>
        <w:rPr>
          <w:rFonts w:ascii="宋体" w:hAnsi="宋体"/>
          <w:bCs/>
          <w:sz w:val="24"/>
        </w:rPr>
      </w:pPr>
      <w:r>
        <w:rPr>
          <w:rFonts w:hint="eastAsia" w:ascii="宋体" w:hAnsi="宋体"/>
          <w:bCs/>
          <w:sz w:val="24"/>
        </w:rPr>
        <w:t>①以所投资基金的基金份额净值估值的，若所投资基金与本基金估值频率一致但未公布估值日基金份额净值，按其最近公布的基金份额净值为基础估值。</w:t>
      </w:r>
    </w:p>
    <w:p w14:paraId="2CE0CE33">
      <w:pPr>
        <w:adjustRightInd w:val="0"/>
        <w:snapToGrid w:val="0"/>
        <w:spacing w:line="360" w:lineRule="auto"/>
        <w:ind w:firstLine="480" w:firstLineChars="200"/>
        <w:rPr>
          <w:rFonts w:ascii="宋体" w:hAnsi="宋体"/>
          <w:bCs/>
          <w:sz w:val="24"/>
        </w:rPr>
      </w:pPr>
      <w:r>
        <w:rPr>
          <w:rFonts w:hint="eastAsia" w:ascii="宋体" w:hAnsi="宋体"/>
          <w:bCs/>
          <w:sz w:val="24"/>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w:t>
      </w:r>
    </w:p>
    <w:p w14:paraId="7D460CD4">
      <w:pPr>
        <w:adjustRightInd w:val="0"/>
        <w:snapToGrid w:val="0"/>
        <w:spacing w:line="360" w:lineRule="auto"/>
        <w:ind w:firstLine="480" w:firstLineChars="200"/>
        <w:rPr>
          <w:rFonts w:ascii="宋体" w:hAnsi="宋体"/>
          <w:bCs/>
          <w:sz w:val="24"/>
        </w:rPr>
      </w:pPr>
      <w:r>
        <w:rPr>
          <w:rFonts w:hint="eastAsia" w:ascii="宋体" w:hAnsi="宋体"/>
          <w:bCs/>
          <w:sz w:val="24"/>
        </w:rPr>
        <w:t>③如果所投资基金前一估值日至估值日期间发生分红除权、折算或拆分，基金管理人应根据基金份额净值或收盘价、单位基金份额分红金额、折算拆分比例、持仓份额等因素合理确定公允价值。</w:t>
      </w:r>
    </w:p>
    <w:p w14:paraId="6AAB10B3">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5</w:t>
      </w:r>
      <w:r>
        <w:rPr>
          <w:rFonts w:hint="eastAsia" w:ascii="宋体" w:hAnsi="宋体"/>
          <w:bCs/>
          <w:sz w:val="24"/>
        </w:rPr>
        <w:t>）同一证券同时在两个或两个以上市场交易的，按其所处的市场分别估值。</w:t>
      </w:r>
    </w:p>
    <w:p w14:paraId="70BD4253">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6</w:t>
      </w:r>
      <w:r>
        <w:rPr>
          <w:rFonts w:hint="eastAsia" w:ascii="宋体" w:hAnsi="宋体"/>
          <w:bCs/>
          <w:sz w:val="24"/>
        </w:rPr>
        <w:t>）本基金持有的回购以摊余成本列示，按合同利率在回购期间内逐日计提应收或应付利息。</w:t>
      </w:r>
    </w:p>
    <w:p w14:paraId="681A3174">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7</w:t>
      </w:r>
      <w:r>
        <w:rPr>
          <w:rFonts w:hint="eastAsia" w:ascii="宋体" w:hAnsi="宋体"/>
          <w:bCs/>
          <w:sz w:val="24"/>
        </w:rPr>
        <w:t>）本基金持有的银行存款和备付金余额以摊余成本列示，按相应利率逐日计提利息。</w:t>
      </w:r>
    </w:p>
    <w:p w14:paraId="76E0EE3D">
      <w:pPr>
        <w:adjustRightInd w:val="0"/>
        <w:snapToGrid w:val="0"/>
        <w:spacing w:line="360" w:lineRule="auto"/>
        <w:ind w:firstLine="480" w:firstLineChars="200"/>
        <w:rPr>
          <w:rFonts w:ascii="宋体" w:hAnsi="宋体"/>
          <w:bCs/>
          <w:sz w:val="24"/>
        </w:rPr>
      </w:pPr>
      <w:r>
        <w:rPr>
          <w:rFonts w:hint="eastAsia"/>
          <w:sz w:val="24"/>
        </w:rPr>
        <w:t>（</w:t>
      </w:r>
      <w:r>
        <w:rPr>
          <w:sz w:val="24"/>
        </w:rPr>
        <w:t>8</w:t>
      </w:r>
      <w:r>
        <w:rPr>
          <w:rFonts w:hint="eastAsia"/>
          <w:sz w:val="24"/>
        </w:rPr>
        <w:t>）</w:t>
      </w:r>
      <w:r>
        <w:rPr>
          <w:rFonts w:hint="eastAsia" w:ascii="宋体" w:hAnsi="宋体"/>
          <w:bCs/>
          <w:sz w:val="24"/>
        </w:rPr>
        <w:t>本基金投资国债期货合约，一般以估值当日结算价进行估值，估值当日无结算价，且最近交易日后经济环境未发生重大变化的，采用最近交易日结算价估值。</w:t>
      </w:r>
    </w:p>
    <w:p w14:paraId="313B1D82">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9</w:t>
      </w:r>
      <w:r>
        <w:rPr>
          <w:rFonts w:hint="eastAsia" w:ascii="宋体" w:hAnsi="宋体"/>
          <w:bCs/>
          <w:sz w:val="24"/>
        </w:rPr>
        <w:t>）估值计算中涉及港元对人民币汇率的，将依据当日中国人民银行或其授权机构公布的港元对人民币的中间价为准。</w:t>
      </w:r>
    </w:p>
    <w:p w14:paraId="2C48004E">
      <w:pPr>
        <w:adjustRightInd w:val="0"/>
        <w:snapToGrid w:val="0"/>
        <w:spacing w:line="360" w:lineRule="auto"/>
        <w:ind w:firstLine="480" w:firstLineChars="200"/>
        <w:rPr>
          <w:rFonts w:ascii="宋体" w:hAnsi="宋体"/>
          <w:bCs/>
          <w:sz w:val="24"/>
        </w:rPr>
      </w:pPr>
      <w:r>
        <w:rPr>
          <w:rFonts w:hint="eastAsia" w:ascii="宋体" w:hAnsi="宋体"/>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7D2FCE99">
      <w:pPr>
        <w:adjustRightInd w:val="0"/>
        <w:snapToGrid w:val="0"/>
        <w:spacing w:line="360" w:lineRule="auto"/>
        <w:ind w:firstLine="480" w:firstLineChars="200"/>
        <w:rPr>
          <w:rFonts w:ascii="宋体" w:hAnsi="宋体"/>
          <w:bCs/>
          <w:sz w:val="24"/>
        </w:rPr>
      </w:pPr>
      <w:r>
        <w:rPr>
          <w:rFonts w:hint="eastAsia" w:ascii="宋体" w:hAnsi="宋体"/>
          <w:bCs/>
          <w:sz w:val="24"/>
        </w:rPr>
        <w:t>（10）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1854DB7F">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1</w:t>
      </w:r>
      <w:r>
        <w:rPr>
          <w:rFonts w:hint="eastAsia" w:ascii="宋体" w:hAnsi="宋体"/>
          <w:bCs/>
          <w:sz w:val="24"/>
        </w:rPr>
        <w:t>1）本基金可以采用第三方估值基准服务机构按照上述公允价值确定原则提供的估值价格数据。</w:t>
      </w:r>
    </w:p>
    <w:p w14:paraId="59EB4E4D">
      <w:pPr>
        <w:adjustRightInd w:val="0"/>
        <w:snapToGrid w:val="0"/>
        <w:spacing w:line="360" w:lineRule="auto"/>
        <w:ind w:firstLine="480" w:firstLineChars="200"/>
        <w:rPr>
          <w:rFonts w:ascii="宋体" w:hAnsi="宋体"/>
          <w:bCs/>
          <w:sz w:val="24"/>
        </w:rPr>
      </w:pPr>
      <w:r>
        <w:rPr>
          <w:rFonts w:hint="eastAsia" w:ascii="宋体" w:hAnsi="宋体"/>
          <w:bCs/>
          <w:sz w:val="24"/>
        </w:rPr>
        <w:t>（12）</w:t>
      </w:r>
      <w:r>
        <w:rPr>
          <w:rFonts w:ascii="宋体" w:hAnsi="宋体"/>
          <w:bCs/>
          <w:sz w:val="24"/>
        </w:rPr>
        <w:t>如有确凿证据表明按上述方法进行估值不能客观反映其公允价值的，基金管理人可根据具体情况与基金托管人商定后，按最能反映公允价值的价格估值。</w:t>
      </w:r>
    </w:p>
    <w:p w14:paraId="3A890ACC">
      <w:pPr>
        <w:adjustRightInd w:val="0"/>
        <w:snapToGrid w:val="0"/>
        <w:spacing w:line="360" w:lineRule="auto"/>
        <w:ind w:firstLine="480" w:firstLineChars="200"/>
        <w:rPr>
          <w:rFonts w:ascii="宋体" w:hAnsi="宋体"/>
          <w:bCs/>
          <w:sz w:val="24"/>
        </w:rPr>
      </w:pPr>
      <w:r>
        <w:rPr>
          <w:rFonts w:hint="eastAsia" w:ascii="宋体" w:hAnsi="宋体"/>
          <w:bCs/>
          <w:sz w:val="24"/>
        </w:rPr>
        <w:t>使用模型估值的，应当审慎确定模型参数，不得随意调整。</w:t>
      </w:r>
    </w:p>
    <w:p w14:paraId="7D38763C">
      <w:pPr>
        <w:adjustRightInd w:val="0"/>
        <w:snapToGrid w:val="0"/>
        <w:spacing w:line="360" w:lineRule="auto"/>
        <w:ind w:firstLine="480" w:firstLineChars="200"/>
        <w:rPr>
          <w:rFonts w:ascii="宋体" w:hAnsi="宋体"/>
          <w:bCs/>
          <w:sz w:val="24"/>
        </w:rPr>
      </w:pPr>
      <w:r>
        <w:rPr>
          <w:rFonts w:hint="eastAsia" w:ascii="宋体" w:hAnsi="宋体"/>
          <w:bCs/>
          <w:sz w:val="24"/>
        </w:rPr>
        <w:t>对于仅依赖管理人所提供数据（包括不限于管理人自建模型定价）且无法从其他渠道获取可靠数据进行会计核算的投资品种，管理人应对该估值数据的真实性、准确性、完整性、合规性负责，因上述估值数据错误导致估值结果的不真实、不准确、不完整、不合规，托管人不承担任何责任。</w:t>
      </w:r>
    </w:p>
    <w:p w14:paraId="2BB9B53D">
      <w:pPr>
        <w:adjustRightInd w:val="0"/>
        <w:snapToGrid w:val="0"/>
        <w:spacing w:line="360" w:lineRule="auto"/>
        <w:ind w:firstLine="480" w:firstLineChars="200"/>
        <w:rPr>
          <w:rFonts w:ascii="宋体" w:hAnsi="宋体"/>
          <w:bCs/>
          <w:sz w:val="24"/>
        </w:rPr>
      </w:pPr>
      <w:r>
        <w:rPr>
          <w:rFonts w:hint="eastAsia" w:ascii="宋体" w:hAnsi="宋体"/>
          <w:bCs/>
          <w:sz w:val="24"/>
        </w:rPr>
        <w:t>（13）当本基金发生大额申购或赎回情形时，基金管理人可以采用摆动定价机制，以确保基金估值的公平性。</w:t>
      </w:r>
    </w:p>
    <w:p w14:paraId="2E64C0EC">
      <w:pPr>
        <w:adjustRightInd w:val="0"/>
        <w:snapToGrid w:val="0"/>
        <w:spacing w:line="360" w:lineRule="auto"/>
        <w:ind w:firstLine="480" w:firstLineChars="200"/>
        <w:rPr>
          <w:rFonts w:ascii="宋体" w:hAnsi="宋体"/>
          <w:bCs/>
          <w:sz w:val="24"/>
        </w:rPr>
      </w:pPr>
      <w:r>
        <w:rPr>
          <w:rFonts w:ascii="宋体" w:hAnsi="宋体"/>
          <w:bCs/>
          <w:sz w:val="24"/>
        </w:rPr>
        <w:t>（</w:t>
      </w:r>
      <w:r>
        <w:rPr>
          <w:rFonts w:hint="eastAsia" w:ascii="宋体" w:hAnsi="宋体"/>
          <w:bCs/>
          <w:sz w:val="24"/>
        </w:rPr>
        <w:t>14）</w:t>
      </w:r>
      <w:r>
        <w:rPr>
          <w:rFonts w:ascii="宋体" w:hAnsi="宋体"/>
          <w:bCs/>
          <w:sz w:val="24"/>
        </w:rPr>
        <w:t>相关法律法规以及监管部门有强制规定的，从其规定。如有新增事项，按国家最新规定估值。</w:t>
      </w:r>
    </w:p>
    <w:p w14:paraId="76CF4C89">
      <w:pPr>
        <w:adjustRightInd w:val="0"/>
        <w:snapToGrid w:val="0"/>
        <w:spacing w:line="360" w:lineRule="auto"/>
        <w:ind w:firstLine="480" w:firstLineChars="200"/>
        <w:rPr>
          <w:rStyle w:val="37"/>
          <w:rFonts w:ascii="宋体" w:hAnsi="宋体"/>
          <w:bCs/>
          <w:sz w:val="24"/>
        </w:rPr>
      </w:pPr>
      <w:r>
        <w:rPr>
          <w:rStyle w:val="37"/>
          <w:rFonts w:ascii="宋体" w:hAnsi="宋体"/>
          <w:bCs/>
          <w:sz w:val="24"/>
        </w:rPr>
        <w:t>如基金管理人或基金托管人发现基金估值违反基金合同订明的估值方法、程序及相关法律法规的规定或者未能充分维护基金份额持有人利益时，</w:t>
      </w:r>
      <w:r>
        <w:rPr>
          <w:rFonts w:hint="eastAsia" w:ascii="宋体" w:hAnsi="宋体"/>
          <w:bCs/>
          <w:sz w:val="24"/>
        </w:rPr>
        <w:t>应立即通知对方</w:t>
      </w:r>
      <w:r>
        <w:rPr>
          <w:rStyle w:val="37"/>
          <w:rFonts w:ascii="宋体" w:hAnsi="宋体"/>
          <w:bCs/>
          <w:sz w:val="24"/>
        </w:rPr>
        <w:t>，共同查明原因，双方协商解决</w:t>
      </w:r>
      <w:r>
        <w:rPr>
          <w:rFonts w:hint="eastAsia" w:ascii="宋体" w:hAnsi="宋体"/>
          <w:bCs/>
          <w:sz w:val="24"/>
        </w:rPr>
        <w:t>，以约定的方法、程序和相关法律法规的规定进行估值，以维护基金份额持有人的利益</w:t>
      </w:r>
      <w:r>
        <w:rPr>
          <w:rStyle w:val="37"/>
          <w:rFonts w:ascii="宋体" w:hAnsi="宋体"/>
          <w:bCs/>
          <w:sz w:val="24"/>
        </w:rPr>
        <w:t>。</w:t>
      </w:r>
    </w:p>
    <w:p w14:paraId="0DBBCEA5">
      <w:pPr>
        <w:adjustRightInd w:val="0"/>
        <w:snapToGrid w:val="0"/>
        <w:spacing w:line="360" w:lineRule="auto"/>
        <w:ind w:firstLine="480" w:firstLineChars="200"/>
        <w:rPr>
          <w:rFonts w:hint="eastAsia" w:ascii="宋体" w:hAnsi="宋体"/>
          <w:bCs/>
          <w:sz w:val="24"/>
          <w:szCs w:val="24"/>
        </w:rPr>
      </w:pPr>
      <w:r>
        <w:rPr>
          <w:rFonts w:hint="eastAsia" w:ascii="宋体" w:hAnsi="宋体" w:eastAsia="宋体" w:cs="Times New Roman"/>
          <w:bCs/>
          <w:sz w:val="24"/>
        </w:rPr>
        <w:t>鉴于本基金允许投资由基金管理人管理的非上市基金，基金管理人和基金托管人需根据已披露的份额净值信息进行估值。如因基金管理人披露的份额净值错误或无法于双方约定的时间披露份额净值导致的估值错误，相关责任由基金管理人承担。由此给基金份额持有人和基金造成的损失以及因该交易日基金资产净值计算顺延错误而引起的损失，基金托管人不承担任何责任。</w:t>
      </w:r>
    </w:p>
    <w:p w14:paraId="1B74D278">
      <w:pPr>
        <w:adjustRightInd w:val="0"/>
        <w:snapToGrid w:val="0"/>
        <w:spacing w:line="360" w:lineRule="auto"/>
        <w:ind w:firstLine="480" w:firstLineChars="200"/>
        <w:rPr>
          <w:rFonts w:ascii="宋体" w:hAnsi="宋体"/>
          <w:bCs/>
          <w:sz w:val="24"/>
        </w:rPr>
      </w:pPr>
      <w:r>
        <w:rPr>
          <w:rFonts w:hint="eastAsia" w:ascii="宋体" w:hAnsi="宋体"/>
          <w:bCs/>
          <w:sz w:val="24"/>
        </w:rPr>
        <w:t>根据有关法律法规，基金资产净值计算、各类基金份额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按照基金管理人对基金净值信息的计算结果按规定对外予以公布。</w:t>
      </w:r>
    </w:p>
    <w:p w14:paraId="4CC9F99E">
      <w:pPr>
        <w:adjustRightInd w:val="0"/>
        <w:snapToGrid w:val="0"/>
        <w:spacing w:line="360" w:lineRule="auto"/>
        <w:ind w:firstLine="480"/>
        <w:rPr>
          <w:rStyle w:val="37"/>
          <w:rFonts w:cs="Arial" w:asciiTheme="minorEastAsia" w:hAnsiTheme="minorEastAsia" w:eastAsiaTheme="minorEastAsia"/>
          <w:sz w:val="24"/>
        </w:rPr>
      </w:pPr>
      <w:r>
        <w:rPr>
          <w:rStyle w:val="37"/>
          <w:rFonts w:hint="eastAsia" w:cs="Arial" w:asciiTheme="minorEastAsia" w:hAnsiTheme="minorEastAsia" w:eastAsiaTheme="minorEastAsia"/>
          <w:sz w:val="24"/>
        </w:rPr>
        <w:t>3.特殊情形的处理</w:t>
      </w:r>
    </w:p>
    <w:p w14:paraId="6B10F9BB">
      <w:pPr>
        <w:adjustRightInd w:val="0"/>
        <w:snapToGrid w:val="0"/>
        <w:spacing w:line="360" w:lineRule="auto"/>
        <w:ind w:firstLine="480" w:firstLineChars="200"/>
        <w:rPr>
          <w:rFonts w:ascii="宋体" w:hAnsi="宋体"/>
          <w:bCs/>
          <w:sz w:val="24"/>
        </w:rPr>
      </w:pPr>
      <w:r>
        <w:rPr>
          <w:rFonts w:hint="eastAsia" w:ascii="宋体" w:hAnsi="宋体"/>
          <w:bCs/>
          <w:sz w:val="24"/>
        </w:rPr>
        <w:t>（1）基金管理人或基金托管人按估值方法的第（</w:t>
      </w:r>
      <w:r>
        <w:rPr>
          <w:rFonts w:ascii="宋体" w:hAnsi="宋体"/>
          <w:bCs/>
          <w:sz w:val="24"/>
        </w:rPr>
        <w:t>1</w:t>
      </w:r>
      <w:r>
        <w:rPr>
          <w:rFonts w:hint="eastAsia" w:ascii="宋体" w:hAnsi="宋体"/>
          <w:bCs/>
          <w:sz w:val="24"/>
        </w:rPr>
        <w:t>2）项进行估值时，所造成的误差不作为基金资产估值错误处理；</w:t>
      </w:r>
    </w:p>
    <w:p w14:paraId="02A072CB">
      <w:pPr>
        <w:adjustRightInd w:val="0"/>
        <w:snapToGrid w:val="0"/>
        <w:spacing w:line="360" w:lineRule="auto"/>
        <w:ind w:firstLine="480" w:firstLineChars="200"/>
        <w:rPr>
          <w:rFonts w:ascii="宋体" w:hAnsi="宋体"/>
          <w:bCs/>
          <w:sz w:val="24"/>
        </w:rPr>
      </w:pPr>
      <w:r>
        <w:rPr>
          <w:rFonts w:hint="eastAsia" w:ascii="宋体" w:hAnsi="宋体"/>
          <w:bCs/>
          <w:sz w:val="24"/>
        </w:rPr>
        <w:t>（2）</w:t>
      </w:r>
      <w:r>
        <w:rPr>
          <w:rFonts w:hint="eastAsia" w:ascii="宋体" w:hAnsi="宋体"/>
          <w:b/>
          <w:bCs/>
          <w:sz w:val="24"/>
        </w:rPr>
        <w:t>由于不可抗力原因，或由于证券/期货交易所</w:t>
      </w:r>
      <w:r>
        <w:rPr>
          <w:rFonts w:ascii="宋体" w:hAnsi="宋体"/>
          <w:b/>
          <w:bCs/>
          <w:sz w:val="24"/>
        </w:rPr>
        <w:t>、</w:t>
      </w:r>
      <w:r>
        <w:rPr>
          <w:rFonts w:hint="eastAsia" w:ascii="宋体" w:hAnsi="宋体"/>
          <w:b/>
          <w:bCs/>
          <w:sz w:val="24"/>
        </w:rPr>
        <w:t>登记结算公司、证券/期货经营机构、存款银行</w:t>
      </w:r>
      <w:r>
        <w:rPr>
          <w:rFonts w:hint="eastAsia" w:ascii="黑体" w:hAnsi="黑体"/>
          <w:b/>
          <w:bCs/>
          <w:sz w:val="24"/>
        </w:rPr>
        <w:t>、第三方估值基准服务机构</w:t>
      </w:r>
      <w:r>
        <w:rPr>
          <w:rFonts w:hint="eastAsia" w:ascii="宋体" w:hAnsi="宋体"/>
          <w:b/>
          <w:bCs/>
          <w:sz w:val="24"/>
        </w:rPr>
        <w:t>等第三方机构发送</w:t>
      </w:r>
      <w:r>
        <w:rPr>
          <w:rFonts w:ascii="宋体" w:hAnsi="宋体"/>
          <w:b/>
          <w:bCs/>
          <w:sz w:val="24"/>
        </w:rPr>
        <w:t>的</w:t>
      </w:r>
      <w:r>
        <w:rPr>
          <w:rFonts w:hint="eastAsia" w:ascii="宋体" w:hAnsi="宋体"/>
          <w:b/>
          <w:bCs/>
          <w:sz w:val="24"/>
        </w:rPr>
        <w:t>数据</w:t>
      </w:r>
      <w:r>
        <w:rPr>
          <w:rFonts w:ascii="宋体" w:hAnsi="宋体"/>
          <w:b/>
          <w:bCs/>
          <w:sz w:val="24"/>
        </w:rPr>
        <w:t>错误</w:t>
      </w:r>
      <w:r>
        <w:rPr>
          <w:rFonts w:hint="eastAsia" w:ascii="宋体" w:hAnsi="宋体"/>
          <w:b/>
          <w:bCs/>
          <w:sz w:val="24"/>
        </w:rPr>
        <w:t>、遗漏，有关会计制度变化等非基金管理人与基金托管人原因，基金管理人和基金托管人虽然已经采取必要、适当、合理的措施进行检查，但未能发现该错误、遗漏或虽然发现但因前述原因无法及时更正的，由此造成的基金资产估值错误，基金管理人和基金托管人免除赔偿责任。</w:t>
      </w:r>
      <w:r>
        <w:rPr>
          <w:rFonts w:hint="eastAsia" w:ascii="宋体" w:hAnsi="宋体"/>
          <w:bCs/>
          <w:sz w:val="24"/>
        </w:rPr>
        <w:t>但基金管理人、基金托管人应当积极采取必要的措施消除</w:t>
      </w:r>
      <w:r>
        <w:rPr>
          <w:rFonts w:ascii="宋体" w:hAnsi="宋体"/>
          <w:bCs/>
          <w:sz w:val="24"/>
        </w:rPr>
        <w:t>或</w:t>
      </w:r>
      <w:r>
        <w:rPr>
          <w:rFonts w:hint="eastAsia" w:ascii="宋体" w:hAnsi="宋体"/>
          <w:bCs/>
          <w:sz w:val="24"/>
        </w:rPr>
        <w:t>减轻由此造成的影响。</w:t>
      </w:r>
    </w:p>
    <w:p w14:paraId="60296159">
      <w:pPr>
        <w:adjustRightInd w:val="0"/>
        <w:snapToGrid w:val="0"/>
        <w:spacing w:line="360" w:lineRule="auto"/>
        <w:ind w:firstLine="480" w:firstLineChars="200"/>
        <w:rPr>
          <w:rStyle w:val="37"/>
          <w:rFonts w:asciiTheme="minorEastAsia" w:hAnsiTheme="minorEastAsia" w:eastAsiaTheme="minorEastAsia"/>
          <w:sz w:val="24"/>
        </w:rPr>
      </w:pPr>
      <w:r>
        <w:rPr>
          <w:rStyle w:val="37"/>
          <w:rFonts w:hint="eastAsia" w:asciiTheme="minorEastAsia" w:hAnsiTheme="minorEastAsia" w:eastAsiaTheme="minorEastAsia"/>
          <w:sz w:val="24"/>
        </w:rPr>
        <w:t>（三）基金份额净值错误的处理方式</w:t>
      </w:r>
    </w:p>
    <w:p w14:paraId="4FB2C410">
      <w:pPr>
        <w:adjustRightInd w:val="0"/>
        <w:snapToGrid w:val="0"/>
        <w:spacing w:line="360" w:lineRule="auto"/>
        <w:ind w:firstLine="480" w:firstLineChars="200"/>
        <w:rPr>
          <w:rStyle w:val="37"/>
          <w:rFonts w:asciiTheme="minorEastAsia" w:hAnsiTheme="minorEastAsia" w:eastAsiaTheme="minorEastAsia"/>
          <w:sz w:val="24"/>
        </w:rPr>
      </w:pPr>
      <w:r>
        <w:rPr>
          <w:rStyle w:val="37"/>
          <w:rFonts w:hint="eastAsia" w:asciiTheme="minorEastAsia" w:hAnsiTheme="minorEastAsia" w:eastAsiaTheme="minorEastAsia"/>
          <w:sz w:val="24"/>
        </w:rPr>
        <w:t>1.当任一类基金份额净值小数点后</w:t>
      </w:r>
      <w:r>
        <w:rPr>
          <w:rStyle w:val="37"/>
          <w:rFonts w:asciiTheme="minorEastAsia" w:hAnsiTheme="minorEastAsia" w:eastAsiaTheme="minorEastAsia"/>
          <w:sz w:val="24"/>
        </w:rPr>
        <w:t>4</w:t>
      </w:r>
      <w:r>
        <w:rPr>
          <w:rStyle w:val="37"/>
          <w:rFonts w:hint="eastAsia" w:asciiTheme="minorEastAsia" w:hAnsiTheme="minorEastAsia" w:eastAsiaTheme="minorEastAsia"/>
          <w:sz w:val="24"/>
        </w:rPr>
        <w:t>位以内（含第</w:t>
      </w:r>
      <w:r>
        <w:rPr>
          <w:rStyle w:val="37"/>
          <w:rFonts w:asciiTheme="minorEastAsia" w:hAnsiTheme="minorEastAsia" w:eastAsiaTheme="minorEastAsia"/>
          <w:sz w:val="24"/>
        </w:rPr>
        <w:t>4</w:t>
      </w:r>
      <w:r>
        <w:rPr>
          <w:rStyle w:val="37"/>
          <w:rFonts w:hint="eastAsia" w:asciiTheme="minorEastAsia" w:hAnsiTheme="minorEastAsia" w:eastAsiaTheme="minorEastAsia"/>
          <w:sz w:val="24"/>
        </w:rPr>
        <w:t>位）发生差错时，视为该类基金份额净值错误；基金份额净值计算出现错误时，基金管理人应当立即予以纠正，通报基金托管人，并采取合理的措施防止损失进一步扩大；错误偏差达到该类基金份额净值的0.25%时，基金管理人应当通报基金托管人并报中国证监会备案</w:t>
      </w:r>
      <w:r>
        <w:rPr>
          <w:rFonts w:hint="eastAsia" w:cs="Arial" w:asciiTheme="minorEastAsia" w:hAnsiTheme="minorEastAsia" w:eastAsiaTheme="minorEastAsia"/>
          <w:sz w:val="24"/>
        </w:rPr>
        <w:t>；错误偏差达到该类基金份额净值的</w:t>
      </w:r>
      <w:r>
        <w:rPr>
          <w:rFonts w:hint="eastAsia" w:asciiTheme="minorEastAsia" w:hAnsiTheme="minorEastAsia" w:eastAsiaTheme="minorEastAsia"/>
          <w:sz w:val="24"/>
        </w:rPr>
        <w:t>0.5%时，基金管理人应当公告，并报中国证监会备案</w:t>
      </w:r>
      <w:r>
        <w:rPr>
          <w:rStyle w:val="37"/>
          <w:rFonts w:hint="eastAsia" w:asciiTheme="minorEastAsia" w:hAnsiTheme="minorEastAsia" w:eastAsiaTheme="minorEastAsia"/>
          <w:sz w:val="24"/>
        </w:rPr>
        <w:t>；当发生净值计算错误时，由基金管理人负责处理，由此给基金份额持有人和基金造成损失的，应由基金管理人按差错情形先行赔付，基金管理人有权向其他当事人追偿。</w:t>
      </w:r>
    </w:p>
    <w:p w14:paraId="6D5A671F">
      <w:pPr>
        <w:adjustRightInd w:val="0"/>
        <w:snapToGrid w:val="0"/>
        <w:spacing w:line="360" w:lineRule="auto"/>
        <w:ind w:firstLine="480" w:firstLineChars="200"/>
        <w:rPr>
          <w:rStyle w:val="37"/>
          <w:rFonts w:asciiTheme="minorEastAsia" w:hAnsiTheme="minorEastAsia" w:eastAsiaTheme="minorEastAsia"/>
          <w:sz w:val="24"/>
        </w:rPr>
      </w:pPr>
      <w:r>
        <w:rPr>
          <w:rStyle w:val="37"/>
          <w:rFonts w:hint="eastAsia" w:asciiTheme="minorEastAsia" w:hAnsiTheme="minorEastAsia" w:eastAsiaTheme="minorEastAsia"/>
          <w:sz w:val="24"/>
        </w:rPr>
        <w:t>2.当基金份额净值计算差错给基金和基金份额持有人造成损失需要进行赔偿时，基金管理人和基金托管人应根据实际情况界定双方承担的责任，经确认后按以下条款进行赔偿：</w:t>
      </w:r>
    </w:p>
    <w:p w14:paraId="59BC7E46">
      <w:pPr>
        <w:adjustRightInd w:val="0"/>
        <w:snapToGrid w:val="0"/>
        <w:spacing w:line="360" w:lineRule="auto"/>
        <w:ind w:firstLine="480" w:firstLineChars="200"/>
        <w:rPr>
          <w:rFonts w:cs="Arial" w:asciiTheme="minorEastAsia" w:hAnsiTheme="minorEastAsia" w:eastAsiaTheme="minorEastAsia"/>
          <w:sz w:val="24"/>
        </w:rPr>
      </w:pPr>
      <w:r>
        <w:rPr>
          <w:rStyle w:val="37"/>
          <w:rFonts w:hint="eastAsia" w:asciiTheme="minorEastAsia" w:hAnsiTheme="minorEastAsia" w:eastAsiaTheme="minorEastAsia"/>
          <w:sz w:val="24"/>
        </w:rPr>
        <w:t>(1)本基金的基金会计责任方由基金管理人担任，与本基金有关的会计问题，如经双方在平等基础上充分讨论后，尚不能达成一致时，按基金管理人的建议执行，由此给基金份额持有人和基金财产造成的</w:t>
      </w:r>
      <w:r>
        <w:rPr>
          <w:rFonts w:hint="eastAsia" w:cs="Arial" w:asciiTheme="minorEastAsia" w:hAnsiTheme="minorEastAsia" w:eastAsiaTheme="minorEastAsia"/>
          <w:sz w:val="24"/>
        </w:rPr>
        <w:t>损失，由基金管理人负责赔付。</w:t>
      </w:r>
    </w:p>
    <w:p w14:paraId="7F0DCCE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w:t>
      </w:r>
      <w:r>
        <w:rPr>
          <w:rFonts w:hint="eastAsia" w:asciiTheme="minorEastAsia" w:hAnsiTheme="minorEastAsia" w:eastAsiaTheme="minorEastAsia"/>
          <w:kern w:val="0"/>
          <w:sz w:val="24"/>
        </w:rPr>
        <w:t>若基金管理人计算的各类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p>
    <w:p w14:paraId="564FA78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如基金管理人和基金托管人对各类基金份额净值的计算结果，虽然多次重新计算和核对，尚不能达成一致时，为避免不能按时公布各类基金份额净值的情形，以基金管理人的计算结果对外公布，由此给基金份额持有人和基金造成的损失，由基金管理人负责赔付。</w:t>
      </w:r>
    </w:p>
    <w:p w14:paraId="7CE694E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w:t>
      </w:r>
      <w:r>
        <w:rPr>
          <w:rFonts w:hint="eastAsia" w:asciiTheme="minorEastAsia" w:hAnsiTheme="minorEastAsia" w:eastAsiaTheme="minorEastAsia"/>
          <w:kern w:val="0"/>
          <w:sz w:val="24"/>
        </w:rPr>
        <w:t>由于基金管理人提供的信息错误（包括但不限于基金申购或赎回金额等），进而导致基金份额净值计算错误而引起的基金份额持有人和基金财产的损失，由基金管理人负责赔付。</w:t>
      </w:r>
    </w:p>
    <w:p w14:paraId="2AD2443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3.基金管理人和基金托管人由于各自技术系统设置而产生的净值计算尾差，以基金管理人计算结果为准。</w:t>
      </w:r>
    </w:p>
    <w:p w14:paraId="571F202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4.前述内容如法律法规或者监管部门另有规定的，从其规定。如果行业另有通行做法，双方当事人应本着平等和保护基金份额持有人利益的原则进行协商。</w:t>
      </w:r>
    </w:p>
    <w:p w14:paraId="2EFCCB6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（四）暂停估值与公告基金份额净值的情形</w:t>
      </w:r>
    </w:p>
    <w:p w14:paraId="742FC6CE">
      <w:pPr>
        <w:adjustRightInd w:val="0"/>
        <w:snapToGrid w:val="0"/>
        <w:spacing w:line="360" w:lineRule="auto"/>
        <w:ind w:firstLine="480" w:firstLineChars="200"/>
        <w:rPr>
          <w:rFonts w:ascii="宋体" w:hAnsi="宋体"/>
          <w:bCs/>
          <w:sz w:val="24"/>
        </w:rPr>
      </w:pPr>
      <w:r>
        <w:rPr>
          <w:rFonts w:ascii="宋体" w:hAnsi="宋体"/>
          <w:bCs/>
          <w:sz w:val="24"/>
        </w:rPr>
        <w:t>1</w:t>
      </w:r>
      <w:r>
        <w:rPr>
          <w:rFonts w:hint="eastAsia" w:ascii="宋体" w:hAnsi="宋体"/>
          <w:bCs/>
          <w:sz w:val="24"/>
        </w:rPr>
        <w:t>.</w:t>
      </w:r>
      <w:r>
        <w:rPr>
          <w:rFonts w:ascii="宋体" w:hAnsi="宋体"/>
          <w:bCs/>
          <w:sz w:val="24"/>
        </w:rPr>
        <w:t>基金投资所涉及的证券</w:t>
      </w:r>
      <w:r>
        <w:rPr>
          <w:rFonts w:hint="eastAsia" w:ascii="宋体" w:hAnsi="宋体"/>
          <w:bCs/>
          <w:sz w:val="24"/>
        </w:rPr>
        <w:t>/期货</w:t>
      </w:r>
      <w:r>
        <w:rPr>
          <w:rFonts w:ascii="宋体" w:hAnsi="宋体"/>
          <w:bCs/>
          <w:sz w:val="24"/>
        </w:rPr>
        <w:t>交易市场</w:t>
      </w:r>
      <w:r>
        <w:rPr>
          <w:rFonts w:hint="eastAsia" w:ascii="宋体" w:hAnsi="宋体"/>
          <w:bCs/>
          <w:sz w:val="24"/>
        </w:rPr>
        <w:t>或外汇市场</w:t>
      </w:r>
      <w:r>
        <w:rPr>
          <w:rFonts w:ascii="宋体" w:hAnsi="宋体"/>
          <w:bCs/>
          <w:sz w:val="24"/>
        </w:rPr>
        <w:t>遇法定节假日或因其他原因暂停营业时；</w:t>
      </w:r>
    </w:p>
    <w:p w14:paraId="11DB7D08">
      <w:pPr>
        <w:adjustRightInd w:val="0"/>
        <w:snapToGrid w:val="0"/>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w:t>
      </w:r>
      <w:r>
        <w:rPr>
          <w:rFonts w:ascii="宋体" w:hAnsi="宋体"/>
          <w:bCs/>
          <w:sz w:val="24"/>
        </w:rPr>
        <w:t>因不可抗力</w:t>
      </w:r>
      <w:r>
        <w:rPr>
          <w:rFonts w:hint="eastAsia" w:ascii="宋体" w:hAnsi="宋体"/>
          <w:bCs/>
          <w:sz w:val="24"/>
        </w:rPr>
        <w:t>或其他情形</w:t>
      </w:r>
      <w:r>
        <w:rPr>
          <w:rFonts w:ascii="宋体" w:hAnsi="宋体"/>
          <w:bCs/>
          <w:sz w:val="24"/>
        </w:rPr>
        <w:t>致使基金管理人、基金托管人无法准确评估基金资产价值时；</w:t>
      </w:r>
    </w:p>
    <w:p w14:paraId="764B7B25">
      <w:pPr>
        <w:adjustRightInd w:val="0"/>
        <w:snapToGrid w:val="0"/>
        <w:spacing w:line="360" w:lineRule="auto"/>
        <w:ind w:firstLine="480" w:firstLineChars="200"/>
        <w:rPr>
          <w:rFonts w:ascii="宋体" w:hAnsi="宋体"/>
          <w:bCs/>
          <w:sz w:val="24"/>
        </w:rPr>
      </w:pPr>
      <w:r>
        <w:rPr>
          <w:rFonts w:ascii="宋体" w:hAnsi="宋体"/>
          <w:bCs/>
          <w:sz w:val="24"/>
        </w:rPr>
        <w:t>3</w:t>
      </w:r>
      <w:r>
        <w:rPr>
          <w:rFonts w:hint="eastAsia" w:ascii="宋体" w:hAnsi="宋体"/>
          <w:bCs/>
          <w:sz w:val="24"/>
        </w:rPr>
        <w:t>.当特定资产占前一估值日基金资产净值50%以上的，经与基金托管人协商确认后，基金管理人应当暂停估值；</w:t>
      </w:r>
    </w:p>
    <w:p w14:paraId="6E2FABB0">
      <w:pPr>
        <w:adjustRightInd w:val="0"/>
        <w:snapToGrid w:val="0"/>
        <w:spacing w:line="360" w:lineRule="auto"/>
        <w:ind w:firstLine="480" w:firstLineChars="200"/>
        <w:rPr>
          <w:rFonts w:ascii="宋体" w:hAnsi="宋体"/>
          <w:bCs/>
          <w:sz w:val="24"/>
        </w:rPr>
      </w:pPr>
      <w:r>
        <w:rPr>
          <w:rFonts w:hint="eastAsia" w:ascii="宋体" w:hAnsi="宋体"/>
          <w:bCs/>
          <w:sz w:val="24"/>
        </w:rPr>
        <w:t>4.法律法规、</w:t>
      </w:r>
      <w:r>
        <w:rPr>
          <w:rFonts w:ascii="宋体" w:hAnsi="宋体"/>
          <w:bCs/>
          <w:sz w:val="24"/>
        </w:rPr>
        <w:t>中国证监会和基金合同认定的其它情形。</w:t>
      </w:r>
    </w:p>
    <w:p w14:paraId="5078ADA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（五）基金会计制度</w:t>
      </w:r>
    </w:p>
    <w:p w14:paraId="166AACE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按国家有关部门规定的会计制度执行。</w:t>
      </w:r>
    </w:p>
    <w:p w14:paraId="20BBE5B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（六）基金账册的建立</w:t>
      </w:r>
    </w:p>
    <w:p w14:paraId="2EE72EE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进行基金会计核算并编制基金财务会计报告。基金管理人、基金托管人分别独立地设置、记录和保管本基金的全套账册。若基金管理人和基金托管人对会计处理方法存在分歧，应以基金管理人的处理方法为准。若当日核对不符，暂时无法查找到错账的原因而影响到基金净值信息的计算和公告的，以基金管理人的账册为准。</w:t>
      </w:r>
    </w:p>
    <w:p w14:paraId="5F6629F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（七）基金财务报表与报告的编制和复核</w:t>
      </w:r>
    </w:p>
    <w:p w14:paraId="22B6B78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1.财务报表与报告的编制</w:t>
      </w:r>
    </w:p>
    <w:p w14:paraId="2CA657B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基金财务报表与报告由基金管理人编制，基金托管人复核。</w:t>
      </w:r>
    </w:p>
    <w:p w14:paraId="407EF2C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2.报表与报告的复核</w:t>
      </w:r>
    </w:p>
    <w:p w14:paraId="24CB517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基金托管人在收到基金管理人编制的基金财务报表、报告后，进行独立的复核。核对不符时，应及时通知基金管理人共同查出原因，进行调整，直至双方数据完全一致。</w:t>
      </w:r>
    </w:p>
    <w:p w14:paraId="730F380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3.财务报表与报告的编制与复核时间安排</w:t>
      </w:r>
    </w:p>
    <w:p w14:paraId="5D1A1B6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(1)报表与报告的编制</w:t>
      </w:r>
    </w:p>
    <w:p w14:paraId="762D1A4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应当在每月结束后5个工作日内完成月度报表的编制；在季度结束之日起15个工作日内完成基金季度报告的编制；在上半年结束之日起两个月内完成基金中期报告的编制；在每年结束之日起三个月内完成基金年度报告的编制。基金年度报告的财务会计报告应当经过符合《中华人民共和国证券法》规定的会计师事务所审计。《基金合同》生效不足两个月的，基金管理人可以不编制当期季度报告、中期报告或者年度报告。</w:t>
      </w:r>
    </w:p>
    <w:p w14:paraId="03DF3CBB">
      <w:pPr>
        <w:pStyle w:val="4"/>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(2)报表与报告的复核</w:t>
      </w:r>
    </w:p>
    <w:p w14:paraId="1C9F8E7D">
      <w:pPr>
        <w:pStyle w:val="4"/>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管理人应及时完成报表、报告的编制，将有关报表、报告提供基金托管人复核；基金托管人在复核过程中，发现双方的报表、报告存在不符时，基金管理人和基金托管人应共同查明原因，进行调整，调整以国家有关规定为准。</w:t>
      </w:r>
    </w:p>
    <w:p w14:paraId="17032390">
      <w:pPr>
        <w:pStyle w:val="4"/>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基金管理人应留足充分的时间，便于基金托管人复核相关报表及报告。如果基金管理人与基金托管人不能于应当发布公告之日之前就相关报表及报告达成一致，基金管理人按照其编制的报表及报告对外发布公告，基金托管人有权就相关情况报中国证监会备案。</w:t>
      </w:r>
    </w:p>
    <w:p w14:paraId="00141257">
      <w:pPr>
        <w:pStyle w:val="4"/>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（八）基金管理人应在编制季度报告、中期报告或者年度报告之前及时向基金托管人提供基金业绩比较基准的基础数据和编制结果。</w:t>
      </w:r>
    </w:p>
    <w:p w14:paraId="37390B94">
      <w:pPr>
        <w:pStyle w:val="4"/>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（九）实施侧袋机制期间的基金资产估值</w:t>
      </w:r>
    </w:p>
    <w:p w14:paraId="2F0CD060">
      <w:pPr>
        <w:pStyle w:val="4"/>
        <w:adjustRightInd w:val="0"/>
        <w:snapToGrid w:val="0"/>
        <w:spacing w:line="360" w:lineRule="auto"/>
        <w:ind w:firstLine="480"/>
        <w:rPr>
          <w:rFonts w:cs="Arial" w:asciiTheme="minorEastAsia" w:hAnsiTheme="minorEastAsia" w:eastAsiaTheme="minorEastAsia"/>
          <w:sz w:val="24"/>
        </w:rPr>
      </w:pPr>
      <w:r>
        <w:rPr>
          <w:rFonts w:hint="eastAsia" w:cs="Arial" w:asciiTheme="minorEastAsia" w:hAnsiTheme="minorEastAsia" w:eastAsiaTheme="minorEastAsia"/>
          <w:sz w:val="24"/>
        </w:rPr>
        <w:t>本基金实施侧袋机制的，应根据本部分的约定对主袋账户资产进行估值并披露主袋账户的基金净值信息，暂停披露侧袋账户份额净值。</w:t>
      </w:r>
    </w:p>
    <w:p w14:paraId="68F670E6">
      <w:pPr>
        <w:pStyle w:val="4"/>
        <w:adjustRightInd w:val="0"/>
        <w:snapToGrid w:val="0"/>
        <w:spacing w:line="360" w:lineRule="auto"/>
        <w:ind w:firstLine="480"/>
        <w:rPr>
          <w:rFonts w:cs="Arial" w:asciiTheme="minorEastAsia" w:hAnsiTheme="minorEastAsia" w:eastAsiaTheme="minorEastAsia"/>
          <w:sz w:val="24"/>
        </w:rPr>
      </w:pPr>
    </w:p>
    <w:p w14:paraId="1DDF59E3">
      <w:pPr>
        <w:pStyle w:val="3"/>
        <w:spacing w:line="360" w:lineRule="auto"/>
        <w:jc w:val="center"/>
        <w:rPr>
          <w:rFonts w:asciiTheme="minorEastAsia" w:hAnsiTheme="minorEastAsia" w:eastAsiaTheme="minorEastAsia"/>
          <w:sz w:val="30"/>
        </w:rPr>
      </w:pPr>
      <w:bookmarkStart w:id="88" w:name="_Toc124325893"/>
      <w:r>
        <w:rPr>
          <w:rFonts w:hint="eastAsia" w:asciiTheme="minorEastAsia" w:hAnsiTheme="minorEastAsia" w:eastAsiaTheme="minorEastAsia"/>
          <w:sz w:val="30"/>
        </w:rPr>
        <w:t>九、基金收益分配</w:t>
      </w:r>
      <w:bookmarkEnd w:id="88"/>
    </w:p>
    <w:p w14:paraId="1BA54BB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基金收益分配是指按规定将基金的可分配收益按基金份额进行比例分配。</w:t>
      </w:r>
    </w:p>
    <w:p w14:paraId="52D28DC6">
      <w:pPr>
        <w:adjustRightInd w:val="0"/>
        <w:snapToGrid w:val="0"/>
        <w:spacing w:line="360" w:lineRule="auto"/>
        <w:ind w:firstLine="480" w:firstLineChars="200"/>
        <w:rPr>
          <w:rFonts w:cs="Arial" w:asciiTheme="minorEastAsia" w:hAnsiTheme="minorEastAsia" w:eastAsiaTheme="minorEastAsia"/>
          <w:sz w:val="24"/>
        </w:rPr>
      </w:pPr>
      <w:bookmarkStart w:id="89" w:name="OLE_LINK53"/>
      <w:bookmarkStart w:id="90" w:name="OLE_LINK54"/>
      <w:r>
        <w:rPr>
          <w:rFonts w:hint="eastAsia" w:cs="Arial" w:asciiTheme="minorEastAsia" w:hAnsiTheme="minorEastAsia" w:eastAsiaTheme="minorEastAsia"/>
          <w:sz w:val="24"/>
        </w:rPr>
        <w:t>（一）基金收益分配的原则</w:t>
      </w:r>
    </w:p>
    <w:p w14:paraId="3527AFD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基金收益分配应遵循下列原则：</w:t>
      </w:r>
    </w:p>
    <w:p w14:paraId="664D283A">
      <w:pPr>
        <w:adjustRightInd w:val="0"/>
        <w:snapToGrid w:val="0"/>
        <w:spacing w:line="360" w:lineRule="auto"/>
        <w:ind w:firstLine="540" w:firstLineChars="225"/>
        <w:rPr>
          <w:rFonts w:ascii="宋体" w:hAnsi="宋体"/>
          <w:bCs/>
          <w:sz w:val="24"/>
        </w:rPr>
      </w:pPr>
      <w:r>
        <w:rPr>
          <w:rFonts w:hint="eastAsia" w:ascii="宋体" w:hAnsi="宋体"/>
          <w:bCs/>
          <w:sz w:val="24"/>
        </w:rPr>
        <w:t>1.本基金在符合有关基金分红条件的前提下可进行收益分配，每次收益分配比例等具体分红方案见基金管理人根据基金运作情况届时不定期发布的相关分红公告，若《基金合同》生效不满3个月可不进行收益分配；</w:t>
      </w:r>
    </w:p>
    <w:p w14:paraId="51412181">
      <w:pPr>
        <w:adjustRightInd w:val="0"/>
        <w:snapToGrid w:val="0"/>
        <w:spacing w:line="360" w:lineRule="auto"/>
        <w:ind w:firstLine="540" w:firstLineChars="225"/>
        <w:rPr>
          <w:rFonts w:ascii="宋体" w:hAnsi="宋体"/>
          <w:bCs/>
          <w:sz w:val="24"/>
        </w:rPr>
      </w:pPr>
      <w:r>
        <w:rPr>
          <w:rFonts w:hint="eastAsia" w:ascii="宋体" w:hAnsi="宋体"/>
          <w:bCs/>
          <w:sz w:val="24"/>
        </w:rPr>
        <w:t>2.本基金收益分配方式分两种：现金分红与红利再投资，投资人可选择现金红利或将现金红利自动转为相应类别的基金份额进行再投资，若投资人不选择，本基金默认的收益分配方式是现金分红；红利再投资方式免收再投资的费用；</w:t>
      </w:r>
    </w:p>
    <w:p w14:paraId="1391574E">
      <w:pPr>
        <w:adjustRightInd w:val="0"/>
        <w:snapToGrid w:val="0"/>
        <w:spacing w:line="360" w:lineRule="auto"/>
        <w:ind w:firstLine="540" w:firstLineChars="225"/>
        <w:rPr>
          <w:rFonts w:ascii="宋体" w:hAnsi="宋体"/>
          <w:bCs/>
          <w:sz w:val="24"/>
        </w:rPr>
      </w:pPr>
      <w:r>
        <w:rPr>
          <w:rFonts w:hint="eastAsia" w:ascii="宋体" w:hAnsi="宋体"/>
          <w:bCs/>
          <w:sz w:val="24"/>
        </w:rPr>
        <w:t>3.基金收益分配后各类基金份额净值不能低于面值，即基金收益分配基准日的各类基金份额净值减去每单位该类基金份额收益分配金额后不能低于面值；</w:t>
      </w:r>
    </w:p>
    <w:p w14:paraId="0DE71D99">
      <w:pPr>
        <w:adjustRightInd w:val="0"/>
        <w:snapToGrid w:val="0"/>
        <w:spacing w:line="360" w:lineRule="auto"/>
        <w:ind w:firstLine="540" w:firstLineChars="225"/>
        <w:rPr>
          <w:rFonts w:ascii="宋体" w:hAnsi="宋体"/>
          <w:bCs/>
          <w:sz w:val="24"/>
        </w:rPr>
      </w:pPr>
      <w:r>
        <w:rPr>
          <w:rFonts w:hint="eastAsia" w:ascii="宋体" w:hAnsi="宋体"/>
          <w:bCs/>
          <w:sz w:val="24"/>
        </w:rPr>
        <w:t>4.</w:t>
      </w:r>
      <w:r>
        <w:rPr>
          <w:rFonts w:ascii="宋体" w:hAnsi="宋体" w:cs="宋体"/>
          <w:sz w:val="24"/>
        </w:rPr>
        <w:t>由于本基金A类基金份额与C类基金份额的基金费用不同，</w:t>
      </w:r>
      <w:r>
        <w:rPr>
          <w:rFonts w:hint="eastAsia" w:ascii="宋体" w:hAnsi="宋体"/>
          <w:bCs/>
          <w:sz w:val="24"/>
        </w:rPr>
        <w:t>各基金份额类别对应的可供分配</w:t>
      </w:r>
      <w:r>
        <w:rPr>
          <w:rFonts w:ascii="宋体" w:hAnsi="宋体"/>
          <w:bCs/>
          <w:sz w:val="24"/>
        </w:rPr>
        <w:t>利润</w:t>
      </w:r>
      <w:r>
        <w:rPr>
          <w:rFonts w:hint="eastAsia" w:ascii="宋体" w:hAnsi="宋体"/>
          <w:bCs/>
          <w:sz w:val="24"/>
        </w:rPr>
        <w:t>将有所不同。本基金同一类别的每一基金份额享有同等分配权；</w:t>
      </w:r>
    </w:p>
    <w:p w14:paraId="7FA46330">
      <w:pPr>
        <w:adjustRightInd w:val="0"/>
        <w:snapToGrid w:val="0"/>
        <w:spacing w:line="360" w:lineRule="auto"/>
        <w:ind w:firstLine="540" w:firstLineChars="225"/>
        <w:rPr>
          <w:rFonts w:ascii="宋体" w:hAnsi="宋体"/>
          <w:bCs/>
          <w:sz w:val="24"/>
        </w:rPr>
      </w:pPr>
      <w:r>
        <w:rPr>
          <w:rFonts w:hint="eastAsia" w:ascii="宋体" w:hAnsi="宋体"/>
          <w:bCs/>
          <w:sz w:val="24"/>
        </w:rPr>
        <w:t>5.法律法规或监管机关另有规定的，从其规定。</w:t>
      </w:r>
    </w:p>
    <w:p w14:paraId="5566E133">
      <w:pPr>
        <w:adjustRightInd w:val="0"/>
        <w:snapToGrid w:val="0"/>
        <w:spacing w:line="360" w:lineRule="auto"/>
        <w:ind w:firstLine="540" w:firstLineChars="225"/>
        <w:rPr>
          <w:rFonts w:ascii="宋体" w:hAnsi="宋体"/>
          <w:bCs/>
          <w:sz w:val="24"/>
        </w:rPr>
      </w:pPr>
      <w:r>
        <w:rPr>
          <w:rFonts w:hint="eastAsia" w:ascii="宋体" w:hAnsi="宋体"/>
          <w:bCs/>
          <w:sz w:val="24"/>
        </w:rPr>
        <w:t>在不违反法律法规且对基金份额持有人利益无实质性不利影响的前提下，基金管理人经与基金托管人协商一致并履行适当程序后可酌情调整以上基金收益分配原则和支付方式，并于变更实施日前按照《信息披露办法》的规定在规定媒介上公告。</w:t>
      </w:r>
    </w:p>
    <w:p w14:paraId="65C4C56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（二）基金收益分配的时间和程序</w:t>
      </w:r>
    </w:p>
    <w:p w14:paraId="6898095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收益分配方案由基金管理人拟定，并由基金托管人复核，基金管理人依照《信息披露办法》的有关规定在规定媒介公告。基金收益分配方案公告后（依据具体方案的规定），基金管理人就支付的现金红利向基金托管人发送划款指令，基金托管人按照基金管理人的指令及时进行分红资金的划付。</w:t>
      </w:r>
    </w:p>
    <w:p w14:paraId="07D7479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收益分配时所发生的银行转账或其他手续费用由投资者自行承担。当投资者的现金红利小于一定金额，不足以支付银行转账或其他手续费用时，基金登记机构可将该基金份额持有人的现金红利转为相应类别的基金份额。红利再投资的计算方法，依照登记机构相关业务规则执行。</w:t>
      </w:r>
    </w:p>
    <w:p w14:paraId="79CF1B5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（三）实施侧袋机制期间的收益分配</w:t>
      </w:r>
    </w:p>
    <w:p w14:paraId="0008D80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本基金实施侧袋机制的，侧袋账户不进行收益分配，详见招募说明书的规定或相关公告。</w:t>
      </w:r>
    </w:p>
    <w:p w14:paraId="70DE3A4F">
      <w:pPr>
        <w:adjustRightInd w:val="0"/>
        <w:snapToGrid w:val="0"/>
        <w:spacing w:line="360" w:lineRule="auto"/>
        <w:rPr>
          <w:rFonts w:cs="Arial" w:asciiTheme="minorEastAsia" w:hAnsiTheme="minorEastAsia" w:eastAsiaTheme="minorEastAsia"/>
          <w:sz w:val="24"/>
        </w:rPr>
      </w:pPr>
    </w:p>
    <w:bookmarkEnd w:id="89"/>
    <w:bookmarkEnd w:id="90"/>
    <w:p w14:paraId="1F2395AE">
      <w:pPr>
        <w:pStyle w:val="3"/>
        <w:spacing w:line="360" w:lineRule="auto"/>
        <w:jc w:val="center"/>
        <w:rPr>
          <w:rFonts w:asciiTheme="minorEastAsia" w:hAnsiTheme="minorEastAsia" w:eastAsiaTheme="minorEastAsia"/>
          <w:sz w:val="30"/>
        </w:rPr>
      </w:pPr>
      <w:bookmarkStart w:id="91" w:name="_Toc124325894"/>
      <w:r>
        <w:rPr>
          <w:rFonts w:hint="eastAsia" w:asciiTheme="minorEastAsia" w:hAnsiTheme="minorEastAsia" w:eastAsiaTheme="minorEastAsia"/>
          <w:sz w:val="30"/>
        </w:rPr>
        <w:t>十、基金信息披露</w:t>
      </w:r>
      <w:bookmarkEnd w:id="91"/>
    </w:p>
    <w:p w14:paraId="60E4EB6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（一）保密义务</w:t>
      </w:r>
    </w:p>
    <w:p w14:paraId="50FB669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2DB9C9C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1.非因基金管理人和基金托管人的原因导致保密信息被披露、泄露或公开；</w:t>
      </w:r>
    </w:p>
    <w:p w14:paraId="0A8089E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2.基金管理人和基金托管人为遵守和服从法院判决或裁定、仲裁裁决或中国证监会等监管机构的命令、决定所做出的信息披露或公开；</w:t>
      </w:r>
    </w:p>
    <w:p w14:paraId="1427E4E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3.因审计、法律等外部专业顾问提供服务而向其提供的情况。</w:t>
      </w:r>
    </w:p>
    <w:p w14:paraId="0F2A036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（二）信息披露的内容</w:t>
      </w:r>
    </w:p>
    <w:p w14:paraId="6FCFBE6B">
      <w:pPr>
        <w:adjustRightInd w:val="0"/>
        <w:snapToGrid w:val="0"/>
        <w:spacing w:line="360" w:lineRule="auto"/>
        <w:ind w:firstLine="480" w:firstLineChars="200"/>
        <w:rPr>
          <w:rFonts w:ascii="Cambria" w:hAnsi="Cambria"/>
          <w:bCs/>
          <w:sz w:val="24"/>
        </w:rPr>
      </w:pPr>
      <w:r>
        <w:rPr>
          <w:rFonts w:hint="eastAsia" w:cs="Arial" w:asciiTheme="minorEastAsia" w:hAnsiTheme="minorEastAsia" w:eastAsiaTheme="minorEastAsia"/>
          <w:sz w:val="24"/>
        </w:rPr>
        <w:t>基金的信息披露内容主要包括基金招募说明书、《基金合同》、基金托管协议、基金产品资料概要、基金份额发售公告、《基金合同》生效公告、基金净值信息、基金份额申购、赎回价格、基金定期报告（包括基金年度报告、基金中期报告和基金季度报告）、临时报告、澄清公告、清算报告、基金份额持有人大会决议、投资国债期货/资产支持证券/港股通标的股票/公开募集证券投资基金相关公告、实施侧袋机制期间的信息披露以及中国证监会规定的其他信息，由基金管理人拟定并负责公布。</w:t>
      </w:r>
    </w:p>
    <w:p w14:paraId="7422796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基金年度报告中的财务会计报告需经符合《中华人民共和国证券法》规定的会计师事务所审计后，方可披露。</w:t>
      </w:r>
    </w:p>
    <w:p w14:paraId="4862535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（三）基金托管人和基金管理人在信息披露中的职责和信息披露程序</w:t>
      </w:r>
    </w:p>
    <w:p w14:paraId="5BBF6C7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1.职责</w:t>
      </w:r>
    </w:p>
    <w:p w14:paraId="19C80FB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基金管理人在信息披露时，应说明基金托管人所复核的数据和信息。对于托管人复核结果与管理人无法达成一致的，管理人应按照有关法律法规进行信息披露。</w:t>
      </w:r>
    </w:p>
    <w:p w14:paraId="7585B99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对于不需要基金托管人复核的信息，基金管理人在公告前应告知基金托管人。</w:t>
      </w:r>
    </w:p>
    <w:p w14:paraId="6E5A4EE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基金管理人和基金托管人应积极配合、互相监督，保证其履行按照法定方式和限时披露的义务。</w:t>
      </w:r>
    </w:p>
    <w:p w14:paraId="716C07A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基金管理人应当在中国证监会规定的时间内，将应予披露的基金信息通过规定媒介披露。根据法律法规应由基金托管人公开披露的信息，基金托管人将通过规定媒介公开披露。</w:t>
      </w:r>
    </w:p>
    <w:p w14:paraId="4AD4231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当出现下述情况时，基金管理人和基金托管人可暂停或延迟披露基金相关信息：</w:t>
      </w:r>
    </w:p>
    <w:p w14:paraId="2D7CF2F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w:t>
      </w:r>
      <w:r>
        <w:rPr>
          <w:rFonts w:hint="eastAsia" w:ascii="宋体" w:hAnsi="宋体" w:cs="Arial"/>
          <w:sz w:val="24"/>
        </w:rPr>
        <w:t>基金投资所涉及的证券/期货交易所或外汇市场遇法定节假日或因其他原因暂停营业时；</w:t>
      </w:r>
    </w:p>
    <w:p w14:paraId="3C25532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w:t>
      </w:r>
      <w:r>
        <w:rPr>
          <w:rFonts w:cs="Arial" w:asciiTheme="minorEastAsia" w:hAnsiTheme="minorEastAsia" w:eastAsiaTheme="minorEastAsia"/>
          <w:sz w:val="24"/>
        </w:rPr>
        <w:t>2)不可抗力</w:t>
      </w:r>
      <w:r>
        <w:rPr>
          <w:rFonts w:hint="eastAsia" w:cs="Arial" w:asciiTheme="minorEastAsia" w:hAnsiTheme="minorEastAsia" w:eastAsiaTheme="minorEastAsia"/>
          <w:sz w:val="24"/>
        </w:rPr>
        <w:t>；</w:t>
      </w:r>
    </w:p>
    <w:p w14:paraId="7583CE9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(3)发生暂停估值的情形；</w:t>
      </w:r>
    </w:p>
    <w:p w14:paraId="4AB8F81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(4)法律法规规定、中国证监会或基金合同认定的其他情形。</w:t>
      </w:r>
    </w:p>
    <w:p w14:paraId="24757CD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2.程序</w:t>
      </w:r>
    </w:p>
    <w:p w14:paraId="2BA6123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按有关规定须经基金托管人复核的信息披露文件，由基金管理人起草、并经基金托管人复核后由基金管理人公告。发生《基金合同》中规定需要披露的事项时，按《基金合同》规定公布。</w:t>
      </w:r>
    </w:p>
    <w:p w14:paraId="7DB5B18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3.信息文本的存放</w:t>
      </w:r>
    </w:p>
    <w:p w14:paraId="6650DD4D">
      <w:pPr>
        <w:adjustRightInd w:val="0"/>
        <w:snapToGrid w:val="0"/>
        <w:spacing w:line="360" w:lineRule="auto"/>
        <w:ind w:firstLine="480" w:firstLineChars="200"/>
        <w:rPr>
          <w:rFonts w:ascii="宋体" w:hAnsi="宋体" w:cs="Arial"/>
          <w:sz w:val="24"/>
        </w:rPr>
      </w:pPr>
      <w:r>
        <w:rPr>
          <w:rFonts w:hint="eastAsia" w:ascii="宋体" w:hAnsi="宋体" w:cs="Arial"/>
          <w:sz w:val="24"/>
        </w:rPr>
        <w:t>予以披露的信息文本，基金管理人、基金托管人应当按照相关法律法规规定将信息置备于各自住所，投资者可以免费查阅。在支付工本费后可在合理时间获得上述文件的复制件或复印件。基金管理人和基金托管人应保证文本的内容与所公告的内容完全一致。</w:t>
      </w:r>
    </w:p>
    <w:p w14:paraId="44CB9D5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（四）实施侧袋机制期间的信息披露</w:t>
      </w:r>
    </w:p>
    <w:p w14:paraId="690E9F1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本基金实施侧袋机制的，相关信息披露义务人应当根据法律法规、基金合同和招募说明书的规定进行信息披露，详见招募说明书的规定。</w:t>
      </w:r>
    </w:p>
    <w:p w14:paraId="3105552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（五）法律法规或监管部门对适用于本基金的信息披露另有规定的，从其规定。如规定发生变化的，从其最新规定。</w:t>
      </w:r>
    </w:p>
    <w:p w14:paraId="289E79D0">
      <w:pPr>
        <w:adjustRightInd w:val="0"/>
        <w:snapToGrid w:val="0"/>
        <w:spacing w:line="360" w:lineRule="auto"/>
        <w:ind w:firstLine="480" w:firstLineChars="200"/>
        <w:rPr>
          <w:rFonts w:cs="Arial" w:asciiTheme="minorEastAsia" w:hAnsiTheme="minorEastAsia" w:eastAsiaTheme="minorEastAsia"/>
          <w:sz w:val="24"/>
        </w:rPr>
      </w:pPr>
    </w:p>
    <w:p w14:paraId="2A068921">
      <w:pPr>
        <w:pStyle w:val="3"/>
        <w:spacing w:line="360" w:lineRule="auto"/>
        <w:jc w:val="center"/>
        <w:rPr>
          <w:rFonts w:asciiTheme="minorEastAsia" w:hAnsiTheme="minorEastAsia" w:eastAsiaTheme="minorEastAsia"/>
          <w:sz w:val="30"/>
        </w:rPr>
      </w:pPr>
      <w:bookmarkStart w:id="92" w:name="_Toc124325895"/>
      <w:r>
        <w:rPr>
          <w:rFonts w:hint="eastAsia" w:asciiTheme="minorEastAsia" w:hAnsiTheme="minorEastAsia" w:eastAsiaTheme="minorEastAsia"/>
          <w:sz w:val="30"/>
        </w:rPr>
        <w:t>十一、基金费用</w:t>
      </w:r>
      <w:bookmarkEnd w:id="92"/>
    </w:p>
    <w:p w14:paraId="5331D944">
      <w:pPr>
        <w:adjustRightInd w:val="0"/>
        <w:snapToGrid w:val="0"/>
        <w:spacing w:line="360" w:lineRule="auto"/>
        <w:ind w:firstLine="480" w:firstLineChars="200"/>
        <w:rPr>
          <w:rFonts w:cs="Arial" w:asciiTheme="minorEastAsia" w:hAnsiTheme="minorEastAsia" w:eastAsiaTheme="minorEastAsia"/>
          <w:sz w:val="24"/>
        </w:rPr>
      </w:pPr>
      <w:bookmarkStart w:id="93" w:name="OLE_LINK55"/>
      <w:r>
        <w:rPr>
          <w:rFonts w:hint="eastAsia" w:cs="Arial" w:asciiTheme="minorEastAsia" w:hAnsiTheme="minorEastAsia" w:eastAsiaTheme="minorEastAsia"/>
          <w:sz w:val="24"/>
        </w:rPr>
        <w:t>（一）基金管理费的计提比例和计提方法</w:t>
      </w:r>
    </w:p>
    <w:p w14:paraId="39A40C57">
      <w:pPr>
        <w:adjustRightInd w:val="0"/>
        <w:snapToGrid w:val="0"/>
        <w:spacing w:line="360" w:lineRule="auto"/>
        <w:ind w:firstLine="480" w:firstLineChars="200"/>
        <w:rPr>
          <w:rFonts w:cs="Arial" w:asciiTheme="minorEastAsia" w:hAnsiTheme="minorEastAsia" w:eastAsiaTheme="minorEastAsia"/>
          <w:sz w:val="24"/>
        </w:rPr>
      </w:pPr>
      <w:r>
        <w:rPr>
          <w:rFonts w:hint="eastAsia" w:ascii="宋体" w:hAnsi="宋体"/>
          <w:bCs/>
          <w:sz w:val="24"/>
        </w:rPr>
        <w:t>本基金的管理费按前一日基金资产净值扣除本基金管理人自身管理部分基金之后的基金资产净值的0.50%年费率计提，基金管理人对基金财产中持有自身管理的基金部分免收管理费。</w:t>
      </w:r>
      <w:r>
        <w:rPr>
          <w:rFonts w:ascii="宋体" w:hAnsi="宋体"/>
          <w:bCs/>
          <w:sz w:val="24"/>
        </w:rPr>
        <w:t>管理费的计算方法如下</w:t>
      </w:r>
      <w:r>
        <w:rPr>
          <w:rFonts w:hint="eastAsia" w:cs="Arial" w:asciiTheme="minorEastAsia" w:hAnsiTheme="minorEastAsia" w:eastAsiaTheme="minorEastAsia"/>
          <w:sz w:val="24"/>
        </w:rPr>
        <w:t>：</w:t>
      </w:r>
    </w:p>
    <w:p w14:paraId="7E02195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H＝E×</w:t>
      </w:r>
      <w:r>
        <w:rPr>
          <w:rFonts w:cs="Arial" w:asciiTheme="minorEastAsia" w:hAnsiTheme="minorEastAsia" w:eastAsiaTheme="minorEastAsia"/>
          <w:sz w:val="24"/>
        </w:rPr>
        <w:t>0.</w:t>
      </w:r>
      <w:r>
        <w:rPr>
          <w:rFonts w:hint="eastAsia" w:cs="Arial" w:asciiTheme="minorEastAsia" w:hAnsiTheme="minorEastAsia" w:eastAsiaTheme="minorEastAsia"/>
          <w:sz w:val="24"/>
        </w:rPr>
        <w:t>50%÷当年天数</w:t>
      </w:r>
    </w:p>
    <w:p w14:paraId="2B6739E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H为每日应计提的基金管理费</w:t>
      </w:r>
    </w:p>
    <w:p w14:paraId="0DA2BF87">
      <w:pPr>
        <w:adjustRightInd w:val="0"/>
        <w:snapToGrid w:val="0"/>
        <w:spacing w:line="360" w:lineRule="auto"/>
        <w:ind w:firstLine="480" w:firstLineChars="200"/>
        <w:rPr>
          <w:rFonts w:cs="Arial" w:asciiTheme="minorEastAsia" w:hAnsiTheme="minorEastAsia" w:eastAsiaTheme="minorEastAsia"/>
          <w:sz w:val="24"/>
        </w:rPr>
      </w:pPr>
      <w:r>
        <w:rPr>
          <w:rFonts w:ascii="宋体" w:hAnsi="宋体"/>
          <w:bCs/>
          <w:sz w:val="24"/>
        </w:rPr>
        <w:t>E为前一日的基金资产净值</w:t>
      </w:r>
      <w:r>
        <w:rPr>
          <w:rFonts w:hint="eastAsia"/>
          <w:bCs/>
          <w:sz w:val="24"/>
        </w:rPr>
        <w:t>扣除本基金管理人自身管理部分基金之后的基金资产净值</w:t>
      </w:r>
      <w:r>
        <w:rPr>
          <w:rFonts w:hint="eastAsia" w:cs="Arial" w:asciiTheme="minorEastAsia" w:hAnsiTheme="minorEastAsia" w:eastAsiaTheme="minorEastAsia"/>
          <w:sz w:val="24"/>
        </w:rPr>
        <w:t>。</w:t>
      </w:r>
    </w:p>
    <w:p w14:paraId="42A77EC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（二）基金托管费的计提比例和计提方法</w:t>
      </w:r>
    </w:p>
    <w:p w14:paraId="7F26FD8D">
      <w:pPr>
        <w:adjustRightInd w:val="0"/>
        <w:snapToGrid w:val="0"/>
        <w:spacing w:line="360" w:lineRule="auto"/>
        <w:ind w:firstLine="480" w:firstLineChars="200"/>
        <w:rPr>
          <w:rFonts w:cs="Arial" w:asciiTheme="minorEastAsia" w:hAnsiTheme="minorEastAsia" w:eastAsiaTheme="minorEastAsia"/>
          <w:sz w:val="24"/>
        </w:rPr>
      </w:pPr>
      <w:r>
        <w:rPr>
          <w:rFonts w:ascii="宋体" w:hAnsi="宋体"/>
          <w:bCs/>
          <w:sz w:val="24"/>
        </w:rPr>
        <w:t>本基金的托管费按前一日基金资产净值</w:t>
      </w:r>
      <w:r>
        <w:rPr>
          <w:rFonts w:hint="eastAsia"/>
          <w:bCs/>
          <w:sz w:val="24"/>
        </w:rPr>
        <w:t>扣除</w:t>
      </w:r>
      <w:r>
        <w:rPr>
          <w:bCs/>
          <w:sz w:val="24"/>
        </w:rPr>
        <w:t>本基金托管人自身托管部分基金之后的基金资产净值</w:t>
      </w:r>
      <w:r>
        <w:rPr>
          <w:rFonts w:ascii="宋体" w:hAnsi="宋体"/>
          <w:bCs/>
          <w:sz w:val="24"/>
        </w:rPr>
        <w:t>的</w:t>
      </w:r>
      <w:r>
        <w:rPr>
          <w:rFonts w:hint="eastAsia" w:ascii="宋体" w:hAnsi="宋体"/>
          <w:bCs/>
          <w:sz w:val="24"/>
        </w:rPr>
        <w:t>0</w:t>
      </w:r>
      <w:r>
        <w:rPr>
          <w:rFonts w:ascii="宋体" w:hAnsi="宋体"/>
          <w:bCs/>
          <w:sz w:val="24"/>
        </w:rPr>
        <w:t>.10%年费率计提</w:t>
      </w:r>
      <w:r>
        <w:rPr>
          <w:rFonts w:hint="eastAsia"/>
          <w:bCs/>
          <w:sz w:val="24"/>
        </w:rPr>
        <w:t>，基金托管人对基金财产中持有的自身托管的基金部分免收托管费</w:t>
      </w:r>
      <w:r>
        <w:rPr>
          <w:rFonts w:ascii="宋体" w:hAnsi="宋体"/>
          <w:bCs/>
          <w:sz w:val="24"/>
        </w:rPr>
        <w:t>。托管费的计算方法如下</w:t>
      </w:r>
      <w:r>
        <w:rPr>
          <w:rFonts w:hint="eastAsia" w:cs="Arial" w:asciiTheme="minorEastAsia" w:hAnsiTheme="minorEastAsia" w:eastAsiaTheme="minorEastAsia"/>
          <w:sz w:val="24"/>
        </w:rPr>
        <w:t>：</w:t>
      </w:r>
    </w:p>
    <w:p w14:paraId="242FFEB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H＝E×0</w:t>
      </w:r>
      <w:r>
        <w:rPr>
          <w:rFonts w:cs="Arial" w:asciiTheme="minorEastAsia" w:hAnsiTheme="minorEastAsia" w:eastAsiaTheme="minorEastAsia"/>
          <w:sz w:val="24"/>
        </w:rPr>
        <w:t>.</w:t>
      </w:r>
      <w:r>
        <w:rPr>
          <w:rFonts w:hint="eastAsia" w:cs="Arial" w:asciiTheme="minorEastAsia" w:hAnsiTheme="minorEastAsia" w:eastAsiaTheme="minorEastAsia"/>
          <w:sz w:val="24"/>
        </w:rPr>
        <w:t>10</w:t>
      </w:r>
      <w:r>
        <w:rPr>
          <w:rFonts w:cs="Arial" w:asciiTheme="minorEastAsia" w:hAnsiTheme="minorEastAsia" w:eastAsiaTheme="minorEastAsia"/>
          <w:sz w:val="24"/>
        </w:rPr>
        <w:t>%</w:t>
      </w:r>
      <w:r>
        <w:rPr>
          <w:rFonts w:hint="eastAsia" w:cs="Arial" w:asciiTheme="minorEastAsia" w:hAnsiTheme="minorEastAsia" w:eastAsiaTheme="minorEastAsia"/>
          <w:sz w:val="24"/>
        </w:rPr>
        <w:t>÷当年天数</w:t>
      </w:r>
    </w:p>
    <w:p w14:paraId="17449B9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H为每日应计提的基金托管费</w:t>
      </w:r>
    </w:p>
    <w:p w14:paraId="22B143D9">
      <w:pPr>
        <w:adjustRightInd w:val="0"/>
        <w:snapToGrid w:val="0"/>
        <w:spacing w:line="360" w:lineRule="auto"/>
        <w:ind w:firstLine="480" w:firstLineChars="200"/>
        <w:rPr>
          <w:rFonts w:cs="Arial" w:asciiTheme="minorEastAsia" w:hAnsiTheme="minorEastAsia" w:eastAsiaTheme="minorEastAsia"/>
          <w:sz w:val="24"/>
        </w:rPr>
      </w:pPr>
      <w:r>
        <w:rPr>
          <w:rFonts w:ascii="宋体" w:hAnsi="宋体"/>
          <w:bCs/>
          <w:sz w:val="24"/>
        </w:rPr>
        <w:t>E为前一日的基金资产净值</w:t>
      </w:r>
      <w:r>
        <w:rPr>
          <w:rFonts w:hint="eastAsia"/>
          <w:bCs/>
          <w:sz w:val="24"/>
        </w:rPr>
        <w:t>扣除本基金托管人自身托管部分基金之后的基金资产净值</w:t>
      </w:r>
      <w:r>
        <w:rPr>
          <w:rFonts w:hint="eastAsia" w:cs="Arial" w:asciiTheme="minorEastAsia" w:hAnsiTheme="minorEastAsia" w:eastAsiaTheme="minorEastAsia"/>
          <w:sz w:val="24"/>
        </w:rPr>
        <w:t>。</w:t>
      </w:r>
    </w:p>
    <w:p w14:paraId="72AF0A5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（三）销售服务费的计提比例和计提方法</w:t>
      </w:r>
    </w:p>
    <w:p w14:paraId="773DDEF7">
      <w:pPr>
        <w:adjustRightInd w:val="0"/>
        <w:snapToGrid w:val="0"/>
        <w:spacing w:line="360" w:lineRule="auto"/>
        <w:ind w:firstLine="480" w:firstLineChars="200"/>
        <w:rPr>
          <w:rFonts w:cs="Arial" w:asciiTheme="minorEastAsia" w:hAnsiTheme="minorEastAsia" w:eastAsiaTheme="minorEastAsia"/>
          <w:sz w:val="24"/>
        </w:rPr>
      </w:pPr>
      <w:r>
        <w:rPr>
          <w:rFonts w:hint="eastAsia" w:ascii="宋体" w:hAnsi="宋体"/>
          <w:bCs/>
          <w:sz w:val="24"/>
        </w:rPr>
        <w:t>本基金A类基金份额不收取销售服务费，C类基金份额的销售服务费按前一日C类基金份额资产净值的0</w:t>
      </w:r>
      <w:r>
        <w:rPr>
          <w:rFonts w:ascii="宋体" w:hAnsi="宋体"/>
          <w:bCs/>
          <w:sz w:val="24"/>
        </w:rPr>
        <w:t>.20</w:t>
      </w:r>
      <w:r>
        <w:rPr>
          <w:rFonts w:hint="eastAsia" w:ascii="宋体" w:hAnsi="宋体"/>
          <w:bCs/>
          <w:sz w:val="24"/>
        </w:rPr>
        <w:t>%年费率计提。计算方法如下</w:t>
      </w:r>
      <w:r>
        <w:rPr>
          <w:rFonts w:hint="eastAsia" w:cs="Arial" w:asciiTheme="minorEastAsia" w:hAnsiTheme="minorEastAsia" w:eastAsiaTheme="minorEastAsia"/>
          <w:sz w:val="24"/>
        </w:rPr>
        <w:t>：</w:t>
      </w:r>
    </w:p>
    <w:p w14:paraId="1FE0AA5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H＝E×0.20%÷当年天数</w:t>
      </w:r>
    </w:p>
    <w:p w14:paraId="07B4F0C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H为C类基金份额每日应计提的销售服务费</w:t>
      </w:r>
    </w:p>
    <w:p w14:paraId="0DB6267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E为C类基金份额前一日基金资产净值</w:t>
      </w:r>
    </w:p>
    <w:bookmarkEnd w:id="93"/>
    <w:p w14:paraId="683C2A8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（四）</w:t>
      </w:r>
      <w:r>
        <w:rPr>
          <w:rFonts w:hint="eastAsia" w:ascii="宋体" w:hAnsi="宋体" w:cs="Arial"/>
          <w:sz w:val="24"/>
        </w:rPr>
        <w:t>相关账户开户费用、证券、期货等标的的交易结算费用、开户和账户维护费、《基金合同》生效后的信息披露费用、基金份额持有人大会费用、《基金合同》生效后与基金有关的会计师费、</w:t>
      </w:r>
      <w:r>
        <w:rPr>
          <w:rFonts w:ascii="宋体" w:hAnsi="宋体" w:cs="Arial"/>
          <w:sz w:val="24"/>
        </w:rPr>
        <w:t>审计费、</w:t>
      </w:r>
      <w:r>
        <w:rPr>
          <w:rFonts w:hint="eastAsia" w:ascii="宋体" w:hAnsi="宋体" w:cs="Arial"/>
          <w:sz w:val="24"/>
        </w:rPr>
        <w:t>律师费、</w:t>
      </w:r>
      <w:r>
        <w:rPr>
          <w:rFonts w:hint="eastAsia" w:ascii="宋体" w:hAnsi="宋体" w:cs="Arial"/>
          <w:bCs/>
          <w:sz w:val="24"/>
        </w:rPr>
        <w:t>诉讼费、仲裁费、银行汇划费用、因投资港股通标的股票而产生的各项合理费用、基金投资其他基金产生的费用（但法律法规禁止从基金财产中列支的除外）</w:t>
      </w:r>
      <w:r>
        <w:rPr>
          <w:rFonts w:hint="eastAsia" w:ascii="宋体" w:hAnsi="宋体" w:cs="Arial"/>
          <w:sz w:val="24"/>
        </w:rPr>
        <w:t>等根据有关法律法规、《基金合同》及相应协议的规定，列入当期基金费用。</w:t>
      </w:r>
    </w:p>
    <w:p w14:paraId="66CCEB3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（五）不列入基金费用的项目</w:t>
      </w:r>
    </w:p>
    <w:p w14:paraId="415CFAD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合同》生效前的相关费用不得从基金财产中列支；基金管理人和基金托管人因未履行或未完全履行义务导致的费用支出或基金财产的损失；处理与基金运作无关的事项发生的费用以及其他根据相关法律法规及中国证监会的有关规定不得列入基金费用的项目。</w:t>
      </w:r>
    </w:p>
    <w:p w14:paraId="541C4C7C">
      <w:pPr>
        <w:adjustRightInd w:val="0"/>
        <w:snapToGrid w:val="0"/>
        <w:spacing w:line="360" w:lineRule="auto"/>
        <w:ind w:firstLine="480" w:firstLineChars="200"/>
        <w:rPr>
          <w:rFonts w:ascii="宋体" w:hAnsi="宋体"/>
          <w:bCs/>
          <w:sz w:val="24"/>
        </w:rPr>
      </w:pPr>
      <w:r>
        <w:rPr>
          <w:rFonts w:hint="eastAsia" w:ascii="宋体" w:hAnsi="宋体"/>
          <w:bCs/>
          <w:sz w:val="24"/>
        </w:rPr>
        <w:t>基金管理人运用基金财产申购自身管理的其他基金的（ETF除外），应通过直销渠道申购且不收取申购费、赎回费（按照相关法规、基金招募说明书约定应当收取、并计入基金财产的赎回费用除外）、销售服务费等销售费用。</w:t>
      </w:r>
    </w:p>
    <w:p w14:paraId="1A4ED0C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（六）基金管理费、基金托管费和销售服务费的复核程序、支付方式和时间</w:t>
      </w:r>
    </w:p>
    <w:p w14:paraId="773C143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1.复核程序</w:t>
      </w:r>
    </w:p>
    <w:p w14:paraId="6E6A27E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人对基金管理人计提的基金管理费、基金托管费等，根据本托管协议和《基金合同》的有关规定进行复核。因涉及相关数据，应付销售服务费的计算和复核工作由基金管理人完成，相关信息以登记机构计算结果为准，基金托管人不承担复核责任。</w:t>
      </w:r>
    </w:p>
    <w:p w14:paraId="605CB88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2.支付方式和时间</w:t>
      </w:r>
    </w:p>
    <w:p w14:paraId="3A6C8BD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费、基金托管费每日计提，逐日累计至每月月末，按月支付。由基金托管人根据与基金管理人核对一致的财务数据，自动在月初5个工作日内、按照指定的账户路径进行资金支付，基金管理人无需再出具资金划拨指令。若遇法定节假日、休息日或不可抗力等致使无法按时支付的，顺延至最近可支付日支付。费用自动扣划后，基金管理人应进行核对，如</w:t>
      </w:r>
      <w:r>
        <w:rPr>
          <w:rFonts w:hint="eastAsia" w:ascii="Cambria" w:hAnsi="Cambria"/>
          <w:bCs/>
          <w:sz w:val="24"/>
        </w:rPr>
        <w:t>发现数据不符，及时联系基金托管人协商解决。</w:t>
      </w:r>
    </w:p>
    <w:p w14:paraId="7361E32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销售服务费每日计提。</w:t>
      </w:r>
    </w:p>
    <w:p w14:paraId="0049AFC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（1）基金管理人</w:t>
      </w:r>
    </w:p>
    <w:p w14:paraId="0001FE1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通过基金管理人认购、申购C类基金份额的不收取销售服务费。对于投资者通过基金管理人认（申）购的C类基金份额计提的销售服务费，在投资者赎回基金份额或基金合同终止时，随赎回款（或清算款）一并返还给投资者。</w:t>
      </w:r>
    </w:p>
    <w:p w14:paraId="29648211">
      <w:pPr>
        <w:adjustRightInd w:val="0"/>
        <w:snapToGrid w:val="0"/>
        <w:spacing w:line="360" w:lineRule="auto"/>
        <w:ind w:firstLine="480" w:firstLineChars="200"/>
        <w:rPr>
          <w:rFonts w:cs="Arial" w:asciiTheme="minorEastAsia" w:hAnsiTheme="minorEastAsia" w:eastAsiaTheme="minorEastAsia"/>
          <w:sz w:val="24"/>
        </w:rPr>
      </w:pPr>
      <w:r>
        <w:rPr>
          <w:rFonts w:hint="eastAsia" w:ascii="宋体" w:hAnsi="宋体"/>
          <w:bCs/>
          <w:sz w:val="24"/>
        </w:rPr>
        <w:t>若遇法定节假日、休息日或不可抗力等致使无法按时支付的，顺延至最近可支付日支付。</w:t>
      </w:r>
    </w:p>
    <w:p w14:paraId="0915E4C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（2）非基金管理人的其他销售机构</w:t>
      </w:r>
    </w:p>
    <w:p w14:paraId="4E2DC8A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对于投资者持续持有期限未超过一年（即365天，下同）的C类基金份额计提的销售服务费，逐日累计至每月月末，按月支付。</w:t>
      </w:r>
      <w:r>
        <w:rPr>
          <w:rFonts w:hint="eastAsia" w:ascii="宋体" w:hAnsi="宋体"/>
          <w:sz w:val="24"/>
        </w:rPr>
        <w:t>自动在月初5个工作日内、按照指定的账户路径进行资金支付，基金管理人无需再出具资金划拨指令。费用自动扣划后，基金管理人应进行核对，如发现数据不符，及时联系基金托管人协商解决。</w:t>
      </w:r>
    </w:p>
    <w:p w14:paraId="7EF0A3E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对于投资者持续持有期限超过一年的C类基金份额继续计提的销售服务费，在投资者赎回基金份额或基金合同终止时，随赎回款（或清算款）一并返还给投资者。其中，持续持有期限为基金合同生效日（针对募集期内认购的基金份额）或该笔份额申购确认日、转入确认日与赎回确认日、转出确认日或基金合同终止情形发生日下一工作日的间隔天数。</w:t>
      </w:r>
    </w:p>
    <w:p w14:paraId="27346917">
      <w:pPr>
        <w:adjustRightInd w:val="0"/>
        <w:snapToGrid w:val="0"/>
        <w:spacing w:line="360" w:lineRule="auto"/>
        <w:ind w:firstLine="480" w:firstLineChars="200"/>
        <w:rPr>
          <w:rFonts w:cs="Arial" w:asciiTheme="minorEastAsia" w:hAnsiTheme="minorEastAsia" w:eastAsiaTheme="minorEastAsia"/>
          <w:sz w:val="24"/>
        </w:rPr>
      </w:pPr>
      <w:r>
        <w:rPr>
          <w:rFonts w:hint="eastAsia" w:ascii="宋体" w:hAnsi="宋体"/>
          <w:bCs/>
          <w:sz w:val="24"/>
        </w:rPr>
        <w:t>若遇法定节假日、休息日或不可抗力等致使无法按时支付的，顺延至最近可支付日支付。</w:t>
      </w:r>
    </w:p>
    <w:p w14:paraId="4D0DBBF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在基金份额赎回或基金合同终止的情形发生时，基金投资者实际收到的款项可能与按披露的基金份额净值计算的结果存在差异。投资者的实际赎回款（或清算款）以登记机构确认数据为准。</w:t>
      </w:r>
    </w:p>
    <w:p w14:paraId="4554851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在不违反法律法规、基金合同的约定的情况下，基金管理人可根据基金实际运作情况和市场环境变化，经履行适当程序后，对本基金的销售服务费的计提或收取方式进行调整。</w:t>
      </w:r>
    </w:p>
    <w:p w14:paraId="35F9CF6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在首期支付基金管理费、销售服务费前，基金管理人应向托管人出具正式函件指定基金管理费、销售服务费的收款账户。基金管理人如需要变更此等账户，应提前5个工作日向托管人出具书面的收款账户变更通知。</w:t>
      </w:r>
    </w:p>
    <w:p w14:paraId="3DC298B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（七）违规处理方式</w:t>
      </w:r>
    </w:p>
    <w:p w14:paraId="6E92252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托管人发现基金管理人违反《基金法》、《基金合同》、《运作办法》及其他有关规定从基金财产中列支费用时，基金托管人可要求基金管理人予以说明解释，如基金管理人无正当理由，基金托管人可拒绝支付。</w:t>
      </w:r>
    </w:p>
    <w:p w14:paraId="4AA3FDA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（八）实施侧袋机制期间的基金费用</w:t>
      </w:r>
    </w:p>
    <w:p w14:paraId="01B9BE5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本基金实施侧袋机制的，与侧袋账户有关的费用可以从侧袋账户中列支，但应待侧袋账户资产变现后方可列支，有关费用可酌情收取或减免，但不得收取基金管理费，详见招募说明书的规定或相关公告。</w:t>
      </w:r>
    </w:p>
    <w:p w14:paraId="77596838">
      <w:pPr>
        <w:adjustRightInd w:val="0"/>
        <w:snapToGrid w:val="0"/>
        <w:spacing w:line="360" w:lineRule="auto"/>
        <w:rPr>
          <w:rFonts w:cs="Arial" w:asciiTheme="minorEastAsia" w:hAnsiTheme="minorEastAsia" w:eastAsiaTheme="minorEastAsia"/>
          <w:sz w:val="24"/>
        </w:rPr>
      </w:pPr>
    </w:p>
    <w:p w14:paraId="528B812B">
      <w:pPr>
        <w:pStyle w:val="3"/>
        <w:spacing w:line="360" w:lineRule="auto"/>
        <w:jc w:val="center"/>
        <w:rPr>
          <w:rFonts w:asciiTheme="minorEastAsia" w:hAnsiTheme="minorEastAsia" w:eastAsiaTheme="minorEastAsia"/>
          <w:sz w:val="30"/>
        </w:rPr>
      </w:pPr>
      <w:bookmarkStart w:id="94" w:name="_Toc124325896"/>
      <w:r>
        <w:rPr>
          <w:rFonts w:hint="eastAsia" w:asciiTheme="minorEastAsia" w:hAnsiTheme="minorEastAsia" w:eastAsiaTheme="minorEastAsia"/>
          <w:sz w:val="30"/>
        </w:rPr>
        <w:t>十二、基金份额持有人名册的保管</w:t>
      </w:r>
      <w:bookmarkEnd w:id="94"/>
    </w:p>
    <w:p w14:paraId="2BB3B67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限按照法律法规的规定执行。如不能妥善保管，则按相关法规承担责任。</w:t>
      </w:r>
    </w:p>
    <w:p w14:paraId="66935F8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在基金托管人要求或编制中期报告和年度报告前，基金管理人应将有关资料送交基金托管人，不得无故拒绝或延误提供，并保证其真实性、准确性和完整性。</w:t>
      </w:r>
      <w:r>
        <w:rPr>
          <w:rFonts w:hint="eastAsia" w:asciiTheme="minorEastAsia" w:hAnsiTheme="minorEastAsia" w:eastAsiaTheme="minorEastAsia"/>
          <w:kern w:val="0"/>
          <w:sz w:val="24"/>
        </w:rPr>
        <w:t>基金托管人不得将所保管的基金份额持有人名册用于基金托管业务以外的其他用途，并应遵守保密义务，法律法规另有规定或有关机关另有要求的除外。</w:t>
      </w:r>
    </w:p>
    <w:p w14:paraId="6E8CB4D7">
      <w:pPr>
        <w:adjustRightInd w:val="0"/>
        <w:snapToGrid w:val="0"/>
        <w:spacing w:line="360" w:lineRule="auto"/>
        <w:rPr>
          <w:rFonts w:cs="Arial" w:asciiTheme="minorEastAsia" w:hAnsiTheme="minorEastAsia" w:eastAsiaTheme="minorEastAsia"/>
          <w:sz w:val="24"/>
        </w:rPr>
      </w:pPr>
    </w:p>
    <w:p w14:paraId="51860D96">
      <w:pPr>
        <w:pStyle w:val="3"/>
        <w:spacing w:line="360" w:lineRule="auto"/>
        <w:jc w:val="center"/>
        <w:rPr>
          <w:rFonts w:asciiTheme="minorEastAsia" w:hAnsiTheme="minorEastAsia" w:eastAsiaTheme="minorEastAsia"/>
          <w:sz w:val="30"/>
        </w:rPr>
      </w:pPr>
      <w:bookmarkStart w:id="95" w:name="_Toc124325897"/>
      <w:r>
        <w:rPr>
          <w:rFonts w:hint="eastAsia" w:asciiTheme="minorEastAsia" w:hAnsiTheme="minorEastAsia" w:eastAsiaTheme="minorEastAsia"/>
          <w:sz w:val="30"/>
        </w:rPr>
        <w:t>十三、基金有关文件档案的保存</w:t>
      </w:r>
      <w:bookmarkEnd w:id="95"/>
    </w:p>
    <w:p w14:paraId="325A491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（一）档案保存</w:t>
      </w:r>
    </w:p>
    <w:p w14:paraId="3E6BFFD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管理人应保存基金财产管理业务活动的记录、账册、报表和其他相关资料。基金托管人应保存基金托管业务活动的记录、账册、报表和其他相关资料。基金管理人和基金托管人都应当按法律法规规定的期限保管。</w:t>
      </w:r>
    </w:p>
    <w:p w14:paraId="73FD3C0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（二）合同档案的建立</w:t>
      </w:r>
    </w:p>
    <w:p w14:paraId="558A26A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1.基金管理人签署重大合同文本后，应及时将合同文本送达基金托管人处。</w:t>
      </w:r>
    </w:p>
    <w:p w14:paraId="3973F2B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2.基金管理人应及时将与本基金账务处理、资金划拨等有关的合同、协议发送给基金托管人。</w:t>
      </w:r>
    </w:p>
    <w:p w14:paraId="014622E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（三）变更与协助</w:t>
      </w:r>
    </w:p>
    <w:p w14:paraId="459D4EE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若基金管理人/基金托管人发生变更，未变更的一方有义务协助变更后的接任人接收相应文件。</w:t>
      </w:r>
    </w:p>
    <w:p w14:paraId="1563CBF4">
      <w:pPr>
        <w:adjustRightInd w:val="0"/>
        <w:snapToGrid w:val="0"/>
        <w:spacing w:line="360" w:lineRule="auto"/>
        <w:rPr>
          <w:rFonts w:asciiTheme="minorEastAsia" w:hAnsiTheme="minorEastAsia" w:eastAsiaTheme="minorEastAsia"/>
          <w:sz w:val="30"/>
          <w:szCs w:val="30"/>
        </w:rPr>
      </w:pPr>
    </w:p>
    <w:p w14:paraId="1E228A3B">
      <w:pPr>
        <w:pStyle w:val="3"/>
        <w:spacing w:line="360" w:lineRule="auto"/>
        <w:jc w:val="center"/>
        <w:rPr>
          <w:rFonts w:asciiTheme="minorEastAsia" w:hAnsiTheme="minorEastAsia" w:eastAsiaTheme="minorEastAsia"/>
          <w:sz w:val="30"/>
        </w:rPr>
      </w:pPr>
      <w:bookmarkStart w:id="96" w:name="_Toc124325898"/>
      <w:r>
        <w:rPr>
          <w:rFonts w:hint="eastAsia" w:asciiTheme="minorEastAsia" w:hAnsiTheme="minorEastAsia" w:eastAsiaTheme="minorEastAsia"/>
          <w:sz w:val="30"/>
        </w:rPr>
        <w:t>十四、基金管理人和基金托管人的更换</w:t>
      </w:r>
      <w:bookmarkEnd w:id="96"/>
    </w:p>
    <w:p w14:paraId="05CF67D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（一）基金管理人职责终止的情形</w:t>
      </w:r>
    </w:p>
    <w:p w14:paraId="23E8781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1.基金管理人职责终止的情形</w:t>
      </w:r>
    </w:p>
    <w:p w14:paraId="1C791D0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有下列情形之一的，基金管理人职责终止：</w:t>
      </w:r>
    </w:p>
    <w:p w14:paraId="3A42EEE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(1)被依法取消基金管理资格；</w:t>
      </w:r>
    </w:p>
    <w:p w14:paraId="5E94B52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(2)依法解散、被依法撤销或被依法宣告破产；</w:t>
      </w:r>
    </w:p>
    <w:p w14:paraId="4C787E6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(3)被基金份额持有人大会解任；</w:t>
      </w:r>
    </w:p>
    <w:p w14:paraId="35D6EF4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(4)法律法规及中国证监会规定的和《基金合同》约定的其他情形。</w:t>
      </w:r>
    </w:p>
    <w:p w14:paraId="08A5B7A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2.基金管理人的更换程序</w:t>
      </w:r>
    </w:p>
    <w:p w14:paraId="6462D10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更换基金管理人必须依照如下程序进行：</w:t>
      </w:r>
    </w:p>
    <w:p w14:paraId="02DBC49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(1)提名：新任基金管理人由基金托管人</w:t>
      </w:r>
      <w:r>
        <w:rPr>
          <w:rFonts w:hint="eastAsia" w:asciiTheme="minorEastAsia" w:hAnsiTheme="minorEastAsia" w:eastAsiaTheme="minorEastAsia"/>
          <w:sz w:val="24"/>
        </w:rPr>
        <w:t>或由单独或合计持有10%以上（含10%）基金份额的基金份额持有人</w:t>
      </w:r>
      <w:r>
        <w:rPr>
          <w:rFonts w:hint="eastAsia" w:cs="Arial" w:asciiTheme="minorEastAsia" w:hAnsiTheme="minorEastAsia" w:eastAsiaTheme="minorEastAsia"/>
          <w:sz w:val="24"/>
        </w:rPr>
        <w:t>提名；</w:t>
      </w:r>
    </w:p>
    <w:p w14:paraId="2FFEFFE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决议：基金份额持有人大会在基金管理人职责终止后6个月内对被提名的基金管理人形成决议，该决议需经参加大会的基金份额持有人所持表决权的三分之二以上（含三分之二）表决通过，决议自表决通过之日起生效；</w:t>
      </w:r>
    </w:p>
    <w:p w14:paraId="6740C76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(3)临时基金管理人：新任基金管理人产生之前，由中国证监会指定临时基金管理人；</w:t>
      </w:r>
    </w:p>
    <w:p w14:paraId="45F9E20C">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(4)备案：基金份额持有人大会更换基金管理人的决议须报中国证监会备案；</w:t>
      </w:r>
    </w:p>
    <w:p w14:paraId="35D8504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(5)公告：基金管理人更换后，由基金托管人在更换基金管理人的基金份额持有人大会决议生效后依照《信息披露办法》的有关规定在规定媒介公告；</w:t>
      </w:r>
    </w:p>
    <w:p w14:paraId="6392465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(6)交接：基金管理人职责终止的，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和净值；</w:t>
      </w:r>
    </w:p>
    <w:p w14:paraId="1225CAE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(7)审计：基金管理人职责终止的，应当按照法律法规规定聘请会计师事务所对基金财产进行审计，并将审计结果予以公告，同时报中国证监会备案；审计费用由基金资产承担；</w:t>
      </w:r>
    </w:p>
    <w:p w14:paraId="0B4593FE">
      <w:pPr>
        <w:adjustRightInd w:val="0"/>
        <w:snapToGrid w:val="0"/>
        <w:spacing w:line="360" w:lineRule="auto"/>
        <w:ind w:firstLine="480" w:firstLineChars="200"/>
        <w:rPr>
          <w:rFonts w:asciiTheme="minorEastAsia" w:hAnsiTheme="minorEastAsia" w:eastAsiaTheme="minorEastAsia"/>
          <w:sz w:val="30"/>
          <w:szCs w:val="30"/>
        </w:rPr>
      </w:pPr>
      <w:r>
        <w:rPr>
          <w:rFonts w:hint="eastAsia" w:cs="Arial" w:asciiTheme="minorEastAsia" w:hAnsiTheme="minorEastAsia" w:eastAsiaTheme="minorEastAsia"/>
          <w:sz w:val="24"/>
        </w:rPr>
        <w:t>(8)基金名称变更：基金管理人更换后，如果原任或新任基金管理人要求，应按其要求替换或删除基金名称中与原基金管理人有关的名称字样。</w:t>
      </w:r>
    </w:p>
    <w:p w14:paraId="4CD70D9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（二）基金托管人职责终止的情形</w:t>
      </w:r>
    </w:p>
    <w:p w14:paraId="24EABDD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1.基金托管人职责终止的情形</w:t>
      </w:r>
    </w:p>
    <w:p w14:paraId="03900FE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有下列情形之一的，基金托管人职责终止：</w:t>
      </w:r>
    </w:p>
    <w:p w14:paraId="6E59BF4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(1)被依法取消基金托管资格；</w:t>
      </w:r>
    </w:p>
    <w:p w14:paraId="1124185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(2)依法解散、被依法撤销或被依法宣告破产；</w:t>
      </w:r>
    </w:p>
    <w:p w14:paraId="6453349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(3)被基金份额持有人大会解任；</w:t>
      </w:r>
    </w:p>
    <w:p w14:paraId="7BAF4FB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(4)法律法规及中国证监会规定的和《基金合同》约定的其他情形。</w:t>
      </w:r>
    </w:p>
    <w:p w14:paraId="4C4870B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2.基金托管人的更换程序</w:t>
      </w:r>
    </w:p>
    <w:p w14:paraId="6436144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(1)提名：新任基金托管人由基金管理人</w:t>
      </w:r>
      <w:r>
        <w:rPr>
          <w:rFonts w:hint="eastAsia" w:asciiTheme="minorEastAsia" w:hAnsiTheme="minorEastAsia" w:eastAsiaTheme="minorEastAsia"/>
          <w:sz w:val="24"/>
        </w:rPr>
        <w:t>或由单独或合计持有10%以上（含10%)基金份额的基金份额持有人</w:t>
      </w:r>
      <w:r>
        <w:rPr>
          <w:rFonts w:hint="eastAsia" w:cs="Arial" w:asciiTheme="minorEastAsia" w:hAnsiTheme="minorEastAsia" w:eastAsiaTheme="minorEastAsia"/>
          <w:sz w:val="24"/>
        </w:rPr>
        <w:t>提名；</w:t>
      </w:r>
    </w:p>
    <w:p w14:paraId="335B582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决议：基金份额持有人大会在基金托管人职责终止后6个月内对被提名的基金托管人形成决议，该决议需经参加大会的基金份额持有人所持表决权的三分之二以上（含三分之二）表决通过，决议自表决通过之日起生效；</w:t>
      </w:r>
    </w:p>
    <w:p w14:paraId="6C4AE5E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(3)临时基金托管人：新任基金托管人产生之前，由中国证监会指定临时基金托管人；</w:t>
      </w:r>
    </w:p>
    <w:p w14:paraId="1D0AD8B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(4)备案：基金份额持有人大会更换基金托管人的决议须报中国证监会备案；</w:t>
      </w:r>
    </w:p>
    <w:p w14:paraId="1EE0CD9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(5)公告：基金托管人更换后，由基金管理人在更换基金托管人的基金份额持有人大会决议生效后依照《信息披露办法》的有关规定在规定媒介公告；</w:t>
      </w:r>
    </w:p>
    <w:p w14:paraId="6928BF3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(6)交接：基金托管人职责终止的，应当妥善保管基金财产和基金托管业务资料，及时办理基金财产和基金托管业务的移交手续，新任基金托管人或者临时基金托管人应当及时接收。新任基金托管人或临时基金托管人应与基金管理人核对基金资产总值和净值；</w:t>
      </w:r>
    </w:p>
    <w:p w14:paraId="784605C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(7)审计：基金托管人职责终止的，应当按照法律法规规定聘请会计师事务所对基金财产进行审计，并将审计结果予以公告，同时报中国证监会备案；审计费用由基金资产承担。</w:t>
      </w:r>
    </w:p>
    <w:p w14:paraId="349B694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（三）基金管理人与基金托管人同时更换的条件和程序</w:t>
      </w:r>
    </w:p>
    <w:p w14:paraId="685F7C5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1.提名：如果基金管理人和基金托管人同时更换，由单独或合计持有基金总份额10%以上（含10%）的基金份额持有人提名新任基金管理人和基金托管人；</w:t>
      </w:r>
    </w:p>
    <w:p w14:paraId="79A7AF9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2.基金管理人和基金托管人的更换分别按上述程序进行；</w:t>
      </w:r>
    </w:p>
    <w:p w14:paraId="56F8B90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3.公告：新任基金管理人和新任基金托管人应在更换基金管理人和基金托管人的基金份额持有人大会决议生效后依照《信息披露办法》的有关规定在规定媒介上联合公告。</w:t>
      </w:r>
    </w:p>
    <w:p w14:paraId="64CC164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四）新任或临时基金管理人接收基金管理业务或新任或临时基金托管人接收基金财产和基金托管业务前，原任基金管理人或原任基金托管人应依据法律法规和基金合同的规定继续履行相关职责，并保证不做出对基金份额持有人的利益造成损害的行为。原任基金管理人或原任基金托管人在继续履行相关职责期间，仍有权按照基金合同的规定收取基金管理费或基金托管费。</w:t>
      </w:r>
    </w:p>
    <w:p w14:paraId="21B1061E">
      <w:pPr>
        <w:adjustRightInd w:val="0"/>
        <w:snapToGrid w:val="0"/>
        <w:spacing w:line="360" w:lineRule="auto"/>
        <w:rPr>
          <w:rFonts w:cs="Arial" w:asciiTheme="minorEastAsia" w:hAnsiTheme="minorEastAsia" w:eastAsiaTheme="minorEastAsia"/>
          <w:sz w:val="24"/>
        </w:rPr>
      </w:pPr>
    </w:p>
    <w:p w14:paraId="59868847">
      <w:pPr>
        <w:pStyle w:val="3"/>
        <w:spacing w:line="360" w:lineRule="auto"/>
        <w:jc w:val="center"/>
        <w:rPr>
          <w:rFonts w:asciiTheme="minorEastAsia" w:hAnsiTheme="minorEastAsia" w:eastAsiaTheme="minorEastAsia"/>
          <w:sz w:val="30"/>
        </w:rPr>
      </w:pPr>
      <w:bookmarkStart w:id="97" w:name="_Toc124325899"/>
      <w:r>
        <w:rPr>
          <w:rFonts w:hint="eastAsia" w:asciiTheme="minorEastAsia" w:hAnsiTheme="minorEastAsia" w:eastAsiaTheme="minorEastAsia"/>
          <w:sz w:val="30"/>
        </w:rPr>
        <w:t>十五、禁止行为</w:t>
      </w:r>
      <w:bookmarkEnd w:id="97"/>
    </w:p>
    <w:p w14:paraId="7B0720B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本协议当事人禁止从事的行为，包括但不限于：</w:t>
      </w:r>
    </w:p>
    <w:p w14:paraId="45F4C0E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（一）基金管理人、基金托管人将其固有财产或者他人财产混同于基金财产从事证券投资。</w:t>
      </w:r>
    </w:p>
    <w:p w14:paraId="5DF7BCF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（二）基金管理人不公平地对待其管理的不同基金财产，基金托管人不公平地对待其托管的不同基金财产。</w:t>
      </w:r>
    </w:p>
    <w:p w14:paraId="1366484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（三）基金管理人、基金托管人利用基金财产或职务之便为基金份额持有人以外的人牟取利益。</w:t>
      </w:r>
    </w:p>
    <w:p w14:paraId="2B67F88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（四）基金管理人、基金托管人向基金份额持有人违规承诺收益或者承担损失。</w:t>
      </w:r>
    </w:p>
    <w:p w14:paraId="0F57705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（五）基金管理人、基金托管人对他人泄露基金运作和管理过程中任何尚未按法律法规规定的方式公开披露的信息。</w:t>
      </w:r>
    </w:p>
    <w:p w14:paraId="1039BC5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（六）基金管理人在没有充足资金的情况下向基金托管人发出投资指令和赎回、分红资金的划拨指令，或违规向基金托管人发出指令。</w:t>
      </w:r>
    </w:p>
    <w:p w14:paraId="5DE79AA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（七）基金管理人、基金托管人在行政上、财务上不独立，其董事、监事、高级管理人员和其他从业人员相互兼职。</w:t>
      </w:r>
    </w:p>
    <w:p w14:paraId="0FB1B84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（八）基金托管人私自动用或处分基金财产，根据基金管理人的合法指令、《基金合同》或托管协议的规定进行处分的除外。</w:t>
      </w:r>
    </w:p>
    <w:p w14:paraId="181A5BF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（九）</w:t>
      </w:r>
      <w:r>
        <w:rPr>
          <w:rFonts w:hint="eastAsia" w:ascii="宋体" w:hAnsi="宋体" w:cs="Arial"/>
          <w:sz w:val="24"/>
        </w:rPr>
        <w:t>基金财产用于下列投资或者活动：1.承销证券；2.违反规定向他人贷款或者提供担保；3.从事承担无限责任的投资；4.持有基金中基金、其他投资范围包含基金的非基金中基金；5.持有具有复杂、衍生品性质的基金份额，包括分级基金和中国证监会认定的其他基金份额；6.向其基金管理人、基金托管人出资；7.从事内幕交易、操纵证券交易价格及其他不正当的证券交易活动；8.法律、行政法规和中国证监会规定禁止的其他活动。</w:t>
      </w:r>
    </w:p>
    <w:p w14:paraId="0FE2F8B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（十）法律法规和《基金合同》禁止的其他行为，以及依照法律、行政法规有关规定，由中国证监会规定禁止基金管理人、基金托管人从事的其他行为。</w:t>
      </w:r>
    </w:p>
    <w:p w14:paraId="4039DD4F">
      <w:pPr>
        <w:adjustRightInd w:val="0"/>
        <w:snapToGrid w:val="0"/>
        <w:spacing w:line="360" w:lineRule="auto"/>
        <w:ind w:firstLine="480" w:firstLineChars="200"/>
        <w:rPr>
          <w:rFonts w:asciiTheme="minorEastAsia" w:hAnsiTheme="minorEastAsia" w:eastAsiaTheme="minorEastAsia"/>
          <w:sz w:val="30"/>
          <w:szCs w:val="30"/>
        </w:rPr>
      </w:pPr>
      <w:r>
        <w:rPr>
          <w:rFonts w:hint="eastAsia" w:cs="Arial" w:asciiTheme="minorEastAsia" w:hAnsiTheme="minorEastAsia" w:eastAsiaTheme="minorEastAsia"/>
          <w:sz w:val="24"/>
        </w:rPr>
        <w:t>（十一）法律、行政法规或监管部门取消或变更上述限制，如适用于本基金，基金管理人在履行适当程序后，则本基金投资不再受相关限制或按变更后的规定执行。</w:t>
      </w:r>
    </w:p>
    <w:p w14:paraId="6B4578ED">
      <w:pPr>
        <w:pStyle w:val="3"/>
        <w:spacing w:line="360" w:lineRule="auto"/>
        <w:jc w:val="center"/>
        <w:rPr>
          <w:rFonts w:asciiTheme="minorEastAsia" w:hAnsiTheme="minorEastAsia" w:eastAsiaTheme="minorEastAsia"/>
          <w:sz w:val="30"/>
        </w:rPr>
      </w:pPr>
      <w:bookmarkStart w:id="98" w:name="_Toc124325900"/>
      <w:r>
        <w:rPr>
          <w:rFonts w:hint="eastAsia" w:asciiTheme="minorEastAsia" w:hAnsiTheme="minorEastAsia" w:eastAsiaTheme="minorEastAsia"/>
          <w:sz w:val="30"/>
        </w:rPr>
        <w:t>十六、托管协议的变更、终止与基金财产的清算</w:t>
      </w:r>
      <w:bookmarkEnd w:id="98"/>
    </w:p>
    <w:p w14:paraId="2BE9375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（一）托管协议的变更程序</w:t>
      </w:r>
    </w:p>
    <w:p w14:paraId="2FB40B9D">
      <w:pPr>
        <w:adjustRightInd w:val="0"/>
        <w:snapToGrid w:val="0"/>
        <w:spacing w:line="360" w:lineRule="auto"/>
        <w:ind w:firstLine="480" w:firstLineChars="200"/>
        <w:rPr>
          <w:rFonts w:asciiTheme="minorEastAsia" w:hAnsiTheme="minorEastAsia" w:eastAsiaTheme="minorEastAsia"/>
          <w:sz w:val="30"/>
          <w:szCs w:val="30"/>
        </w:rPr>
      </w:pPr>
      <w:r>
        <w:rPr>
          <w:rFonts w:hint="eastAsia" w:cs="Arial" w:asciiTheme="minorEastAsia" w:hAnsiTheme="minorEastAsia" w:eastAsiaTheme="minorEastAsia"/>
          <w:sz w:val="24"/>
        </w:rPr>
        <w:t>本协议双方当事人经协商一致，可以对协议进行修改。修改后的新协议，其内容不得与《基金合同》的规定有任何冲突。</w:t>
      </w:r>
    </w:p>
    <w:p w14:paraId="10F793A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（二）托管协议终止的情形</w:t>
      </w:r>
    </w:p>
    <w:p w14:paraId="7E9CFB3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1.《基金合同》终止；</w:t>
      </w:r>
    </w:p>
    <w:p w14:paraId="5B59509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2.基金托管人解散、依法被撤销、破产或由其他基金托管人接管基金资产；</w:t>
      </w:r>
    </w:p>
    <w:p w14:paraId="3C4276C8">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3.基金管理人解散、依法被撤销、破产或由其他基金管理人接管基金管理权；</w:t>
      </w:r>
    </w:p>
    <w:p w14:paraId="1589436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4.发生法律法规或《基金合同》规定的终止事项。</w:t>
      </w:r>
    </w:p>
    <w:p w14:paraId="20CFC5D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（三）基金财产的清算</w:t>
      </w:r>
    </w:p>
    <w:p w14:paraId="5C82597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1.基金财产清算小组：基金合同终止事由出现后，基金管理人组织基金财产清算小组并在中国证监会的监督下进行基金清算。</w:t>
      </w:r>
    </w:p>
    <w:p w14:paraId="057458F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3E70713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3.基金财产清算小组职责：基金财产清算小组负责基金财产的保管、清理、估价、变现和分配。基金财产清算小组可以依法进行必要的民事活动。</w:t>
      </w:r>
    </w:p>
    <w:p w14:paraId="11ABFB71">
      <w:pPr>
        <w:tabs>
          <w:tab w:val="left" w:pos="7200"/>
        </w:tabs>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4.基金财产清算程序：</w:t>
      </w:r>
      <w:r>
        <w:rPr>
          <w:rFonts w:cs="Arial" w:asciiTheme="minorEastAsia" w:hAnsiTheme="minorEastAsia" w:eastAsiaTheme="minorEastAsia"/>
          <w:sz w:val="24"/>
        </w:rPr>
        <w:tab/>
      </w:r>
    </w:p>
    <w:p w14:paraId="52F2073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（1）基金合同终止情形出现时，由基金财产清算小组统一接管基金财产；</w:t>
      </w:r>
    </w:p>
    <w:p w14:paraId="0565E7B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（2）对基金财产和债权债务进行清理和确认；</w:t>
      </w:r>
    </w:p>
    <w:p w14:paraId="348F83B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（3）对基金财产进行估值和变现；</w:t>
      </w:r>
    </w:p>
    <w:p w14:paraId="0938909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（4）制作清算报告；</w:t>
      </w:r>
    </w:p>
    <w:p w14:paraId="09B9180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（5）聘请会计师事务所对清算报告进行外部审计，聘请律师事务所对清算报告出具法律意见书；</w:t>
      </w:r>
    </w:p>
    <w:p w14:paraId="7CE224B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（6）将清算报告报中国证监会备案并公告；</w:t>
      </w:r>
    </w:p>
    <w:p w14:paraId="68853E0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（7）对基金剩余财产进行分配。</w:t>
      </w:r>
    </w:p>
    <w:p w14:paraId="2A72B80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5.基金财产清算的期限为6个月，但因本基金所持证券、基金的流动性受到限制而不能及时变现的，清算期限相应顺延。</w:t>
      </w:r>
    </w:p>
    <w:p w14:paraId="24D90CC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6.清算费用</w:t>
      </w:r>
    </w:p>
    <w:p w14:paraId="2FB1AAC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清算费用是指基金财产清算小组在进行基金清算过程中发生的所有合理费用，清算费用由基金财产清算小组优先从基金剩余财产中支付。</w:t>
      </w:r>
    </w:p>
    <w:p w14:paraId="6428683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7.基金财产清算剩余资产的分配</w:t>
      </w:r>
    </w:p>
    <w:p w14:paraId="6A3F49B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依据基金财产清算的分配方案，将基金财产清算后的全部剩余资产扣除基金财产清算费用、交纳所欠税款并清偿基金债务后，按基金份额持有人持有的各类基金份额比例进行分配。</w:t>
      </w:r>
    </w:p>
    <w:p w14:paraId="63C9739D">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8.基金财产清算的公告</w:t>
      </w:r>
    </w:p>
    <w:p w14:paraId="08E36AA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清算过程中的有关重大事项须及时公告；基金财产清算报告经符合《中华人民共和国证券法》规定的会计师事务所审计，律师事务所出具法律意见书后，由基金财产清算小组报中国证监会备案并公告，基金财产清算小组应当将清算报告登载在规定网站上，并将清算报告提示性公告登载在规定报刊上。</w:t>
      </w:r>
    </w:p>
    <w:p w14:paraId="1276635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9.基金财产清算账册及文件的保存</w:t>
      </w:r>
    </w:p>
    <w:p w14:paraId="7054D56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基金财产清算账册及有关文件由基金托管人保存，保存期限按照法律法规的规定执行。</w:t>
      </w:r>
    </w:p>
    <w:p w14:paraId="1C9955CE">
      <w:pPr>
        <w:adjustRightInd w:val="0"/>
        <w:snapToGrid w:val="0"/>
        <w:spacing w:line="360" w:lineRule="auto"/>
        <w:rPr>
          <w:rFonts w:cs="Arial" w:asciiTheme="minorEastAsia" w:hAnsiTheme="minorEastAsia" w:eastAsiaTheme="minorEastAsia"/>
          <w:sz w:val="24"/>
        </w:rPr>
      </w:pPr>
    </w:p>
    <w:p w14:paraId="4A44DC8D">
      <w:pPr>
        <w:pStyle w:val="3"/>
        <w:spacing w:line="360" w:lineRule="auto"/>
        <w:jc w:val="center"/>
        <w:rPr>
          <w:rFonts w:asciiTheme="minorEastAsia" w:hAnsiTheme="minorEastAsia" w:eastAsiaTheme="minorEastAsia"/>
          <w:sz w:val="30"/>
        </w:rPr>
      </w:pPr>
      <w:bookmarkStart w:id="99" w:name="_Toc124325901"/>
      <w:r>
        <w:rPr>
          <w:rFonts w:hint="eastAsia" w:asciiTheme="minorEastAsia" w:hAnsiTheme="minorEastAsia" w:eastAsiaTheme="minorEastAsia"/>
          <w:sz w:val="30"/>
        </w:rPr>
        <w:t>十七、违约责任</w:t>
      </w:r>
      <w:bookmarkEnd w:id="99"/>
    </w:p>
    <w:p w14:paraId="1C963BC3">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（一）基金管理人、基金托管人不履行本协议或履行本协议不符合约定的，应当承担违约责任。</w:t>
      </w:r>
    </w:p>
    <w:p w14:paraId="75E7570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14:paraId="0340203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一方当事人违约，给另一方当事人造成损失的，应就直接损失进行赔偿；给基金财产造成损失的，应就直接损失进行赔偿，另一方当事人有权利及义务代表基金向违约方追偿。但是如发生下列情况，相应的当事人免责：</w:t>
      </w:r>
    </w:p>
    <w:p w14:paraId="372E86FE">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1.不可抗力；</w:t>
      </w:r>
    </w:p>
    <w:p w14:paraId="26858D5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2.基金管理人和/或基金托管人按照当时有效的法律法规或中国证监会等监管机构的规定作为或不作为而造成的损失等；</w:t>
      </w:r>
    </w:p>
    <w:p w14:paraId="49DCE9A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3.在没有过错的情况下，基金管理人由于按照《基金合同》规定的投资原则投资或不投资造成的损失等；</w:t>
      </w:r>
    </w:p>
    <w:p w14:paraId="6CDCE97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4</w:t>
      </w:r>
      <w:r>
        <w:rPr>
          <w:rFonts w:cs="Arial" w:asciiTheme="minorEastAsia" w:hAnsiTheme="minorEastAsia" w:eastAsiaTheme="minorEastAsia"/>
          <w:sz w:val="24"/>
        </w:rPr>
        <w:t>.</w:t>
      </w:r>
      <w:r>
        <w:rPr>
          <w:rFonts w:hint="eastAsia" w:cs="Arial" w:asciiTheme="minorEastAsia" w:hAnsiTheme="minorEastAsia" w:eastAsiaTheme="minorEastAsia"/>
          <w:sz w:val="24"/>
        </w:rPr>
        <w:t>非因基金管理人、基金托管人的故意或重大过失造成的计算机系统故障、网络故障、通讯故障、电力故障、计算机病毒攻击及其它意外事故所导致的损失等。</w:t>
      </w:r>
    </w:p>
    <w:p w14:paraId="014CA155">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137B39F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（五）违约行为虽已发生，但本托管协议能够继续履行的，在最大限度地保护基金份额持有人利益的前提下，基金管理人和基金托管人应当继续履行本协议。</w:t>
      </w:r>
    </w:p>
    <w:p w14:paraId="3E10A38F">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（六）由于基金管理人、基金托管人不可控制的因素导致业务出现差错，基金管理人和基金托管人虽然已经采取必要、适当、合理的措施进行检查，但是未能发现错误或未能避免错误发生</w:t>
      </w:r>
      <w:bookmarkStart w:id="100" w:name="_Hlk224310639"/>
      <w:r>
        <w:rPr>
          <w:rFonts w:hint="eastAsia" w:cs="Arial" w:asciiTheme="minorEastAsia" w:hAnsiTheme="minorEastAsia" w:eastAsiaTheme="minorEastAsia"/>
          <w:sz w:val="24"/>
        </w:rPr>
        <w:t>或因前述原因无法及时更正</w:t>
      </w:r>
      <w:bookmarkEnd w:id="100"/>
      <w:r>
        <w:rPr>
          <w:rFonts w:hint="eastAsia" w:cs="Arial" w:asciiTheme="minorEastAsia" w:hAnsiTheme="minorEastAsia" w:eastAsiaTheme="minorEastAsia"/>
          <w:sz w:val="24"/>
        </w:rPr>
        <w:t>的，由此造成基金财产或投资人损失，基金管理人和基金托管人免除赔偿责任。但是基金管理人和基金托管人应积极采取必要的措施减轻或消除由此造成的影响。</w:t>
      </w:r>
    </w:p>
    <w:p w14:paraId="0BF12A59">
      <w:pPr>
        <w:pStyle w:val="3"/>
        <w:spacing w:line="360" w:lineRule="auto"/>
        <w:jc w:val="center"/>
        <w:rPr>
          <w:rFonts w:asciiTheme="minorEastAsia" w:hAnsiTheme="minorEastAsia" w:eastAsiaTheme="minorEastAsia"/>
          <w:sz w:val="30"/>
        </w:rPr>
      </w:pPr>
      <w:bookmarkStart w:id="101" w:name="_Toc124325902"/>
      <w:r>
        <w:rPr>
          <w:rFonts w:hint="eastAsia" w:asciiTheme="minorEastAsia" w:hAnsiTheme="minorEastAsia" w:eastAsiaTheme="minorEastAsia"/>
          <w:sz w:val="30"/>
        </w:rPr>
        <w:t>十八、争议解决方式</w:t>
      </w:r>
      <w:bookmarkEnd w:id="101"/>
    </w:p>
    <w:p w14:paraId="4BD8CCE6">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因本协议产生或与之相关的争议，双方当事人应通过协商、调解解决，不愿或者不能通过协商、调解解决的，任何一方均应将争议提交中国国际经济贸易仲裁委员会，仲裁地点为北京市，按照中国国际经济贸易仲裁委员会届时有效的仲裁规则进行仲裁。仲裁裁决是终局的，对当事人均有约束力，仲裁费用由败诉方承担，除非仲裁裁决另有决定。</w:t>
      </w:r>
    </w:p>
    <w:p w14:paraId="73B3F071">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争议处理期间，双方当事人应恪守基金管理人和基金托管人职责，各自继续忠实、勤勉、尽责地履行《基金合同》和本托管协议规定的义务，维护基金份额持有人的合法权益。</w:t>
      </w:r>
    </w:p>
    <w:p w14:paraId="780E5A0A">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本协议受中国法律（为本托管协议之目的，不包括香港特别行政区、澳门特别行政区和台湾地区法律）管辖，并按其解释。</w:t>
      </w:r>
    </w:p>
    <w:p w14:paraId="7F203CEE">
      <w:pPr>
        <w:adjustRightInd w:val="0"/>
        <w:snapToGrid w:val="0"/>
        <w:spacing w:line="360" w:lineRule="auto"/>
        <w:rPr>
          <w:rFonts w:cs="Arial" w:asciiTheme="minorEastAsia" w:hAnsiTheme="minorEastAsia" w:eastAsiaTheme="minorEastAsia"/>
          <w:sz w:val="24"/>
        </w:rPr>
      </w:pPr>
    </w:p>
    <w:p w14:paraId="1DA0BA66">
      <w:pPr>
        <w:pStyle w:val="3"/>
        <w:spacing w:line="360" w:lineRule="auto"/>
        <w:jc w:val="center"/>
        <w:rPr>
          <w:rFonts w:asciiTheme="minorEastAsia" w:hAnsiTheme="minorEastAsia" w:eastAsiaTheme="minorEastAsia"/>
          <w:sz w:val="30"/>
        </w:rPr>
      </w:pPr>
      <w:bookmarkStart w:id="102" w:name="_Toc124325903"/>
      <w:r>
        <w:rPr>
          <w:rFonts w:hint="eastAsia" w:asciiTheme="minorEastAsia" w:hAnsiTheme="minorEastAsia" w:eastAsiaTheme="minorEastAsia"/>
          <w:sz w:val="30"/>
        </w:rPr>
        <w:t>十九、托管协议的效力</w:t>
      </w:r>
      <w:bookmarkEnd w:id="102"/>
    </w:p>
    <w:p w14:paraId="416920C2">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双方对托管协议的效力约定如下：</w:t>
      </w:r>
    </w:p>
    <w:p w14:paraId="744FDDF7">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一）基金管理人在向中国证监会申请募集注册基金份额时提交的托管协议草案，应经托管协议当事人双方盖章以及双方法定代表人或授权代表签字（或盖章），协议当事人双方根据中国证监会的意见修改托管协议草案。托管协议以中国证监会注册的文本为正式文本。</w:t>
      </w:r>
    </w:p>
    <w:p w14:paraId="0CE8B914">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（二）托管协议自《基金合同》成立之日起成立，自《基金合同》生效之日起生效。托管协议的有效期自其生效之日起至基金财产清算结果报中国证监会备案并公告之日止。</w:t>
      </w:r>
    </w:p>
    <w:p w14:paraId="711E373B">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（三）托管协议自生效之日起对托管协议当事人具有同等的法律约束力。</w:t>
      </w:r>
    </w:p>
    <w:p w14:paraId="3149EA48">
      <w:pPr>
        <w:adjustRightInd w:val="0"/>
        <w:snapToGrid w:val="0"/>
        <w:spacing w:line="360" w:lineRule="auto"/>
        <w:ind w:firstLine="480" w:firstLineChars="200"/>
        <w:rPr>
          <w:rFonts w:asciiTheme="minorEastAsia" w:hAnsiTheme="minorEastAsia" w:eastAsiaTheme="minorEastAsia"/>
          <w:sz w:val="30"/>
          <w:szCs w:val="30"/>
        </w:rPr>
      </w:pPr>
      <w:r>
        <w:rPr>
          <w:rFonts w:hint="eastAsia" w:cs="Arial" w:asciiTheme="minorEastAsia" w:hAnsiTheme="minorEastAsia" w:eastAsiaTheme="minorEastAsia"/>
          <w:sz w:val="24"/>
        </w:rPr>
        <w:t>（四）本协议一式三份，除上报有关监管机构一份外，基金管理人持有一份、基金托管人持有一份，每份具有同等的法律效力。</w:t>
      </w:r>
    </w:p>
    <w:p w14:paraId="11E2A24E">
      <w:pPr>
        <w:adjustRightInd w:val="0"/>
        <w:snapToGrid w:val="0"/>
        <w:spacing w:line="360" w:lineRule="auto"/>
        <w:rPr>
          <w:rFonts w:cs="Arial" w:asciiTheme="minorEastAsia" w:hAnsiTheme="minorEastAsia" w:eastAsiaTheme="minorEastAsia"/>
          <w:sz w:val="24"/>
        </w:rPr>
      </w:pPr>
    </w:p>
    <w:p w14:paraId="655F83CC">
      <w:pPr>
        <w:pStyle w:val="3"/>
        <w:spacing w:line="360" w:lineRule="auto"/>
        <w:jc w:val="center"/>
        <w:rPr>
          <w:rFonts w:asciiTheme="minorEastAsia" w:hAnsiTheme="minorEastAsia" w:eastAsiaTheme="minorEastAsia"/>
          <w:sz w:val="30"/>
        </w:rPr>
      </w:pPr>
      <w:bookmarkStart w:id="103" w:name="_Toc124325904"/>
      <w:r>
        <w:rPr>
          <w:rFonts w:hint="eastAsia" w:asciiTheme="minorEastAsia" w:hAnsiTheme="minorEastAsia" w:eastAsiaTheme="minorEastAsia"/>
          <w:sz w:val="30"/>
        </w:rPr>
        <w:t>二十、其他事项</w:t>
      </w:r>
      <w:bookmarkEnd w:id="103"/>
    </w:p>
    <w:p w14:paraId="71A6B770">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如发生有权司法机关依法冻结基金份额持有人的基金份额时，基金管理人应予以配合，承担司法协助义务。</w:t>
      </w:r>
    </w:p>
    <w:p w14:paraId="7321BEB9">
      <w:pPr>
        <w:adjustRightInd w:val="0"/>
        <w:snapToGrid w:val="0"/>
        <w:spacing w:line="36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除本协议有明确定义外，本协议的用语定义适用《基金合同》的约定。本协议未尽事宜，当事人依据《基金合同》、有关法律法规等规定协商办理。</w:t>
      </w:r>
    </w:p>
    <w:p w14:paraId="5D20C8C9">
      <w:pPr>
        <w:adjustRightInd w:val="0"/>
        <w:snapToGrid w:val="0"/>
        <w:spacing w:line="360" w:lineRule="auto"/>
        <w:rPr>
          <w:rFonts w:asciiTheme="minorEastAsia" w:hAnsiTheme="minorEastAsia" w:eastAsiaTheme="minorEastAsia"/>
          <w:b/>
          <w:bCs/>
        </w:rPr>
      </w:pPr>
    </w:p>
    <w:p w14:paraId="0A21A584">
      <w:pPr>
        <w:pStyle w:val="3"/>
        <w:spacing w:line="360" w:lineRule="auto"/>
        <w:jc w:val="center"/>
        <w:rPr>
          <w:rFonts w:asciiTheme="minorEastAsia" w:hAnsiTheme="minorEastAsia" w:eastAsiaTheme="minorEastAsia"/>
          <w:sz w:val="30"/>
        </w:rPr>
      </w:pPr>
      <w:bookmarkStart w:id="104" w:name="_Toc124325905"/>
      <w:r>
        <w:rPr>
          <w:rFonts w:hint="eastAsia" w:asciiTheme="minorEastAsia" w:hAnsiTheme="minorEastAsia" w:eastAsiaTheme="minorEastAsia"/>
          <w:sz w:val="30"/>
        </w:rPr>
        <w:t>二十一、托管协议的签订</w:t>
      </w:r>
      <w:bookmarkEnd w:id="104"/>
    </w:p>
    <w:p w14:paraId="4CB38D69">
      <w:pPr>
        <w:adjustRightInd w:val="0"/>
        <w:snapToGrid w:val="0"/>
        <w:spacing w:line="360" w:lineRule="auto"/>
        <w:ind w:firstLine="480" w:firstLineChars="200"/>
        <w:rPr>
          <w:rFonts w:asciiTheme="minorEastAsia" w:hAnsiTheme="minorEastAsia" w:eastAsiaTheme="minorEastAsia"/>
        </w:rPr>
      </w:pPr>
      <w:r>
        <w:rPr>
          <w:rFonts w:hint="eastAsia" w:cs="Arial" w:asciiTheme="minorEastAsia" w:hAnsiTheme="minorEastAsia" w:eastAsiaTheme="minorEastAsia"/>
          <w:sz w:val="24"/>
        </w:rPr>
        <w:t>本协议双方法定代表人或授权代表签章、签订地、签订日</w:t>
      </w:r>
    </w:p>
    <w:sectPr>
      <w:headerReference r:id="rId4" w:type="default"/>
      <w:footerReference r:id="rId5" w:type="default"/>
      <w:pgSz w:w="11906" w:h="16838"/>
      <w:pgMar w:top="1418" w:right="1701" w:bottom="1418" w:left="170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仿宋简体">
    <w:panose1 w:val="02000000000000000000"/>
    <w:charset w:val="86"/>
    <w:family w:val="auto"/>
    <w:pitch w:val="default"/>
    <w:sig w:usb0="A00002BF" w:usb1="184F6CFA" w:usb2="00000012" w:usb3="00000000" w:csb0="00040001"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0000000000000000000"/>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AB87D">
    <w:pPr>
      <w:pStyle w:val="14"/>
      <w:framePr w:wrap="around" w:vAnchor="text" w:hAnchor="margin" w:xAlign="center" w:y="1"/>
      <w:rPr>
        <w:rStyle w:val="28"/>
      </w:rPr>
    </w:pPr>
    <w:r>
      <w:rPr>
        <w:rStyle w:val="28"/>
      </w:rPr>
      <w:fldChar w:fldCharType="begin"/>
    </w:r>
    <w:r>
      <w:rPr>
        <w:rStyle w:val="28"/>
      </w:rPr>
      <w:instrText xml:space="preserve">PAGE  </w:instrText>
    </w:r>
    <w:r>
      <w:rPr>
        <w:rStyle w:val="28"/>
      </w:rPr>
      <w:fldChar w:fldCharType="end"/>
    </w:r>
  </w:p>
  <w:p w14:paraId="7C111C7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8867E">
    <w:pPr>
      <w:pStyle w:val="14"/>
      <w:tabs>
        <w:tab w:val="center" w:pos="4432"/>
        <w:tab w:val="left" w:pos="5312"/>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14146">
    <w:pPr>
      <w:pStyle w:val="15"/>
      <w:jc w:val="both"/>
    </w:pPr>
    <w:r>
      <w:rPr>
        <w:rFonts w:hint="eastAsia"/>
      </w:rPr>
      <w:t xml:space="preserve">银华汇泽债券型证券投资基金          </w:t>
    </w:r>
    <w:r>
      <w:t xml:space="preserve">             </w:t>
    </w:r>
    <w:r>
      <w:rPr>
        <w:rFonts w:hint="eastAsia"/>
      </w:rPr>
      <w:t xml:space="preserve">                             </w:t>
    </w:r>
    <w:r>
      <w:rPr>
        <w:rFonts w:hint="eastAsia"/>
        <w:lang w:val="en-US" w:eastAsia="zh-CN"/>
      </w:rPr>
      <w:t xml:space="preserve">       </w:t>
    </w:r>
    <w:r>
      <w:rPr>
        <w:rFonts w:hint="eastAsia"/>
      </w:rPr>
      <w:t xml:space="preserve"> 托管协议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4ZmU2ZmNjYzA3Y2VlZGIzMjE0ZmUwNTcyZDRjMzUifQ=="/>
  </w:docVars>
  <w:rsids>
    <w:rsidRoot w:val="00327FB7"/>
    <w:rsid w:val="00003A81"/>
    <w:rsid w:val="0000747C"/>
    <w:rsid w:val="00012F83"/>
    <w:rsid w:val="00013CF6"/>
    <w:rsid w:val="00017856"/>
    <w:rsid w:val="00020A38"/>
    <w:rsid w:val="00021EEB"/>
    <w:rsid w:val="00022E8F"/>
    <w:rsid w:val="0002765F"/>
    <w:rsid w:val="00031729"/>
    <w:rsid w:val="000318ED"/>
    <w:rsid w:val="00040F51"/>
    <w:rsid w:val="000417B0"/>
    <w:rsid w:val="00041A79"/>
    <w:rsid w:val="00043C52"/>
    <w:rsid w:val="000464AA"/>
    <w:rsid w:val="00051C0B"/>
    <w:rsid w:val="00052E10"/>
    <w:rsid w:val="00053AE9"/>
    <w:rsid w:val="000540E1"/>
    <w:rsid w:val="000551AD"/>
    <w:rsid w:val="00055748"/>
    <w:rsid w:val="00056844"/>
    <w:rsid w:val="00057877"/>
    <w:rsid w:val="00060CF4"/>
    <w:rsid w:val="000629C2"/>
    <w:rsid w:val="00064297"/>
    <w:rsid w:val="00071F3B"/>
    <w:rsid w:val="0007264A"/>
    <w:rsid w:val="00076B3A"/>
    <w:rsid w:val="0007715D"/>
    <w:rsid w:val="000822CA"/>
    <w:rsid w:val="000837FB"/>
    <w:rsid w:val="00086F15"/>
    <w:rsid w:val="00090D61"/>
    <w:rsid w:val="00090EC5"/>
    <w:rsid w:val="00091B76"/>
    <w:rsid w:val="00091E8F"/>
    <w:rsid w:val="000928F5"/>
    <w:rsid w:val="00093189"/>
    <w:rsid w:val="0009426C"/>
    <w:rsid w:val="00095C89"/>
    <w:rsid w:val="0009691D"/>
    <w:rsid w:val="000A19C3"/>
    <w:rsid w:val="000A329C"/>
    <w:rsid w:val="000A44A7"/>
    <w:rsid w:val="000A511B"/>
    <w:rsid w:val="000A7832"/>
    <w:rsid w:val="000B013A"/>
    <w:rsid w:val="000B109A"/>
    <w:rsid w:val="000B1CA1"/>
    <w:rsid w:val="000B4FBA"/>
    <w:rsid w:val="000B6357"/>
    <w:rsid w:val="000B6EE3"/>
    <w:rsid w:val="000C44BF"/>
    <w:rsid w:val="000C452F"/>
    <w:rsid w:val="000C47DE"/>
    <w:rsid w:val="000C5A7F"/>
    <w:rsid w:val="000D3920"/>
    <w:rsid w:val="000D6267"/>
    <w:rsid w:val="000E0C7F"/>
    <w:rsid w:val="000E2141"/>
    <w:rsid w:val="000E218B"/>
    <w:rsid w:val="000E39F0"/>
    <w:rsid w:val="000E4CC8"/>
    <w:rsid w:val="000E6F50"/>
    <w:rsid w:val="000E7F70"/>
    <w:rsid w:val="000F2D0A"/>
    <w:rsid w:val="000F3402"/>
    <w:rsid w:val="000F3485"/>
    <w:rsid w:val="000F4CB1"/>
    <w:rsid w:val="000F4DD3"/>
    <w:rsid w:val="000F5C18"/>
    <w:rsid w:val="0010036A"/>
    <w:rsid w:val="001003E7"/>
    <w:rsid w:val="0010505C"/>
    <w:rsid w:val="0010787B"/>
    <w:rsid w:val="00110CFC"/>
    <w:rsid w:val="00110F13"/>
    <w:rsid w:val="001110CE"/>
    <w:rsid w:val="00122A64"/>
    <w:rsid w:val="00124494"/>
    <w:rsid w:val="00125347"/>
    <w:rsid w:val="00126873"/>
    <w:rsid w:val="00127808"/>
    <w:rsid w:val="00130827"/>
    <w:rsid w:val="0013172A"/>
    <w:rsid w:val="00131A85"/>
    <w:rsid w:val="001354A2"/>
    <w:rsid w:val="001461B7"/>
    <w:rsid w:val="00152957"/>
    <w:rsid w:val="00154ACF"/>
    <w:rsid w:val="0016212C"/>
    <w:rsid w:val="0016474E"/>
    <w:rsid w:val="0018322C"/>
    <w:rsid w:val="00183BB0"/>
    <w:rsid w:val="00186376"/>
    <w:rsid w:val="00186A8F"/>
    <w:rsid w:val="001937B4"/>
    <w:rsid w:val="001938AB"/>
    <w:rsid w:val="00193B9E"/>
    <w:rsid w:val="00195533"/>
    <w:rsid w:val="00196FF2"/>
    <w:rsid w:val="00197589"/>
    <w:rsid w:val="001A1BBC"/>
    <w:rsid w:val="001A66C4"/>
    <w:rsid w:val="001A6C85"/>
    <w:rsid w:val="001B5C08"/>
    <w:rsid w:val="001B74E7"/>
    <w:rsid w:val="001C0649"/>
    <w:rsid w:val="001C0AD8"/>
    <w:rsid w:val="001C2279"/>
    <w:rsid w:val="001C24EE"/>
    <w:rsid w:val="001C2A01"/>
    <w:rsid w:val="001C3224"/>
    <w:rsid w:val="001C363C"/>
    <w:rsid w:val="001C5EFB"/>
    <w:rsid w:val="001D432D"/>
    <w:rsid w:val="001D6D7E"/>
    <w:rsid w:val="001D76DC"/>
    <w:rsid w:val="001E0EDA"/>
    <w:rsid w:val="001E1F3F"/>
    <w:rsid w:val="001E218D"/>
    <w:rsid w:val="001E2D6F"/>
    <w:rsid w:val="001E450D"/>
    <w:rsid w:val="001E5B63"/>
    <w:rsid w:val="001E6AA9"/>
    <w:rsid w:val="001E7118"/>
    <w:rsid w:val="001F0FB0"/>
    <w:rsid w:val="001F3072"/>
    <w:rsid w:val="001F36C8"/>
    <w:rsid w:val="001F58E8"/>
    <w:rsid w:val="001F74CE"/>
    <w:rsid w:val="00201F74"/>
    <w:rsid w:val="00202737"/>
    <w:rsid w:val="00205146"/>
    <w:rsid w:val="00207791"/>
    <w:rsid w:val="00213A21"/>
    <w:rsid w:val="0021699B"/>
    <w:rsid w:val="00217411"/>
    <w:rsid w:val="002203BB"/>
    <w:rsid w:val="002215EB"/>
    <w:rsid w:val="00224976"/>
    <w:rsid w:val="0022542E"/>
    <w:rsid w:val="00230584"/>
    <w:rsid w:val="00230B71"/>
    <w:rsid w:val="00231393"/>
    <w:rsid w:val="00231744"/>
    <w:rsid w:val="00232123"/>
    <w:rsid w:val="0023312E"/>
    <w:rsid w:val="00233F4C"/>
    <w:rsid w:val="00234ECE"/>
    <w:rsid w:val="002352E6"/>
    <w:rsid w:val="00235D18"/>
    <w:rsid w:val="002362B8"/>
    <w:rsid w:val="00236C4F"/>
    <w:rsid w:val="002372AE"/>
    <w:rsid w:val="002415E4"/>
    <w:rsid w:val="00241932"/>
    <w:rsid w:val="002446ED"/>
    <w:rsid w:val="00250AD0"/>
    <w:rsid w:val="00252A83"/>
    <w:rsid w:val="00254E30"/>
    <w:rsid w:val="00255ECD"/>
    <w:rsid w:val="00261F14"/>
    <w:rsid w:val="002654C9"/>
    <w:rsid w:val="002666C2"/>
    <w:rsid w:val="00266C2C"/>
    <w:rsid w:val="00267826"/>
    <w:rsid w:val="00271D49"/>
    <w:rsid w:val="00274331"/>
    <w:rsid w:val="00275CE6"/>
    <w:rsid w:val="002773D7"/>
    <w:rsid w:val="00277C9E"/>
    <w:rsid w:val="00280D6E"/>
    <w:rsid w:val="00280ED5"/>
    <w:rsid w:val="0028261D"/>
    <w:rsid w:val="00283132"/>
    <w:rsid w:val="002838DE"/>
    <w:rsid w:val="00284843"/>
    <w:rsid w:val="00287696"/>
    <w:rsid w:val="002912F1"/>
    <w:rsid w:val="00291889"/>
    <w:rsid w:val="00293C21"/>
    <w:rsid w:val="00294BC8"/>
    <w:rsid w:val="00297649"/>
    <w:rsid w:val="002A1FC8"/>
    <w:rsid w:val="002A2992"/>
    <w:rsid w:val="002A2F34"/>
    <w:rsid w:val="002B04B1"/>
    <w:rsid w:val="002B1EEC"/>
    <w:rsid w:val="002B3179"/>
    <w:rsid w:val="002B5397"/>
    <w:rsid w:val="002B5F49"/>
    <w:rsid w:val="002B68FC"/>
    <w:rsid w:val="002C045B"/>
    <w:rsid w:val="002C2355"/>
    <w:rsid w:val="002C5301"/>
    <w:rsid w:val="002C677E"/>
    <w:rsid w:val="002D7323"/>
    <w:rsid w:val="002D7AA0"/>
    <w:rsid w:val="002E08A2"/>
    <w:rsid w:val="002E199C"/>
    <w:rsid w:val="002E236C"/>
    <w:rsid w:val="002E2CD4"/>
    <w:rsid w:val="002E79D5"/>
    <w:rsid w:val="002E7E0F"/>
    <w:rsid w:val="002F0CAD"/>
    <w:rsid w:val="002F0F7C"/>
    <w:rsid w:val="002F2AEE"/>
    <w:rsid w:val="002F3367"/>
    <w:rsid w:val="002F57A2"/>
    <w:rsid w:val="002F7739"/>
    <w:rsid w:val="0030192F"/>
    <w:rsid w:val="0030471C"/>
    <w:rsid w:val="00306FE9"/>
    <w:rsid w:val="00307E95"/>
    <w:rsid w:val="003115F3"/>
    <w:rsid w:val="003117A4"/>
    <w:rsid w:val="00311988"/>
    <w:rsid w:val="00314667"/>
    <w:rsid w:val="00314CF7"/>
    <w:rsid w:val="00315F25"/>
    <w:rsid w:val="00316A33"/>
    <w:rsid w:val="003202A2"/>
    <w:rsid w:val="00320A94"/>
    <w:rsid w:val="00322B16"/>
    <w:rsid w:val="003250A7"/>
    <w:rsid w:val="003268D2"/>
    <w:rsid w:val="00326F10"/>
    <w:rsid w:val="00327615"/>
    <w:rsid w:val="00327FB7"/>
    <w:rsid w:val="00330885"/>
    <w:rsid w:val="0033147C"/>
    <w:rsid w:val="003353DC"/>
    <w:rsid w:val="0033602B"/>
    <w:rsid w:val="003364F1"/>
    <w:rsid w:val="0033650B"/>
    <w:rsid w:val="003373DF"/>
    <w:rsid w:val="00337F56"/>
    <w:rsid w:val="00340811"/>
    <w:rsid w:val="003475C5"/>
    <w:rsid w:val="0035353D"/>
    <w:rsid w:val="0035565D"/>
    <w:rsid w:val="0035728F"/>
    <w:rsid w:val="00361379"/>
    <w:rsid w:val="003618AF"/>
    <w:rsid w:val="00362242"/>
    <w:rsid w:val="003622EB"/>
    <w:rsid w:val="00362CF1"/>
    <w:rsid w:val="00363608"/>
    <w:rsid w:val="00364305"/>
    <w:rsid w:val="003647AC"/>
    <w:rsid w:val="00372946"/>
    <w:rsid w:val="00380E7F"/>
    <w:rsid w:val="0038144F"/>
    <w:rsid w:val="0038257C"/>
    <w:rsid w:val="00383188"/>
    <w:rsid w:val="00385AEF"/>
    <w:rsid w:val="00393D2D"/>
    <w:rsid w:val="0039468D"/>
    <w:rsid w:val="003A0065"/>
    <w:rsid w:val="003A1DC6"/>
    <w:rsid w:val="003A40AA"/>
    <w:rsid w:val="003A5D4E"/>
    <w:rsid w:val="003A76C1"/>
    <w:rsid w:val="003A7751"/>
    <w:rsid w:val="003B0E14"/>
    <w:rsid w:val="003B4859"/>
    <w:rsid w:val="003B58E0"/>
    <w:rsid w:val="003B7088"/>
    <w:rsid w:val="003B7F36"/>
    <w:rsid w:val="003C18DD"/>
    <w:rsid w:val="003C53A3"/>
    <w:rsid w:val="003C5739"/>
    <w:rsid w:val="003C5AB8"/>
    <w:rsid w:val="003C72D4"/>
    <w:rsid w:val="003D533A"/>
    <w:rsid w:val="003E7576"/>
    <w:rsid w:val="003F08D9"/>
    <w:rsid w:val="003F10C9"/>
    <w:rsid w:val="003F21AC"/>
    <w:rsid w:val="003F4C3B"/>
    <w:rsid w:val="003F4FC1"/>
    <w:rsid w:val="003F5517"/>
    <w:rsid w:val="004001FF"/>
    <w:rsid w:val="00404BB7"/>
    <w:rsid w:val="00405AE5"/>
    <w:rsid w:val="004076A3"/>
    <w:rsid w:val="004107E9"/>
    <w:rsid w:val="0041577E"/>
    <w:rsid w:val="0041647C"/>
    <w:rsid w:val="00423205"/>
    <w:rsid w:val="00431DDA"/>
    <w:rsid w:val="0043389F"/>
    <w:rsid w:val="00434566"/>
    <w:rsid w:val="00435097"/>
    <w:rsid w:val="004377CA"/>
    <w:rsid w:val="00441239"/>
    <w:rsid w:val="00442D02"/>
    <w:rsid w:val="0044618E"/>
    <w:rsid w:val="00446AC3"/>
    <w:rsid w:val="004478A4"/>
    <w:rsid w:val="004517C7"/>
    <w:rsid w:val="00452C28"/>
    <w:rsid w:val="0045390F"/>
    <w:rsid w:val="00453B82"/>
    <w:rsid w:val="00454525"/>
    <w:rsid w:val="00456CC7"/>
    <w:rsid w:val="00457D58"/>
    <w:rsid w:val="00460725"/>
    <w:rsid w:val="004624B7"/>
    <w:rsid w:val="00462FAB"/>
    <w:rsid w:val="00466212"/>
    <w:rsid w:val="00470244"/>
    <w:rsid w:val="00470627"/>
    <w:rsid w:val="0047166D"/>
    <w:rsid w:val="00472B0E"/>
    <w:rsid w:val="004740CC"/>
    <w:rsid w:val="00474826"/>
    <w:rsid w:val="00474DB2"/>
    <w:rsid w:val="00477154"/>
    <w:rsid w:val="00477E75"/>
    <w:rsid w:val="00477FC9"/>
    <w:rsid w:val="004828F4"/>
    <w:rsid w:val="00483744"/>
    <w:rsid w:val="00486873"/>
    <w:rsid w:val="00486B47"/>
    <w:rsid w:val="00487AA9"/>
    <w:rsid w:val="00493030"/>
    <w:rsid w:val="00493489"/>
    <w:rsid w:val="00495254"/>
    <w:rsid w:val="00495B03"/>
    <w:rsid w:val="0049609C"/>
    <w:rsid w:val="00497F26"/>
    <w:rsid w:val="004A15D0"/>
    <w:rsid w:val="004A239E"/>
    <w:rsid w:val="004A2FCE"/>
    <w:rsid w:val="004A3660"/>
    <w:rsid w:val="004A53C3"/>
    <w:rsid w:val="004A62FC"/>
    <w:rsid w:val="004A654B"/>
    <w:rsid w:val="004B3EE7"/>
    <w:rsid w:val="004B4C9D"/>
    <w:rsid w:val="004C11F9"/>
    <w:rsid w:val="004C2294"/>
    <w:rsid w:val="004C312A"/>
    <w:rsid w:val="004C35D3"/>
    <w:rsid w:val="004C3AEA"/>
    <w:rsid w:val="004C4DBC"/>
    <w:rsid w:val="004D19AA"/>
    <w:rsid w:val="004D4552"/>
    <w:rsid w:val="004D5E0A"/>
    <w:rsid w:val="004D5F0D"/>
    <w:rsid w:val="004D6864"/>
    <w:rsid w:val="004E07C8"/>
    <w:rsid w:val="004E22E6"/>
    <w:rsid w:val="004E71C6"/>
    <w:rsid w:val="004E7F46"/>
    <w:rsid w:val="004F0282"/>
    <w:rsid w:val="004F0E38"/>
    <w:rsid w:val="004F0EF1"/>
    <w:rsid w:val="004F323D"/>
    <w:rsid w:val="004F32E0"/>
    <w:rsid w:val="004F786C"/>
    <w:rsid w:val="00502288"/>
    <w:rsid w:val="005025B8"/>
    <w:rsid w:val="00503A1D"/>
    <w:rsid w:val="00507C5C"/>
    <w:rsid w:val="0051171B"/>
    <w:rsid w:val="005122FD"/>
    <w:rsid w:val="00514CCD"/>
    <w:rsid w:val="005160DE"/>
    <w:rsid w:val="00517806"/>
    <w:rsid w:val="00517F42"/>
    <w:rsid w:val="00520989"/>
    <w:rsid w:val="005261F9"/>
    <w:rsid w:val="00526C41"/>
    <w:rsid w:val="00527CF4"/>
    <w:rsid w:val="00530A55"/>
    <w:rsid w:val="00531804"/>
    <w:rsid w:val="00531FB3"/>
    <w:rsid w:val="0053489C"/>
    <w:rsid w:val="0053630C"/>
    <w:rsid w:val="0053647D"/>
    <w:rsid w:val="005406D2"/>
    <w:rsid w:val="00542302"/>
    <w:rsid w:val="005441A1"/>
    <w:rsid w:val="005442E4"/>
    <w:rsid w:val="00544E9A"/>
    <w:rsid w:val="00546107"/>
    <w:rsid w:val="005478D0"/>
    <w:rsid w:val="00553032"/>
    <w:rsid w:val="005530D7"/>
    <w:rsid w:val="00554151"/>
    <w:rsid w:val="00554D7F"/>
    <w:rsid w:val="005554A8"/>
    <w:rsid w:val="005566C2"/>
    <w:rsid w:val="00556A93"/>
    <w:rsid w:val="0056317D"/>
    <w:rsid w:val="00563213"/>
    <w:rsid w:val="005673F8"/>
    <w:rsid w:val="00567A91"/>
    <w:rsid w:val="00567F6C"/>
    <w:rsid w:val="00575D78"/>
    <w:rsid w:val="005803CA"/>
    <w:rsid w:val="00583FD3"/>
    <w:rsid w:val="005854CD"/>
    <w:rsid w:val="00591026"/>
    <w:rsid w:val="00596153"/>
    <w:rsid w:val="005A25A1"/>
    <w:rsid w:val="005A3ACF"/>
    <w:rsid w:val="005A41CD"/>
    <w:rsid w:val="005A61E5"/>
    <w:rsid w:val="005A64AC"/>
    <w:rsid w:val="005B0ED3"/>
    <w:rsid w:val="005B1DD4"/>
    <w:rsid w:val="005B3C8C"/>
    <w:rsid w:val="005C0276"/>
    <w:rsid w:val="005C0622"/>
    <w:rsid w:val="005C1F6B"/>
    <w:rsid w:val="005C2ADA"/>
    <w:rsid w:val="005C3982"/>
    <w:rsid w:val="005C6C1D"/>
    <w:rsid w:val="005D2FD4"/>
    <w:rsid w:val="005D6C70"/>
    <w:rsid w:val="005D71FB"/>
    <w:rsid w:val="005D72E0"/>
    <w:rsid w:val="005D79A7"/>
    <w:rsid w:val="005E17F5"/>
    <w:rsid w:val="005E1B95"/>
    <w:rsid w:val="005E3434"/>
    <w:rsid w:val="005E434C"/>
    <w:rsid w:val="005E45D6"/>
    <w:rsid w:val="005E4A43"/>
    <w:rsid w:val="005E7187"/>
    <w:rsid w:val="005F0C5D"/>
    <w:rsid w:val="005F0D99"/>
    <w:rsid w:val="005F34D8"/>
    <w:rsid w:val="005F5E72"/>
    <w:rsid w:val="005F6CD9"/>
    <w:rsid w:val="00602774"/>
    <w:rsid w:val="006027A1"/>
    <w:rsid w:val="00604672"/>
    <w:rsid w:val="00611A7B"/>
    <w:rsid w:val="0061225E"/>
    <w:rsid w:val="00612CDC"/>
    <w:rsid w:val="006148A2"/>
    <w:rsid w:val="00614E76"/>
    <w:rsid w:val="00620FD8"/>
    <w:rsid w:val="00621158"/>
    <w:rsid w:val="00621AB7"/>
    <w:rsid w:val="00624DA3"/>
    <w:rsid w:val="0062728C"/>
    <w:rsid w:val="0063042C"/>
    <w:rsid w:val="00631D59"/>
    <w:rsid w:val="00632FC3"/>
    <w:rsid w:val="00633742"/>
    <w:rsid w:val="006342E8"/>
    <w:rsid w:val="00634CB7"/>
    <w:rsid w:val="00635D84"/>
    <w:rsid w:val="006375A6"/>
    <w:rsid w:val="006409FE"/>
    <w:rsid w:val="00644C48"/>
    <w:rsid w:val="00650CF9"/>
    <w:rsid w:val="006523B3"/>
    <w:rsid w:val="00652788"/>
    <w:rsid w:val="0065386D"/>
    <w:rsid w:val="00654117"/>
    <w:rsid w:val="00660FDB"/>
    <w:rsid w:val="00663E36"/>
    <w:rsid w:val="00664D91"/>
    <w:rsid w:val="00670B21"/>
    <w:rsid w:val="006713AC"/>
    <w:rsid w:val="00672020"/>
    <w:rsid w:val="00672B2F"/>
    <w:rsid w:val="00673E55"/>
    <w:rsid w:val="00680320"/>
    <w:rsid w:val="00680559"/>
    <w:rsid w:val="00681553"/>
    <w:rsid w:val="00681C79"/>
    <w:rsid w:val="00682387"/>
    <w:rsid w:val="00683CF4"/>
    <w:rsid w:val="00683D14"/>
    <w:rsid w:val="0068472C"/>
    <w:rsid w:val="00685016"/>
    <w:rsid w:val="0068583C"/>
    <w:rsid w:val="00686084"/>
    <w:rsid w:val="00687C20"/>
    <w:rsid w:val="006921E2"/>
    <w:rsid w:val="006935EB"/>
    <w:rsid w:val="006A25E2"/>
    <w:rsid w:val="006B2CC2"/>
    <w:rsid w:val="006B2ECC"/>
    <w:rsid w:val="006B396C"/>
    <w:rsid w:val="006B396D"/>
    <w:rsid w:val="006B431A"/>
    <w:rsid w:val="006B5BA5"/>
    <w:rsid w:val="006B6598"/>
    <w:rsid w:val="006C13A3"/>
    <w:rsid w:val="006C1536"/>
    <w:rsid w:val="006C3E18"/>
    <w:rsid w:val="006C70B3"/>
    <w:rsid w:val="006D2676"/>
    <w:rsid w:val="006D2754"/>
    <w:rsid w:val="006D2ADB"/>
    <w:rsid w:val="006D3E57"/>
    <w:rsid w:val="006D5FBD"/>
    <w:rsid w:val="006D7E16"/>
    <w:rsid w:val="006D7F95"/>
    <w:rsid w:val="006E2321"/>
    <w:rsid w:val="006E4169"/>
    <w:rsid w:val="006E6BE2"/>
    <w:rsid w:val="006F0196"/>
    <w:rsid w:val="006F07C1"/>
    <w:rsid w:val="006F3A0B"/>
    <w:rsid w:val="006F4BC6"/>
    <w:rsid w:val="006F5262"/>
    <w:rsid w:val="006F6331"/>
    <w:rsid w:val="006F69B1"/>
    <w:rsid w:val="006F6B2F"/>
    <w:rsid w:val="006F72E8"/>
    <w:rsid w:val="006F7583"/>
    <w:rsid w:val="006F7F39"/>
    <w:rsid w:val="007010D5"/>
    <w:rsid w:val="00701821"/>
    <w:rsid w:val="00702763"/>
    <w:rsid w:val="007058DA"/>
    <w:rsid w:val="00706F6A"/>
    <w:rsid w:val="00711F2E"/>
    <w:rsid w:val="00713B3D"/>
    <w:rsid w:val="00714076"/>
    <w:rsid w:val="007146C8"/>
    <w:rsid w:val="00715D6D"/>
    <w:rsid w:val="0071645F"/>
    <w:rsid w:val="00716C0F"/>
    <w:rsid w:val="007177FD"/>
    <w:rsid w:val="00717BCB"/>
    <w:rsid w:val="00726D14"/>
    <w:rsid w:val="007272A1"/>
    <w:rsid w:val="007277BE"/>
    <w:rsid w:val="0072793F"/>
    <w:rsid w:val="00730B9E"/>
    <w:rsid w:val="00734F99"/>
    <w:rsid w:val="0073647F"/>
    <w:rsid w:val="00737FED"/>
    <w:rsid w:val="00740B48"/>
    <w:rsid w:val="007439E5"/>
    <w:rsid w:val="00747485"/>
    <w:rsid w:val="00747B98"/>
    <w:rsid w:val="007514E0"/>
    <w:rsid w:val="00751FC5"/>
    <w:rsid w:val="0075254B"/>
    <w:rsid w:val="00753BFF"/>
    <w:rsid w:val="00756B85"/>
    <w:rsid w:val="00760A60"/>
    <w:rsid w:val="007614C4"/>
    <w:rsid w:val="007623AB"/>
    <w:rsid w:val="00762E34"/>
    <w:rsid w:val="00763DFF"/>
    <w:rsid w:val="007708E9"/>
    <w:rsid w:val="00771EB5"/>
    <w:rsid w:val="007722D1"/>
    <w:rsid w:val="00772957"/>
    <w:rsid w:val="0077491C"/>
    <w:rsid w:val="007751E9"/>
    <w:rsid w:val="00775924"/>
    <w:rsid w:val="00780D45"/>
    <w:rsid w:val="007814A2"/>
    <w:rsid w:val="00785C75"/>
    <w:rsid w:val="00787B07"/>
    <w:rsid w:val="00787F66"/>
    <w:rsid w:val="007946D6"/>
    <w:rsid w:val="00794F15"/>
    <w:rsid w:val="007952DB"/>
    <w:rsid w:val="007A126A"/>
    <w:rsid w:val="007A19B5"/>
    <w:rsid w:val="007A2A7F"/>
    <w:rsid w:val="007A3E4C"/>
    <w:rsid w:val="007A6680"/>
    <w:rsid w:val="007B07AF"/>
    <w:rsid w:val="007B17C1"/>
    <w:rsid w:val="007B4A3B"/>
    <w:rsid w:val="007B51BB"/>
    <w:rsid w:val="007B5F6E"/>
    <w:rsid w:val="007B6B0F"/>
    <w:rsid w:val="007C0924"/>
    <w:rsid w:val="007C1E9D"/>
    <w:rsid w:val="007C4CC2"/>
    <w:rsid w:val="007C7714"/>
    <w:rsid w:val="007D13F9"/>
    <w:rsid w:val="007D1F63"/>
    <w:rsid w:val="007D30D0"/>
    <w:rsid w:val="007D54E8"/>
    <w:rsid w:val="007D6363"/>
    <w:rsid w:val="007E0F7F"/>
    <w:rsid w:val="007E1385"/>
    <w:rsid w:val="007E4068"/>
    <w:rsid w:val="007E5688"/>
    <w:rsid w:val="007E737D"/>
    <w:rsid w:val="007F019A"/>
    <w:rsid w:val="007F1440"/>
    <w:rsid w:val="007F333E"/>
    <w:rsid w:val="007F6F9D"/>
    <w:rsid w:val="007F72FF"/>
    <w:rsid w:val="007F77A9"/>
    <w:rsid w:val="008136BC"/>
    <w:rsid w:val="00813CEB"/>
    <w:rsid w:val="00823C7F"/>
    <w:rsid w:val="008242EE"/>
    <w:rsid w:val="00824376"/>
    <w:rsid w:val="00831BB0"/>
    <w:rsid w:val="00833ABB"/>
    <w:rsid w:val="00833B9A"/>
    <w:rsid w:val="00834B8C"/>
    <w:rsid w:val="008371E9"/>
    <w:rsid w:val="00837F2B"/>
    <w:rsid w:val="0084338A"/>
    <w:rsid w:val="0084394A"/>
    <w:rsid w:val="00843DDB"/>
    <w:rsid w:val="0084520A"/>
    <w:rsid w:val="008515D9"/>
    <w:rsid w:val="00854BCE"/>
    <w:rsid w:val="00872B35"/>
    <w:rsid w:val="00873F92"/>
    <w:rsid w:val="0087730C"/>
    <w:rsid w:val="00880AF5"/>
    <w:rsid w:val="00880D30"/>
    <w:rsid w:val="008810B0"/>
    <w:rsid w:val="00882D51"/>
    <w:rsid w:val="0088473E"/>
    <w:rsid w:val="00885413"/>
    <w:rsid w:val="00890318"/>
    <w:rsid w:val="0089294D"/>
    <w:rsid w:val="00893707"/>
    <w:rsid w:val="008949B8"/>
    <w:rsid w:val="00895EF5"/>
    <w:rsid w:val="00896867"/>
    <w:rsid w:val="00897577"/>
    <w:rsid w:val="008A05EE"/>
    <w:rsid w:val="008A19DF"/>
    <w:rsid w:val="008A21C5"/>
    <w:rsid w:val="008A29F7"/>
    <w:rsid w:val="008A2A6E"/>
    <w:rsid w:val="008A33D9"/>
    <w:rsid w:val="008A43C8"/>
    <w:rsid w:val="008A7DBF"/>
    <w:rsid w:val="008B14D9"/>
    <w:rsid w:val="008B5052"/>
    <w:rsid w:val="008B52AE"/>
    <w:rsid w:val="008C05BC"/>
    <w:rsid w:val="008C2E81"/>
    <w:rsid w:val="008C69F2"/>
    <w:rsid w:val="008D3D04"/>
    <w:rsid w:val="008D4851"/>
    <w:rsid w:val="008D5661"/>
    <w:rsid w:val="008D6B85"/>
    <w:rsid w:val="008D788B"/>
    <w:rsid w:val="008E15DA"/>
    <w:rsid w:val="008E286B"/>
    <w:rsid w:val="008E700C"/>
    <w:rsid w:val="008E72F9"/>
    <w:rsid w:val="008F1DAC"/>
    <w:rsid w:val="008F2989"/>
    <w:rsid w:val="008F608F"/>
    <w:rsid w:val="008F6BB1"/>
    <w:rsid w:val="00900019"/>
    <w:rsid w:val="009037AC"/>
    <w:rsid w:val="00910557"/>
    <w:rsid w:val="00911549"/>
    <w:rsid w:val="00912FB5"/>
    <w:rsid w:val="0091480F"/>
    <w:rsid w:val="0091680D"/>
    <w:rsid w:val="00921EBF"/>
    <w:rsid w:val="0092241D"/>
    <w:rsid w:val="00924A6F"/>
    <w:rsid w:val="00926427"/>
    <w:rsid w:val="009272A8"/>
    <w:rsid w:val="009348B1"/>
    <w:rsid w:val="00936D79"/>
    <w:rsid w:val="009409A5"/>
    <w:rsid w:val="00944267"/>
    <w:rsid w:val="00946806"/>
    <w:rsid w:val="00946BA3"/>
    <w:rsid w:val="009507AC"/>
    <w:rsid w:val="009534B3"/>
    <w:rsid w:val="009542EF"/>
    <w:rsid w:val="00957623"/>
    <w:rsid w:val="009645C5"/>
    <w:rsid w:val="00965076"/>
    <w:rsid w:val="00967F2D"/>
    <w:rsid w:val="00971CE6"/>
    <w:rsid w:val="00974724"/>
    <w:rsid w:val="00984ABD"/>
    <w:rsid w:val="009871EE"/>
    <w:rsid w:val="0099024D"/>
    <w:rsid w:val="00990CFC"/>
    <w:rsid w:val="00992007"/>
    <w:rsid w:val="009925FF"/>
    <w:rsid w:val="00993D2B"/>
    <w:rsid w:val="009A0C74"/>
    <w:rsid w:val="009A4D8B"/>
    <w:rsid w:val="009A7C0D"/>
    <w:rsid w:val="009B0132"/>
    <w:rsid w:val="009B1F95"/>
    <w:rsid w:val="009B4753"/>
    <w:rsid w:val="009C1012"/>
    <w:rsid w:val="009C2458"/>
    <w:rsid w:val="009C345B"/>
    <w:rsid w:val="009D1076"/>
    <w:rsid w:val="009D19F1"/>
    <w:rsid w:val="009D19FE"/>
    <w:rsid w:val="009D1CBA"/>
    <w:rsid w:val="009D2FD6"/>
    <w:rsid w:val="009D397C"/>
    <w:rsid w:val="009D58F4"/>
    <w:rsid w:val="009D5CBC"/>
    <w:rsid w:val="009E154C"/>
    <w:rsid w:val="009F09FA"/>
    <w:rsid w:val="009F6377"/>
    <w:rsid w:val="009F65EE"/>
    <w:rsid w:val="00A00C4F"/>
    <w:rsid w:val="00A10F0E"/>
    <w:rsid w:val="00A12E00"/>
    <w:rsid w:val="00A139C7"/>
    <w:rsid w:val="00A14582"/>
    <w:rsid w:val="00A205F7"/>
    <w:rsid w:val="00A206A2"/>
    <w:rsid w:val="00A20AB2"/>
    <w:rsid w:val="00A215B9"/>
    <w:rsid w:val="00A22094"/>
    <w:rsid w:val="00A24395"/>
    <w:rsid w:val="00A348F8"/>
    <w:rsid w:val="00A34C93"/>
    <w:rsid w:val="00A36B50"/>
    <w:rsid w:val="00A40CD8"/>
    <w:rsid w:val="00A424EF"/>
    <w:rsid w:val="00A45912"/>
    <w:rsid w:val="00A45E0D"/>
    <w:rsid w:val="00A45EE4"/>
    <w:rsid w:val="00A513E3"/>
    <w:rsid w:val="00A5449C"/>
    <w:rsid w:val="00A55831"/>
    <w:rsid w:val="00A562C6"/>
    <w:rsid w:val="00A61AB5"/>
    <w:rsid w:val="00A65540"/>
    <w:rsid w:val="00A658E8"/>
    <w:rsid w:val="00A66073"/>
    <w:rsid w:val="00A665E3"/>
    <w:rsid w:val="00A71DF7"/>
    <w:rsid w:val="00A769CB"/>
    <w:rsid w:val="00A80ABC"/>
    <w:rsid w:val="00A81251"/>
    <w:rsid w:val="00A81E82"/>
    <w:rsid w:val="00A83F93"/>
    <w:rsid w:val="00A84907"/>
    <w:rsid w:val="00A85855"/>
    <w:rsid w:val="00A86F35"/>
    <w:rsid w:val="00A91EDB"/>
    <w:rsid w:val="00A92EE6"/>
    <w:rsid w:val="00A93BC3"/>
    <w:rsid w:val="00A93CDB"/>
    <w:rsid w:val="00AA001F"/>
    <w:rsid w:val="00AA0A66"/>
    <w:rsid w:val="00AA10A4"/>
    <w:rsid w:val="00AA277E"/>
    <w:rsid w:val="00AA2791"/>
    <w:rsid w:val="00AA4760"/>
    <w:rsid w:val="00AA49FD"/>
    <w:rsid w:val="00AA4E9A"/>
    <w:rsid w:val="00AA5A3F"/>
    <w:rsid w:val="00AB526C"/>
    <w:rsid w:val="00AB6F04"/>
    <w:rsid w:val="00AB7007"/>
    <w:rsid w:val="00AB74B8"/>
    <w:rsid w:val="00AB78AC"/>
    <w:rsid w:val="00AC4D37"/>
    <w:rsid w:val="00AC63B7"/>
    <w:rsid w:val="00AD1216"/>
    <w:rsid w:val="00AD287A"/>
    <w:rsid w:val="00AD2B28"/>
    <w:rsid w:val="00AD376C"/>
    <w:rsid w:val="00AD3CAF"/>
    <w:rsid w:val="00AD493D"/>
    <w:rsid w:val="00AD6041"/>
    <w:rsid w:val="00AD618F"/>
    <w:rsid w:val="00AD6B39"/>
    <w:rsid w:val="00AE00EC"/>
    <w:rsid w:val="00AE05EF"/>
    <w:rsid w:val="00AF4056"/>
    <w:rsid w:val="00AF7A94"/>
    <w:rsid w:val="00AF7D67"/>
    <w:rsid w:val="00B0120B"/>
    <w:rsid w:val="00B04446"/>
    <w:rsid w:val="00B05B80"/>
    <w:rsid w:val="00B05F9B"/>
    <w:rsid w:val="00B07F44"/>
    <w:rsid w:val="00B13E39"/>
    <w:rsid w:val="00B147D8"/>
    <w:rsid w:val="00B155E7"/>
    <w:rsid w:val="00B20D77"/>
    <w:rsid w:val="00B21349"/>
    <w:rsid w:val="00B22FE0"/>
    <w:rsid w:val="00B25AC3"/>
    <w:rsid w:val="00B25D5C"/>
    <w:rsid w:val="00B2721B"/>
    <w:rsid w:val="00B32DE4"/>
    <w:rsid w:val="00B33403"/>
    <w:rsid w:val="00B35CE7"/>
    <w:rsid w:val="00B45EDE"/>
    <w:rsid w:val="00B45F6E"/>
    <w:rsid w:val="00B46DAB"/>
    <w:rsid w:val="00B5672D"/>
    <w:rsid w:val="00B572BE"/>
    <w:rsid w:val="00B57CDC"/>
    <w:rsid w:val="00B63F6C"/>
    <w:rsid w:val="00B64CE7"/>
    <w:rsid w:val="00B71AD4"/>
    <w:rsid w:val="00B73313"/>
    <w:rsid w:val="00B73AB9"/>
    <w:rsid w:val="00B756D9"/>
    <w:rsid w:val="00B76383"/>
    <w:rsid w:val="00B80B31"/>
    <w:rsid w:val="00B8101E"/>
    <w:rsid w:val="00B81313"/>
    <w:rsid w:val="00B90C57"/>
    <w:rsid w:val="00B916B1"/>
    <w:rsid w:val="00B9495A"/>
    <w:rsid w:val="00BA052D"/>
    <w:rsid w:val="00BA33D6"/>
    <w:rsid w:val="00BA50D1"/>
    <w:rsid w:val="00BA56F6"/>
    <w:rsid w:val="00BA6A96"/>
    <w:rsid w:val="00BA7EE3"/>
    <w:rsid w:val="00BB3B40"/>
    <w:rsid w:val="00BC1618"/>
    <w:rsid w:val="00BC1C36"/>
    <w:rsid w:val="00BC2336"/>
    <w:rsid w:val="00BC5355"/>
    <w:rsid w:val="00BC5930"/>
    <w:rsid w:val="00BC6EE8"/>
    <w:rsid w:val="00BD1600"/>
    <w:rsid w:val="00BD410A"/>
    <w:rsid w:val="00BD6113"/>
    <w:rsid w:val="00BD6C3D"/>
    <w:rsid w:val="00BD6F3B"/>
    <w:rsid w:val="00BE5DD2"/>
    <w:rsid w:val="00BE789C"/>
    <w:rsid w:val="00BE7B77"/>
    <w:rsid w:val="00BF0720"/>
    <w:rsid w:val="00BF1823"/>
    <w:rsid w:val="00C000AE"/>
    <w:rsid w:val="00C01E04"/>
    <w:rsid w:val="00C048EF"/>
    <w:rsid w:val="00C061B5"/>
    <w:rsid w:val="00C103BB"/>
    <w:rsid w:val="00C121DA"/>
    <w:rsid w:val="00C123E7"/>
    <w:rsid w:val="00C12EE7"/>
    <w:rsid w:val="00C1315D"/>
    <w:rsid w:val="00C13399"/>
    <w:rsid w:val="00C15C3B"/>
    <w:rsid w:val="00C200C0"/>
    <w:rsid w:val="00C21DCB"/>
    <w:rsid w:val="00C2234E"/>
    <w:rsid w:val="00C2306B"/>
    <w:rsid w:val="00C25BF4"/>
    <w:rsid w:val="00C26F5D"/>
    <w:rsid w:val="00C32960"/>
    <w:rsid w:val="00C35428"/>
    <w:rsid w:val="00C379C0"/>
    <w:rsid w:val="00C432AD"/>
    <w:rsid w:val="00C47BC7"/>
    <w:rsid w:val="00C50F45"/>
    <w:rsid w:val="00C52530"/>
    <w:rsid w:val="00C52D6C"/>
    <w:rsid w:val="00C53FA3"/>
    <w:rsid w:val="00C56515"/>
    <w:rsid w:val="00C600B5"/>
    <w:rsid w:val="00C601D6"/>
    <w:rsid w:val="00C6313E"/>
    <w:rsid w:val="00C64344"/>
    <w:rsid w:val="00C6555F"/>
    <w:rsid w:val="00C70CC7"/>
    <w:rsid w:val="00C70F2F"/>
    <w:rsid w:val="00C75B67"/>
    <w:rsid w:val="00C76318"/>
    <w:rsid w:val="00C84AF6"/>
    <w:rsid w:val="00C85355"/>
    <w:rsid w:val="00C85D5B"/>
    <w:rsid w:val="00C85FE5"/>
    <w:rsid w:val="00C875E1"/>
    <w:rsid w:val="00C87D57"/>
    <w:rsid w:val="00C90904"/>
    <w:rsid w:val="00C94BC8"/>
    <w:rsid w:val="00C97DD2"/>
    <w:rsid w:val="00CA03CC"/>
    <w:rsid w:val="00CA3831"/>
    <w:rsid w:val="00CA5C52"/>
    <w:rsid w:val="00CA603A"/>
    <w:rsid w:val="00CB202C"/>
    <w:rsid w:val="00CB2874"/>
    <w:rsid w:val="00CB509C"/>
    <w:rsid w:val="00CB7E71"/>
    <w:rsid w:val="00CB7FEE"/>
    <w:rsid w:val="00CC102A"/>
    <w:rsid w:val="00CC31C7"/>
    <w:rsid w:val="00CC3ED9"/>
    <w:rsid w:val="00CC3F03"/>
    <w:rsid w:val="00CC43A3"/>
    <w:rsid w:val="00CC6C7C"/>
    <w:rsid w:val="00CD062A"/>
    <w:rsid w:val="00CD3FAC"/>
    <w:rsid w:val="00CD4E05"/>
    <w:rsid w:val="00CD5639"/>
    <w:rsid w:val="00CD6969"/>
    <w:rsid w:val="00CE0EAF"/>
    <w:rsid w:val="00CE1331"/>
    <w:rsid w:val="00CE5356"/>
    <w:rsid w:val="00CF36AA"/>
    <w:rsid w:val="00CF4637"/>
    <w:rsid w:val="00D000CA"/>
    <w:rsid w:val="00D044C1"/>
    <w:rsid w:val="00D04613"/>
    <w:rsid w:val="00D07257"/>
    <w:rsid w:val="00D119F5"/>
    <w:rsid w:val="00D11D1F"/>
    <w:rsid w:val="00D12DF5"/>
    <w:rsid w:val="00D156AB"/>
    <w:rsid w:val="00D1580D"/>
    <w:rsid w:val="00D16111"/>
    <w:rsid w:val="00D1625E"/>
    <w:rsid w:val="00D1679E"/>
    <w:rsid w:val="00D16A01"/>
    <w:rsid w:val="00D17FFA"/>
    <w:rsid w:val="00D20B7E"/>
    <w:rsid w:val="00D20FF6"/>
    <w:rsid w:val="00D21F40"/>
    <w:rsid w:val="00D34DD9"/>
    <w:rsid w:val="00D35D22"/>
    <w:rsid w:val="00D36F61"/>
    <w:rsid w:val="00D372E1"/>
    <w:rsid w:val="00D41335"/>
    <w:rsid w:val="00D4211C"/>
    <w:rsid w:val="00D426A7"/>
    <w:rsid w:val="00D438DA"/>
    <w:rsid w:val="00D43F70"/>
    <w:rsid w:val="00D45BA9"/>
    <w:rsid w:val="00D476B8"/>
    <w:rsid w:val="00D54DB5"/>
    <w:rsid w:val="00D553E5"/>
    <w:rsid w:val="00D64B27"/>
    <w:rsid w:val="00D67562"/>
    <w:rsid w:val="00D721CD"/>
    <w:rsid w:val="00D73767"/>
    <w:rsid w:val="00D73F1F"/>
    <w:rsid w:val="00D850D2"/>
    <w:rsid w:val="00D85DA5"/>
    <w:rsid w:val="00D93989"/>
    <w:rsid w:val="00D93C94"/>
    <w:rsid w:val="00D945CA"/>
    <w:rsid w:val="00D96277"/>
    <w:rsid w:val="00D964E5"/>
    <w:rsid w:val="00DA43A3"/>
    <w:rsid w:val="00DA4D36"/>
    <w:rsid w:val="00DA5D15"/>
    <w:rsid w:val="00DA6356"/>
    <w:rsid w:val="00DA6D76"/>
    <w:rsid w:val="00DB0F81"/>
    <w:rsid w:val="00DB1643"/>
    <w:rsid w:val="00DB2C1B"/>
    <w:rsid w:val="00DB6FDA"/>
    <w:rsid w:val="00DC3C71"/>
    <w:rsid w:val="00DC57AA"/>
    <w:rsid w:val="00DC5F32"/>
    <w:rsid w:val="00DD0942"/>
    <w:rsid w:val="00DD109C"/>
    <w:rsid w:val="00DD1FD2"/>
    <w:rsid w:val="00DD2805"/>
    <w:rsid w:val="00DD5662"/>
    <w:rsid w:val="00DD6E09"/>
    <w:rsid w:val="00DE2518"/>
    <w:rsid w:val="00DE59F2"/>
    <w:rsid w:val="00DE5FA4"/>
    <w:rsid w:val="00DF0263"/>
    <w:rsid w:val="00DF3932"/>
    <w:rsid w:val="00E00FE3"/>
    <w:rsid w:val="00E0222C"/>
    <w:rsid w:val="00E02DDE"/>
    <w:rsid w:val="00E10615"/>
    <w:rsid w:val="00E10C9B"/>
    <w:rsid w:val="00E1735A"/>
    <w:rsid w:val="00E23721"/>
    <w:rsid w:val="00E2567C"/>
    <w:rsid w:val="00E33C92"/>
    <w:rsid w:val="00E368BB"/>
    <w:rsid w:val="00E43A4D"/>
    <w:rsid w:val="00E45D5D"/>
    <w:rsid w:val="00E45E7E"/>
    <w:rsid w:val="00E504CC"/>
    <w:rsid w:val="00E56099"/>
    <w:rsid w:val="00E57D08"/>
    <w:rsid w:val="00E63F34"/>
    <w:rsid w:val="00E66A6A"/>
    <w:rsid w:val="00E70576"/>
    <w:rsid w:val="00E70B84"/>
    <w:rsid w:val="00E70DAB"/>
    <w:rsid w:val="00E71DEA"/>
    <w:rsid w:val="00E73584"/>
    <w:rsid w:val="00E83F8C"/>
    <w:rsid w:val="00E855F0"/>
    <w:rsid w:val="00E86BAE"/>
    <w:rsid w:val="00E9003A"/>
    <w:rsid w:val="00E90B78"/>
    <w:rsid w:val="00E9251A"/>
    <w:rsid w:val="00E95358"/>
    <w:rsid w:val="00E95AF4"/>
    <w:rsid w:val="00E9618A"/>
    <w:rsid w:val="00E973F4"/>
    <w:rsid w:val="00E97783"/>
    <w:rsid w:val="00E97CC2"/>
    <w:rsid w:val="00E97E56"/>
    <w:rsid w:val="00EA10A8"/>
    <w:rsid w:val="00EA255F"/>
    <w:rsid w:val="00EA6792"/>
    <w:rsid w:val="00EB3D95"/>
    <w:rsid w:val="00EC0C48"/>
    <w:rsid w:val="00EC173F"/>
    <w:rsid w:val="00EC560B"/>
    <w:rsid w:val="00EC6490"/>
    <w:rsid w:val="00ED1782"/>
    <w:rsid w:val="00ED1FB2"/>
    <w:rsid w:val="00ED5932"/>
    <w:rsid w:val="00EE3478"/>
    <w:rsid w:val="00EF0947"/>
    <w:rsid w:val="00EF18F4"/>
    <w:rsid w:val="00EF4F85"/>
    <w:rsid w:val="00EF7789"/>
    <w:rsid w:val="00EF7B5F"/>
    <w:rsid w:val="00EF7E02"/>
    <w:rsid w:val="00F0067D"/>
    <w:rsid w:val="00F0236B"/>
    <w:rsid w:val="00F03737"/>
    <w:rsid w:val="00F0708C"/>
    <w:rsid w:val="00F1282D"/>
    <w:rsid w:val="00F12877"/>
    <w:rsid w:val="00F12918"/>
    <w:rsid w:val="00F13E98"/>
    <w:rsid w:val="00F16854"/>
    <w:rsid w:val="00F222BD"/>
    <w:rsid w:val="00F239B8"/>
    <w:rsid w:val="00F32CF9"/>
    <w:rsid w:val="00F35A61"/>
    <w:rsid w:val="00F40B14"/>
    <w:rsid w:val="00F42BC1"/>
    <w:rsid w:val="00F42C82"/>
    <w:rsid w:val="00F450D5"/>
    <w:rsid w:val="00F45CD0"/>
    <w:rsid w:val="00F46D0B"/>
    <w:rsid w:val="00F47AD7"/>
    <w:rsid w:val="00F51C1D"/>
    <w:rsid w:val="00F57D35"/>
    <w:rsid w:val="00F57EF1"/>
    <w:rsid w:val="00F62033"/>
    <w:rsid w:val="00F620B6"/>
    <w:rsid w:val="00F6213B"/>
    <w:rsid w:val="00F64417"/>
    <w:rsid w:val="00F644E5"/>
    <w:rsid w:val="00F65DB3"/>
    <w:rsid w:val="00F66D19"/>
    <w:rsid w:val="00F70EE9"/>
    <w:rsid w:val="00F72A7B"/>
    <w:rsid w:val="00F80DE0"/>
    <w:rsid w:val="00F817D8"/>
    <w:rsid w:val="00F82508"/>
    <w:rsid w:val="00F83C21"/>
    <w:rsid w:val="00F83EBD"/>
    <w:rsid w:val="00F91EA5"/>
    <w:rsid w:val="00F93866"/>
    <w:rsid w:val="00FA1660"/>
    <w:rsid w:val="00FA2764"/>
    <w:rsid w:val="00FA3BD7"/>
    <w:rsid w:val="00FA43DF"/>
    <w:rsid w:val="00FA55FF"/>
    <w:rsid w:val="00FA7391"/>
    <w:rsid w:val="00FB2746"/>
    <w:rsid w:val="00FB28D0"/>
    <w:rsid w:val="00FB39D3"/>
    <w:rsid w:val="00FB4094"/>
    <w:rsid w:val="00FB5CE2"/>
    <w:rsid w:val="00FB77F6"/>
    <w:rsid w:val="00FC0C03"/>
    <w:rsid w:val="00FC351D"/>
    <w:rsid w:val="00FC5943"/>
    <w:rsid w:val="00FD15BF"/>
    <w:rsid w:val="00FD5E23"/>
    <w:rsid w:val="00FD6F69"/>
    <w:rsid w:val="00FE1F01"/>
    <w:rsid w:val="00FE2FB1"/>
    <w:rsid w:val="00FE5BB4"/>
    <w:rsid w:val="00FE5BF1"/>
    <w:rsid w:val="00FE5CCF"/>
    <w:rsid w:val="00FF0136"/>
    <w:rsid w:val="00FF4203"/>
    <w:rsid w:val="00FF687E"/>
    <w:rsid w:val="0283240B"/>
    <w:rsid w:val="04B92241"/>
    <w:rsid w:val="072C24E3"/>
    <w:rsid w:val="073F62D5"/>
    <w:rsid w:val="082B4195"/>
    <w:rsid w:val="0840232F"/>
    <w:rsid w:val="084F1C44"/>
    <w:rsid w:val="087963BF"/>
    <w:rsid w:val="09E07A52"/>
    <w:rsid w:val="0AD065F2"/>
    <w:rsid w:val="0BCE7FD8"/>
    <w:rsid w:val="0DCF4AAF"/>
    <w:rsid w:val="127C0439"/>
    <w:rsid w:val="134107A7"/>
    <w:rsid w:val="14DD7B04"/>
    <w:rsid w:val="16E05F6C"/>
    <w:rsid w:val="1B5468D6"/>
    <w:rsid w:val="1B8A44B1"/>
    <w:rsid w:val="1DB652FA"/>
    <w:rsid w:val="1EEE40CF"/>
    <w:rsid w:val="1FEA526B"/>
    <w:rsid w:val="20A6077C"/>
    <w:rsid w:val="220609AB"/>
    <w:rsid w:val="27630B24"/>
    <w:rsid w:val="283C7EBE"/>
    <w:rsid w:val="286143C1"/>
    <w:rsid w:val="29291E39"/>
    <w:rsid w:val="29666D29"/>
    <w:rsid w:val="2E04428C"/>
    <w:rsid w:val="2FE335D0"/>
    <w:rsid w:val="306B04F2"/>
    <w:rsid w:val="32134DB6"/>
    <w:rsid w:val="324C760B"/>
    <w:rsid w:val="32511BD9"/>
    <w:rsid w:val="33BE2D61"/>
    <w:rsid w:val="33F1225F"/>
    <w:rsid w:val="35355C17"/>
    <w:rsid w:val="38C541D2"/>
    <w:rsid w:val="38E215B9"/>
    <w:rsid w:val="3A8C65B5"/>
    <w:rsid w:val="3AC33EE8"/>
    <w:rsid w:val="3AFE0229"/>
    <w:rsid w:val="3CFB0E50"/>
    <w:rsid w:val="3E0819A1"/>
    <w:rsid w:val="3FBC129D"/>
    <w:rsid w:val="40C033F5"/>
    <w:rsid w:val="415A055F"/>
    <w:rsid w:val="428D293E"/>
    <w:rsid w:val="43811D77"/>
    <w:rsid w:val="46123077"/>
    <w:rsid w:val="47A943FA"/>
    <w:rsid w:val="49747B8D"/>
    <w:rsid w:val="4D735D99"/>
    <w:rsid w:val="4EDE0838"/>
    <w:rsid w:val="4F7C1CD8"/>
    <w:rsid w:val="51A7429B"/>
    <w:rsid w:val="52EF307B"/>
    <w:rsid w:val="54474178"/>
    <w:rsid w:val="55022203"/>
    <w:rsid w:val="55AF6641"/>
    <w:rsid w:val="574951C7"/>
    <w:rsid w:val="57C25472"/>
    <w:rsid w:val="59270413"/>
    <w:rsid w:val="59975114"/>
    <w:rsid w:val="5A433C24"/>
    <w:rsid w:val="5ABD6694"/>
    <w:rsid w:val="5C383883"/>
    <w:rsid w:val="5DF47FC3"/>
    <w:rsid w:val="5F1D070A"/>
    <w:rsid w:val="604502E2"/>
    <w:rsid w:val="604B7B5D"/>
    <w:rsid w:val="637FD9F8"/>
    <w:rsid w:val="64D5C57F"/>
    <w:rsid w:val="6620781D"/>
    <w:rsid w:val="68002EDE"/>
    <w:rsid w:val="685310BF"/>
    <w:rsid w:val="6B6152B4"/>
    <w:rsid w:val="6E4B4114"/>
    <w:rsid w:val="6E8E0DE7"/>
    <w:rsid w:val="6EFF437A"/>
    <w:rsid w:val="6F900543"/>
    <w:rsid w:val="6FCF15B6"/>
    <w:rsid w:val="70355D65"/>
    <w:rsid w:val="70A01F30"/>
    <w:rsid w:val="73D2658E"/>
    <w:rsid w:val="74307962"/>
    <w:rsid w:val="769F46D0"/>
    <w:rsid w:val="77801842"/>
    <w:rsid w:val="786731E2"/>
    <w:rsid w:val="79F7D42F"/>
    <w:rsid w:val="79FF38DD"/>
    <w:rsid w:val="7AEB58EA"/>
    <w:rsid w:val="7BBF203D"/>
    <w:rsid w:val="7D7B1562"/>
    <w:rsid w:val="7D935734"/>
    <w:rsid w:val="7DADB175"/>
    <w:rsid w:val="7E2F50F5"/>
    <w:rsid w:val="7FB62AD2"/>
    <w:rsid w:val="7FD23CE3"/>
    <w:rsid w:val="7FFF5C37"/>
    <w:rsid w:val="95FC580F"/>
    <w:rsid w:val="9FE6D7B6"/>
    <w:rsid w:val="BDB6B9D9"/>
    <w:rsid w:val="BFBB20B6"/>
    <w:rsid w:val="C3FE70B6"/>
    <w:rsid w:val="C77F71AE"/>
    <w:rsid w:val="CF9637F5"/>
    <w:rsid w:val="DFBF5B8A"/>
    <w:rsid w:val="DFF2A545"/>
    <w:rsid w:val="EA79D091"/>
    <w:rsid w:val="EEFD0B85"/>
    <w:rsid w:val="EFEA9168"/>
    <w:rsid w:val="F3FA9E89"/>
    <w:rsid w:val="F5AF6D5A"/>
    <w:rsid w:val="F7FFAD01"/>
    <w:rsid w:val="FE7D48BD"/>
    <w:rsid w:val="FFF53EDC"/>
    <w:rsid w:val="FFF71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2"/>
    <w:qFormat/>
    <w:uiPriority w:val="9"/>
    <w:pPr>
      <w:keepNext/>
      <w:keepLines/>
      <w:spacing w:before="340" w:after="330" w:line="578" w:lineRule="auto"/>
      <w:outlineLvl w:val="0"/>
    </w:pPr>
    <w:rPr>
      <w:b/>
      <w:bCs/>
      <w:kern w:val="44"/>
      <w:sz w:val="44"/>
      <w:szCs w:val="44"/>
    </w:rPr>
  </w:style>
  <w:style w:type="paragraph" w:styleId="3">
    <w:name w:val="heading 2"/>
    <w:basedOn w:val="1"/>
    <w:next w:val="4"/>
    <w:link w:val="32"/>
    <w:qFormat/>
    <w:uiPriority w:val="0"/>
    <w:pPr>
      <w:keepNext/>
      <w:keepLines/>
      <w:spacing w:before="260" w:after="260" w:line="416" w:lineRule="auto"/>
      <w:outlineLvl w:val="1"/>
    </w:pPr>
    <w:rPr>
      <w:rFonts w:ascii="Arial" w:hAnsi="Arial" w:eastAsia="黑体"/>
      <w:b/>
      <w:sz w:val="32"/>
      <w:szCs w:val="20"/>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toc 7"/>
    <w:basedOn w:val="1"/>
    <w:next w:val="1"/>
    <w:semiHidden/>
    <w:qFormat/>
    <w:uiPriority w:val="0"/>
    <w:pPr>
      <w:ind w:left="2520" w:leftChars="1200"/>
    </w:pPr>
  </w:style>
  <w:style w:type="paragraph" w:styleId="6">
    <w:name w:val="annotation text"/>
    <w:basedOn w:val="1"/>
    <w:link w:val="45"/>
    <w:qFormat/>
    <w:uiPriority w:val="0"/>
    <w:pPr>
      <w:jc w:val="left"/>
    </w:pPr>
  </w:style>
  <w:style w:type="paragraph" w:styleId="7">
    <w:name w:val="Body Text"/>
    <w:basedOn w:val="1"/>
    <w:link w:val="36"/>
    <w:qFormat/>
    <w:uiPriority w:val="0"/>
    <w:pPr>
      <w:spacing w:line="360" w:lineRule="auto"/>
    </w:pPr>
    <w:rPr>
      <w:rFonts w:ascii="仿宋_GB2312" w:eastAsia="仿宋_GB2312"/>
      <w:color w:val="000000"/>
      <w:kern w:val="0"/>
      <w:sz w:val="24"/>
      <w:szCs w:val="28"/>
    </w:rPr>
  </w:style>
  <w:style w:type="paragraph" w:styleId="8">
    <w:name w:val="Body Text Indent"/>
    <w:basedOn w:val="1"/>
    <w:link w:val="38"/>
    <w:qFormat/>
    <w:uiPriority w:val="0"/>
    <w:pPr>
      <w:adjustRightInd w:val="0"/>
      <w:snapToGrid w:val="0"/>
      <w:spacing w:line="560" w:lineRule="exact"/>
      <w:ind w:firstLine="480" w:firstLineChars="200"/>
    </w:pPr>
    <w:rPr>
      <w:rFonts w:eastAsia="方正仿宋简体"/>
      <w:sz w:val="24"/>
      <w:szCs w:val="30"/>
    </w:rPr>
  </w:style>
  <w:style w:type="paragraph" w:styleId="9">
    <w:name w:val="toc 5"/>
    <w:basedOn w:val="1"/>
    <w:next w:val="1"/>
    <w:semiHidden/>
    <w:qFormat/>
    <w:uiPriority w:val="0"/>
    <w:pPr>
      <w:ind w:left="1680" w:leftChars="800"/>
    </w:pPr>
  </w:style>
  <w:style w:type="paragraph" w:styleId="10">
    <w:name w:val="toc 3"/>
    <w:basedOn w:val="1"/>
    <w:next w:val="1"/>
    <w:semiHidden/>
    <w:qFormat/>
    <w:uiPriority w:val="0"/>
    <w:pPr>
      <w:ind w:left="840" w:leftChars="400"/>
    </w:pPr>
  </w:style>
  <w:style w:type="paragraph" w:styleId="11">
    <w:name w:val="toc 8"/>
    <w:basedOn w:val="1"/>
    <w:next w:val="1"/>
    <w:semiHidden/>
    <w:qFormat/>
    <w:uiPriority w:val="0"/>
    <w:pPr>
      <w:ind w:left="2940" w:leftChars="1400"/>
    </w:pPr>
  </w:style>
  <w:style w:type="paragraph" w:styleId="12">
    <w:name w:val="Body Text Indent 2"/>
    <w:basedOn w:val="1"/>
    <w:link w:val="39"/>
    <w:qFormat/>
    <w:uiPriority w:val="0"/>
    <w:pPr>
      <w:spacing w:line="360" w:lineRule="auto"/>
      <w:ind w:firstLine="525"/>
    </w:pPr>
    <w:rPr>
      <w:rFonts w:ascii="宋体" w:hAnsi="宋体"/>
      <w:sz w:val="28"/>
      <w:szCs w:val="20"/>
    </w:rPr>
  </w:style>
  <w:style w:type="paragraph" w:styleId="13">
    <w:name w:val="Balloon Text"/>
    <w:basedOn w:val="1"/>
    <w:link w:val="41"/>
    <w:semiHidden/>
    <w:qFormat/>
    <w:uiPriority w:val="0"/>
    <w:rPr>
      <w:sz w:val="18"/>
      <w:szCs w:val="18"/>
    </w:rPr>
  </w:style>
  <w:style w:type="paragraph" w:styleId="14">
    <w:name w:val="footer"/>
    <w:basedOn w:val="1"/>
    <w:link w:val="34"/>
    <w:unhideWhenUsed/>
    <w:qFormat/>
    <w:uiPriority w:val="99"/>
    <w:pPr>
      <w:tabs>
        <w:tab w:val="center" w:pos="4153"/>
        <w:tab w:val="right" w:pos="8306"/>
      </w:tabs>
      <w:snapToGrid w:val="0"/>
      <w:jc w:val="left"/>
    </w:pPr>
    <w:rPr>
      <w:sz w:val="18"/>
      <w:szCs w:val="18"/>
    </w:rPr>
  </w:style>
  <w:style w:type="paragraph" w:styleId="15">
    <w:name w:val="header"/>
    <w:basedOn w:val="1"/>
    <w:link w:val="33"/>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qFormat/>
    <w:uiPriority w:val="0"/>
  </w:style>
  <w:style w:type="paragraph" w:styleId="17">
    <w:name w:val="toc 4"/>
    <w:basedOn w:val="1"/>
    <w:next w:val="1"/>
    <w:semiHidden/>
    <w:qFormat/>
    <w:uiPriority w:val="0"/>
    <w:pPr>
      <w:ind w:left="1260" w:leftChars="600"/>
    </w:pPr>
  </w:style>
  <w:style w:type="paragraph" w:styleId="18">
    <w:name w:val="toc 6"/>
    <w:basedOn w:val="1"/>
    <w:next w:val="1"/>
    <w:semiHidden/>
    <w:qFormat/>
    <w:uiPriority w:val="0"/>
    <w:pPr>
      <w:ind w:left="2100" w:leftChars="1000"/>
    </w:pPr>
  </w:style>
  <w:style w:type="paragraph" w:styleId="19">
    <w:name w:val="Body Text Indent 3"/>
    <w:basedOn w:val="1"/>
    <w:link w:val="40"/>
    <w:qFormat/>
    <w:uiPriority w:val="0"/>
    <w:pPr>
      <w:adjustRightInd w:val="0"/>
      <w:snapToGrid w:val="0"/>
      <w:ind w:firstLine="480" w:firstLineChars="200"/>
    </w:pPr>
    <w:rPr>
      <w:rFonts w:ascii="仿宋_GB2312" w:hAnsi="宋体" w:eastAsia="仿宋_GB2312" w:cs="Arial"/>
      <w:color w:val="000000"/>
      <w:sz w:val="24"/>
    </w:rPr>
  </w:style>
  <w:style w:type="paragraph" w:styleId="20">
    <w:name w:val="toc 2"/>
    <w:basedOn w:val="1"/>
    <w:next w:val="1"/>
    <w:qFormat/>
    <w:uiPriority w:val="39"/>
    <w:pPr>
      <w:tabs>
        <w:tab w:val="right" w:leader="dot" w:pos="8494"/>
      </w:tabs>
      <w:adjustRightInd w:val="0"/>
      <w:snapToGrid w:val="0"/>
      <w:ind w:left="420" w:leftChars="200"/>
    </w:pPr>
  </w:style>
  <w:style w:type="paragraph" w:styleId="21">
    <w:name w:val="toc 9"/>
    <w:basedOn w:val="1"/>
    <w:next w:val="1"/>
    <w:semiHidden/>
    <w:qFormat/>
    <w:uiPriority w:val="0"/>
    <w:pPr>
      <w:ind w:left="3360" w:leftChars="1600"/>
    </w:pPr>
  </w:style>
  <w:style w:type="paragraph" w:styleId="22">
    <w:name w:val="HTML Preformatted"/>
    <w:basedOn w:val="1"/>
    <w:link w:val="4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3">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24">
    <w:name w:val="annotation subject"/>
    <w:basedOn w:val="6"/>
    <w:next w:val="6"/>
    <w:link w:val="49"/>
    <w:qFormat/>
    <w:uiPriority w:val="0"/>
    <w:rPr>
      <w:b/>
      <w:bCs/>
    </w:rPr>
  </w:style>
  <w:style w:type="character" w:styleId="27">
    <w:name w:val="Strong"/>
    <w:qFormat/>
    <w:uiPriority w:val="0"/>
    <w:rPr>
      <w:b/>
      <w:bCs/>
    </w:rPr>
  </w:style>
  <w:style w:type="character" w:styleId="28">
    <w:name w:val="page number"/>
    <w:basedOn w:val="26"/>
    <w:qFormat/>
    <w:uiPriority w:val="0"/>
  </w:style>
  <w:style w:type="character" w:styleId="29">
    <w:name w:val="FollowedHyperlink"/>
    <w:semiHidden/>
    <w:unhideWhenUsed/>
    <w:qFormat/>
    <w:uiPriority w:val="99"/>
    <w:rPr>
      <w:color w:val="800080"/>
      <w:u w:val="single"/>
    </w:rPr>
  </w:style>
  <w:style w:type="character" w:styleId="30">
    <w:name w:val="Hyperlink"/>
    <w:qFormat/>
    <w:uiPriority w:val="99"/>
    <w:rPr>
      <w:color w:val="0000FF"/>
      <w:u w:val="single"/>
    </w:rPr>
  </w:style>
  <w:style w:type="character" w:styleId="31">
    <w:name w:val="annotation reference"/>
    <w:qFormat/>
    <w:uiPriority w:val="0"/>
    <w:rPr>
      <w:sz w:val="21"/>
      <w:szCs w:val="21"/>
    </w:rPr>
  </w:style>
  <w:style w:type="character" w:customStyle="1" w:styleId="32">
    <w:name w:val="标题 2 Char"/>
    <w:basedOn w:val="26"/>
    <w:link w:val="3"/>
    <w:qFormat/>
    <w:uiPriority w:val="0"/>
    <w:rPr>
      <w:rFonts w:ascii="Arial" w:hAnsi="Arial" w:eastAsia="黑体" w:cs="Times New Roman"/>
      <w:b/>
      <w:sz w:val="32"/>
      <w:szCs w:val="20"/>
    </w:rPr>
  </w:style>
  <w:style w:type="character" w:customStyle="1" w:styleId="33">
    <w:name w:val="页眉 Char"/>
    <w:basedOn w:val="26"/>
    <w:link w:val="15"/>
    <w:qFormat/>
    <w:uiPriority w:val="0"/>
    <w:rPr>
      <w:kern w:val="2"/>
      <w:sz w:val="18"/>
      <w:szCs w:val="18"/>
    </w:rPr>
  </w:style>
  <w:style w:type="character" w:customStyle="1" w:styleId="34">
    <w:name w:val="页脚 Char"/>
    <w:basedOn w:val="26"/>
    <w:link w:val="14"/>
    <w:qFormat/>
    <w:uiPriority w:val="99"/>
    <w:rPr>
      <w:rFonts w:ascii="Times New Roman" w:hAnsi="Times New Roman" w:eastAsia="宋体" w:cs="Times New Roman"/>
      <w:sz w:val="18"/>
      <w:szCs w:val="18"/>
    </w:rPr>
  </w:style>
  <w:style w:type="paragraph" w:customStyle="1" w:styleId="35">
    <w:name w:val="wz1"/>
    <w:basedOn w:val="1"/>
    <w:qFormat/>
    <w:uiPriority w:val="0"/>
    <w:pPr>
      <w:widowControl/>
      <w:spacing w:before="100" w:beforeAutospacing="1" w:after="100" w:afterAutospacing="1" w:line="245" w:lineRule="atLeast"/>
      <w:jc w:val="left"/>
    </w:pPr>
    <w:rPr>
      <w:rFonts w:ascii="Arial Unicode MS" w:hAnsi="Arial Unicode MS" w:eastAsia="Arial Unicode MS" w:cs="Arial Unicode MS"/>
      <w:color w:val="CC0000"/>
      <w:kern w:val="0"/>
      <w:sz w:val="22"/>
      <w:szCs w:val="22"/>
    </w:rPr>
  </w:style>
  <w:style w:type="character" w:customStyle="1" w:styleId="36">
    <w:name w:val="正文文本 Char"/>
    <w:basedOn w:val="26"/>
    <w:link w:val="7"/>
    <w:qFormat/>
    <w:uiPriority w:val="0"/>
    <w:rPr>
      <w:rFonts w:ascii="仿宋_GB2312" w:hAnsi="Times New Roman" w:eastAsia="仿宋_GB2312" w:cs="Times New Roman"/>
      <w:color w:val="000000"/>
      <w:kern w:val="0"/>
      <w:sz w:val="24"/>
      <w:szCs w:val="28"/>
    </w:rPr>
  </w:style>
  <w:style w:type="character" w:customStyle="1" w:styleId="37">
    <w:name w:val="read"/>
    <w:basedOn w:val="26"/>
    <w:qFormat/>
    <w:uiPriority w:val="0"/>
  </w:style>
  <w:style w:type="character" w:customStyle="1" w:styleId="38">
    <w:name w:val="正文文本缩进 Char"/>
    <w:basedOn w:val="26"/>
    <w:link w:val="8"/>
    <w:qFormat/>
    <w:uiPriority w:val="0"/>
    <w:rPr>
      <w:rFonts w:ascii="Times New Roman" w:hAnsi="Times New Roman" w:eastAsia="方正仿宋简体" w:cs="Times New Roman"/>
      <w:sz w:val="24"/>
      <w:szCs w:val="30"/>
    </w:rPr>
  </w:style>
  <w:style w:type="character" w:customStyle="1" w:styleId="39">
    <w:name w:val="正文文本缩进 2 Char"/>
    <w:basedOn w:val="26"/>
    <w:link w:val="12"/>
    <w:qFormat/>
    <w:uiPriority w:val="0"/>
    <w:rPr>
      <w:rFonts w:ascii="宋体" w:hAnsi="宋体" w:eastAsia="宋体" w:cs="Times New Roman"/>
      <w:sz w:val="28"/>
      <w:szCs w:val="20"/>
    </w:rPr>
  </w:style>
  <w:style w:type="character" w:customStyle="1" w:styleId="40">
    <w:name w:val="正文文本缩进 3 Char"/>
    <w:basedOn w:val="26"/>
    <w:link w:val="19"/>
    <w:qFormat/>
    <w:uiPriority w:val="0"/>
    <w:rPr>
      <w:rFonts w:ascii="仿宋_GB2312" w:hAnsi="宋体" w:eastAsia="仿宋_GB2312" w:cs="Arial"/>
      <w:color w:val="000000"/>
      <w:sz w:val="24"/>
      <w:szCs w:val="24"/>
    </w:rPr>
  </w:style>
  <w:style w:type="character" w:customStyle="1" w:styleId="41">
    <w:name w:val="批注框文本 Char"/>
    <w:basedOn w:val="26"/>
    <w:link w:val="13"/>
    <w:semiHidden/>
    <w:qFormat/>
    <w:uiPriority w:val="0"/>
    <w:rPr>
      <w:rFonts w:ascii="Times New Roman" w:hAnsi="Times New Roman" w:eastAsia="宋体" w:cs="Times New Roman"/>
      <w:sz w:val="18"/>
      <w:szCs w:val="18"/>
    </w:rPr>
  </w:style>
  <w:style w:type="paragraph" w:customStyle="1" w:styleId="42">
    <w:name w:val="Char"/>
    <w:basedOn w:val="1"/>
    <w:qFormat/>
    <w:uiPriority w:val="0"/>
  </w:style>
  <w:style w:type="paragraph" w:customStyle="1" w:styleId="43">
    <w:name w:val="Char1"/>
    <w:basedOn w:val="1"/>
    <w:qFormat/>
    <w:uiPriority w:val="0"/>
    <w:pPr>
      <w:tabs>
        <w:tab w:val="left" w:pos="832"/>
      </w:tabs>
      <w:ind w:left="832" w:hanging="420"/>
      <w:jc w:val="center"/>
    </w:pPr>
    <w:rPr>
      <w:rFonts w:ascii="楷体_GB2312" w:eastAsia="楷体_GB2312"/>
      <w:b/>
      <w:color w:val="000080"/>
      <w:sz w:val="30"/>
      <w:szCs w:val="30"/>
    </w:rPr>
  </w:style>
  <w:style w:type="paragraph" w:customStyle="1" w:styleId="44">
    <w:name w:val="Char Char Char"/>
    <w:basedOn w:val="1"/>
    <w:qFormat/>
    <w:uiPriority w:val="0"/>
  </w:style>
  <w:style w:type="character" w:customStyle="1" w:styleId="45">
    <w:name w:val="批注文字 Char"/>
    <w:basedOn w:val="26"/>
    <w:link w:val="6"/>
    <w:qFormat/>
    <w:uiPriority w:val="0"/>
    <w:rPr>
      <w:kern w:val="2"/>
      <w:sz w:val="21"/>
      <w:szCs w:val="24"/>
    </w:rPr>
  </w:style>
  <w:style w:type="paragraph" w:customStyle="1" w:styleId="46">
    <w:name w:val="Char Char Char Char Char Char Char1 Char Char Char Char Char Char"/>
    <w:basedOn w:val="1"/>
    <w:qFormat/>
    <w:uiPriority w:val="0"/>
  </w:style>
  <w:style w:type="paragraph" w:customStyle="1" w:styleId="47">
    <w:name w:val="Char Char"/>
    <w:basedOn w:val="1"/>
    <w:qFormat/>
    <w:uiPriority w:val="0"/>
    <w:rPr>
      <w:szCs w:val="20"/>
    </w:rPr>
  </w:style>
  <w:style w:type="character" w:customStyle="1" w:styleId="48">
    <w:name w:val="HTML 预设格式 Char"/>
    <w:basedOn w:val="26"/>
    <w:link w:val="22"/>
    <w:qFormat/>
    <w:uiPriority w:val="99"/>
    <w:rPr>
      <w:rFonts w:ascii="宋体" w:hAnsi="宋体" w:eastAsia="宋体" w:cs="宋体"/>
      <w:kern w:val="0"/>
      <w:sz w:val="24"/>
      <w:szCs w:val="24"/>
    </w:rPr>
  </w:style>
  <w:style w:type="character" w:customStyle="1" w:styleId="49">
    <w:name w:val="批注主题 Char"/>
    <w:basedOn w:val="45"/>
    <w:link w:val="24"/>
    <w:qFormat/>
    <w:uiPriority w:val="0"/>
    <w:rPr>
      <w:rFonts w:ascii="Times New Roman" w:hAnsi="Times New Roman" w:eastAsia="宋体" w:cs="Times New Roman"/>
      <w:b/>
      <w:bCs/>
      <w:kern w:val="2"/>
      <w:sz w:val="21"/>
      <w:szCs w:val="24"/>
    </w:rPr>
  </w:style>
  <w:style w:type="paragraph" w:customStyle="1" w:styleId="50">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51">
    <w:name w:val="批注文字 字符"/>
    <w:qFormat/>
    <w:uiPriority w:val="99"/>
  </w:style>
  <w:style w:type="character" w:customStyle="1" w:styleId="52">
    <w:name w:val="标题 1 Char"/>
    <w:basedOn w:val="26"/>
    <w:link w:val="2"/>
    <w:qFormat/>
    <w:uiPriority w:val="9"/>
    <w:rPr>
      <w:b/>
      <w:bCs/>
      <w:kern w:val="44"/>
      <w:sz w:val="44"/>
      <w:szCs w:val="44"/>
    </w:rPr>
  </w:style>
  <w:style w:type="paragraph" w:customStyle="1" w:styleId="53">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54">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5">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6">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5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58">
    <w:name w:val="修订7"/>
    <w:hidden/>
    <w:semiHidden/>
    <w:qFormat/>
    <w:uiPriority w:val="99"/>
    <w:rPr>
      <w:rFonts w:ascii="Times New Roman" w:hAnsi="Times New Roman" w:eastAsia="宋体" w:cs="Times New Roman"/>
      <w:kern w:val="2"/>
      <w:sz w:val="21"/>
      <w:szCs w:val="24"/>
      <w:lang w:val="en-US" w:eastAsia="zh-CN" w:bidi="ar-SA"/>
    </w:rPr>
  </w:style>
  <w:style w:type="paragraph" w:customStyle="1" w:styleId="59">
    <w:name w:val="修订8"/>
    <w:hidden/>
    <w:unhideWhenUsed/>
    <w:qFormat/>
    <w:uiPriority w:val="99"/>
    <w:rPr>
      <w:rFonts w:ascii="Times New Roman" w:hAnsi="Times New Roman" w:eastAsia="宋体" w:cs="Times New Roman"/>
      <w:kern w:val="2"/>
      <w:sz w:val="21"/>
      <w:szCs w:val="24"/>
      <w:lang w:val="en-US" w:eastAsia="zh-CN" w:bidi="ar-SA"/>
    </w:rPr>
  </w:style>
  <w:style w:type="character" w:customStyle="1" w:styleId="60">
    <w:name w:val="批注文字 字符2"/>
    <w:qFormat/>
    <w:uiPriority w:val="99"/>
    <w:rPr>
      <w:kern w:val="2"/>
      <w:sz w:val="21"/>
    </w:rPr>
  </w:style>
  <w:style w:type="paragraph" w:customStyle="1" w:styleId="61">
    <w:name w:val="修订9"/>
    <w:hidden/>
    <w:semiHidden/>
    <w:qFormat/>
    <w:uiPriority w:val="99"/>
    <w:rPr>
      <w:rFonts w:ascii="Times New Roman" w:hAnsi="Times New Roman" w:eastAsia="宋体" w:cs="Times New Roman"/>
      <w:kern w:val="2"/>
      <w:sz w:val="21"/>
      <w:szCs w:val="24"/>
      <w:lang w:val="en-US" w:eastAsia="zh-CN" w:bidi="ar-SA"/>
    </w:rPr>
  </w:style>
  <w:style w:type="character" w:customStyle="1" w:styleId="62">
    <w:name w:val="批注文字 Char2"/>
    <w:qFormat/>
    <w:uiPriority w:val="0"/>
    <w:rPr>
      <w:kern w:val="2"/>
      <w:sz w:val="21"/>
    </w:rPr>
  </w:style>
  <w:style w:type="paragraph" w:customStyle="1" w:styleId="63">
    <w:name w:val="修订10"/>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46</Pages>
  <Words>34516</Words>
  <Characters>35009</Characters>
  <Lines>264</Lines>
  <Paragraphs>74</Paragraphs>
  <TotalTime>71</TotalTime>
  <ScaleCrop>false</ScaleCrop>
  <LinksUpToDate>false</LinksUpToDate>
  <CharactersWithSpaces>35109</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2026-06-15T06:45:00Z</dcterms:created>
  <dc:creator>叶方宜</dc:creator>
  <cp:lastModifiedBy>yaosq</cp:lastModifiedBy>
  <cp:lastPrinted>2024-12-15T10:55:00Z</cp:lastPrinted>
  <dcterms:modified xsi:type="dcterms:W3CDTF">2026-09-15T02:28:32Z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39CF91E6EE4F4572B9073EC473BC0D33_13</vt:lpwstr>
  </property>
  <property fmtid="{D5CDD505-2E9C-101B-9397-08002B2CF9AE}" pid="4" name="GrammarlyDocumentId">
    <vt:lpwstr>0938af3e180e81335e124a8299b971a0c5c95ee2f8c13248fdd29b45ff8eb8d5</vt:lpwstr>
  </property>
  <property fmtid="{D5CDD505-2E9C-101B-9397-08002B2CF9AE}" pid="5" name="KSOTemplateDocerSaveRecord">
    <vt:lpwstr>eyJoZGlkIjoiMWI0OThmMWU4NzZlOGE3ZDkxNzljN2Q1MWRjMmIzODEiLCJ1c2VySWQiOiIyNTY3NTgxMjEifQ==</vt:lpwstr>
  </property>
</Properties>
</file>