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1DCC87" w14:textId="77777777" w:rsidR="00026C1A" w:rsidRDefault="00026C1A">
      <w:pPr>
        <w:adjustRightInd w:val="0"/>
        <w:snapToGrid w:val="0"/>
        <w:jc w:val="center"/>
        <w:rPr>
          <w:rFonts w:ascii="宋体" w:hAnsi="宋体" w:cs="Arial"/>
          <w:sz w:val="24"/>
        </w:rPr>
      </w:pPr>
    </w:p>
    <w:p w14:paraId="2BE546F7" w14:textId="77777777" w:rsidR="00026C1A" w:rsidRDefault="00026C1A">
      <w:pPr>
        <w:adjustRightInd w:val="0"/>
        <w:snapToGrid w:val="0"/>
        <w:jc w:val="center"/>
        <w:rPr>
          <w:rFonts w:ascii="宋体" w:hAnsi="宋体" w:cs="Arial"/>
          <w:b/>
          <w:sz w:val="44"/>
        </w:rPr>
      </w:pPr>
    </w:p>
    <w:p w14:paraId="4C151E40" w14:textId="77777777" w:rsidR="00026C1A" w:rsidRDefault="00026C1A">
      <w:pPr>
        <w:adjustRightInd w:val="0"/>
        <w:snapToGrid w:val="0"/>
        <w:jc w:val="center"/>
        <w:rPr>
          <w:rFonts w:ascii="宋体" w:hAnsi="宋体" w:cs="Arial"/>
          <w:b/>
          <w:sz w:val="44"/>
        </w:rPr>
      </w:pPr>
    </w:p>
    <w:p w14:paraId="782D3DE8" w14:textId="00B9E60B" w:rsidR="00026C1A" w:rsidRDefault="000E111F">
      <w:pPr>
        <w:adjustRightInd w:val="0"/>
        <w:snapToGrid w:val="0"/>
        <w:jc w:val="center"/>
        <w:rPr>
          <w:rFonts w:ascii="宋体" w:hAnsi="宋体" w:cs="Arial"/>
          <w:b/>
          <w:sz w:val="44"/>
        </w:rPr>
      </w:pPr>
      <w:r>
        <w:rPr>
          <w:rFonts w:ascii="宋体" w:hAnsi="宋体" w:cs="Arial" w:hint="eastAsia"/>
          <w:b/>
          <w:sz w:val="44"/>
          <w:lang w:bidi="ar"/>
        </w:rPr>
        <w:t>银华中证全指红利质量交易型开放式指数证券投资基金托管协议</w:t>
      </w:r>
    </w:p>
    <w:p w14:paraId="7FDB582F" w14:textId="77777777" w:rsidR="00026C1A" w:rsidRDefault="00026C1A">
      <w:pPr>
        <w:rPr>
          <w:rFonts w:ascii="宋体" w:hAnsi="宋体" w:cs="Arial"/>
          <w:sz w:val="24"/>
        </w:rPr>
      </w:pPr>
    </w:p>
    <w:p w14:paraId="219719AE" w14:textId="77777777" w:rsidR="00026C1A" w:rsidRDefault="00026C1A">
      <w:pPr>
        <w:rPr>
          <w:rFonts w:ascii="宋体" w:hAnsi="宋体" w:cs="Arial"/>
          <w:sz w:val="24"/>
        </w:rPr>
      </w:pPr>
    </w:p>
    <w:p w14:paraId="01601870" w14:textId="77777777" w:rsidR="00026C1A" w:rsidRDefault="00026C1A">
      <w:pPr>
        <w:rPr>
          <w:rFonts w:ascii="宋体" w:hAnsi="宋体" w:cs="Arial"/>
          <w:sz w:val="24"/>
        </w:rPr>
      </w:pPr>
    </w:p>
    <w:p w14:paraId="483E6D87" w14:textId="77777777" w:rsidR="00026C1A" w:rsidRDefault="00026C1A">
      <w:pPr>
        <w:rPr>
          <w:rFonts w:ascii="宋体" w:hAnsi="宋体" w:cs="Arial"/>
          <w:sz w:val="24"/>
        </w:rPr>
      </w:pPr>
    </w:p>
    <w:p w14:paraId="22D552EC" w14:textId="77777777" w:rsidR="00026C1A" w:rsidRDefault="00026C1A">
      <w:pPr>
        <w:rPr>
          <w:rFonts w:ascii="宋体" w:hAnsi="宋体" w:cs="Arial"/>
          <w:sz w:val="24"/>
        </w:rPr>
      </w:pPr>
    </w:p>
    <w:p w14:paraId="55F4F298" w14:textId="77777777" w:rsidR="00026C1A" w:rsidRDefault="00026C1A">
      <w:pPr>
        <w:rPr>
          <w:rFonts w:ascii="宋体" w:hAnsi="宋体" w:cs="Arial"/>
          <w:sz w:val="24"/>
        </w:rPr>
      </w:pPr>
    </w:p>
    <w:p w14:paraId="77B3FF45" w14:textId="77777777" w:rsidR="00026C1A" w:rsidRDefault="00026C1A">
      <w:pPr>
        <w:rPr>
          <w:rFonts w:ascii="宋体" w:hAnsi="宋体" w:cs="Arial"/>
          <w:sz w:val="24"/>
        </w:rPr>
      </w:pPr>
    </w:p>
    <w:p w14:paraId="477B240E" w14:textId="77777777" w:rsidR="00026C1A" w:rsidRDefault="00026C1A">
      <w:pPr>
        <w:rPr>
          <w:rFonts w:ascii="宋体" w:hAnsi="宋体" w:cs="Arial"/>
          <w:sz w:val="24"/>
        </w:rPr>
      </w:pPr>
    </w:p>
    <w:p w14:paraId="08D2F680" w14:textId="77777777" w:rsidR="00026C1A" w:rsidRDefault="00026C1A">
      <w:pPr>
        <w:rPr>
          <w:rFonts w:ascii="宋体" w:hAnsi="宋体" w:cs="Arial"/>
          <w:sz w:val="24"/>
        </w:rPr>
      </w:pPr>
    </w:p>
    <w:p w14:paraId="1FDAB40D" w14:textId="77777777" w:rsidR="00026C1A" w:rsidRDefault="00026C1A">
      <w:pPr>
        <w:rPr>
          <w:rFonts w:ascii="宋体" w:hAnsi="宋体" w:cs="Arial"/>
          <w:sz w:val="24"/>
        </w:rPr>
      </w:pPr>
    </w:p>
    <w:p w14:paraId="72E6C310" w14:textId="77777777" w:rsidR="00026C1A" w:rsidRDefault="00026C1A">
      <w:pPr>
        <w:rPr>
          <w:rFonts w:ascii="宋体" w:hAnsi="宋体" w:cs="Arial"/>
          <w:sz w:val="24"/>
        </w:rPr>
      </w:pPr>
    </w:p>
    <w:p w14:paraId="3B93DF12" w14:textId="77777777" w:rsidR="00026C1A" w:rsidRDefault="00026C1A">
      <w:pPr>
        <w:rPr>
          <w:rFonts w:ascii="宋体" w:hAnsi="宋体" w:cs="Arial"/>
          <w:sz w:val="24"/>
        </w:rPr>
      </w:pPr>
    </w:p>
    <w:p w14:paraId="5B0B12BD" w14:textId="77777777" w:rsidR="00026C1A" w:rsidRDefault="00026C1A">
      <w:pPr>
        <w:rPr>
          <w:rFonts w:ascii="宋体" w:hAnsi="宋体" w:cs="Arial"/>
          <w:sz w:val="24"/>
        </w:rPr>
      </w:pPr>
    </w:p>
    <w:p w14:paraId="2E29344F" w14:textId="77777777" w:rsidR="00026C1A" w:rsidRDefault="00026C1A">
      <w:pPr>
        <w:rPr>
          <w:rFonts w:ascii="宋体" w:hAnsi="宋体" w:cs="Arial"/>
          <w:sz w:val="24"/>
        </w:rPr>
      </w:pPr>
    </w:p>
    <w:p w14:paraId="7929A7CE" w14:textId="77777777" w:rsidR="00026C1A" w:rsidRDefault="00026C1A">
      <w:pPr>
        <w:rPr>
          <w:rFonts w:ascii="宋体" w:hAnsi="宋体" w:cs="Arial"/>
          <w:sz w:val="24"/>
        </w:rPr>
      </w:pPr>
    </w:p>
    <w:p w14:paraId="5D2E19FD" w14:textId="77777777" w:rsidR="00026C1A" w:rsidRDefault="00026C1A">
      <w:pPr>
        <w:rPr>
          <w:rFonts w:ascii="宋体" w:hAnsi="宋体" w:cs="Arial"/>
          <w:sz w:val="24"/>
        </w:rPr>
      </w:pPr>
    </w:p>
    <w:p w14:paraId="103D506F" w14:textId="77777777" w:rsidR="00026C1A" w:rsidRDefault="00026C1A">
      <w:pPr>
        <w:rPr>
          <w:rFonts w:ascii="宋体" w:hAnsi="宋体" w:cs="Arial"/>
          <w:sz w:val="24"/>
        </w:rPr>
      </w:pPr>
    </w:p>
    <w:p w14:paraId="47A75911" w14:textId="77777777" w:rsidR="00026C1A" w:rsidRDefault="00026C1A">
      <w:pPr>
        <w:rPr>
          <w:rFonts w:ascii="宋体" w:hAnsi="宋体" w:cs="Arial"/>
          <w:sz w:val="24"/>
        </w:rPr>
      </w:pPr>
    </w:p>
    <w:p w14:paraId="0331A967" w14:textId="77777777" w:rsidR="00026C1A" w:rsidRDefault="000E111F">
      <w:pPr>
        <w:jc w:val="center"/>
        <w:rPr>
          <w:rFonts w:ascii="宋体" w:hAnsi="宋体" w:cs="Arial"/>
          <w:b/>
          <w:sz w:val="28"/>
        </w:rPr>
      </w:pPr>
      <w:r>
        <w:rPr>
          <w:rFonts w:ascii="宋体" w:hAnsi="宋体" w:cs="Arial" w:hint="eastAsia"/>
          <w:b/>
          <w:sz w:val="28"/>
          <w:lang w:bidi="ar"/>
        </w:rPr>
        <w:t>基金管理人：银华基金管理股份有限公司</w:t>
      </w:r>
    </w:p>
    <w:p w14:paraId="7E58EAD4" w14:textId="77777777" w:rsidR="00026C1A" w:rsidRDefault="000E111F">
      <w:pPr>
        <w:jc w:val="center"/>
        <w:rPr>
          <w:rFonts w:ascii="宋体" w:hAnsi="宋体" w:cs="Arial"/>
          <w:b/>
          <w:sz w:val="28"/>
        </w:rPr>
      </w:pPr>
      <w:r>
        <w:rPr>
          <w:rFonts w:ascii="宋体" w:hAnsi="宋体" w:cs="Arial" w:hint="eastAsia"/>
          <w:b/>
          <w:sz w:val="28"/>
          <w:lang w:bidi="ar"/>
        </w:rPr>
        <w:t>基金托管人：中国建设银行股份有限公司</w:t>
      </w:r>
    </w:p>
    <w:p w14:paraId="1B74F7EB" w14:textId="77777777" w:rsidR="00026C1A" w:rsidRDefault="00026C1A">
      <w:pPr>
        <w:rPr>
          <w:rFonts w:ascii="宋体" w:hAnsi="宋体" w:cs="Arial"/>
          <w:sz w:val="24"/>
        </w:rPr>
      </w:pPr>
    </w:p>
    <w:p w14:paraId="26698445" w14:textId="77777777" w:rsidR="00026C1A" w:rsidRDefault="00026C1A">
      <w:pPr>
        <w:rPr>
          <w:rFonts w:ascii="宋体" w:hAnsi="宋体" w:cs="Arial"/>
          <w:sz w:val="24"/>
        </w:rPr>
      </w:pPr>
    </w:p>
    <w:p w14:paraId="5615935B" w14:textId="77777777" w:rsidR="00026C1A" w:rsidRDefault="00026C1A">
      <w:pPr>
        <w:rPr>
          <w:rFonts w:ascii="宋体" w:hAnsi="宋体" w:cs="Arial"/>
          <w:sz w:val="24"/>
        </w:rPr>
      </w:pPr>
    </w:p>
    <w:p w14:paraId="5B306C39" w14:textId="77777777" w:rsidR="00026C1A" w:rsidRDefault="00026C1A">
      <w:pPr>
        <w:rPr>
          <w:rFonts w:ascii="宋体" w:hAnsi="宋体" w:cs="Arial"/>
          <w:sz w:val="24"/>
        </w:rPr>
      </w:pPr>
    </w:p>
    <w:p w14:paraId="1A40DEA3" w14:textId="77777777" w:rsidR="00026C1A" w:rsidRDefault="000E111F">
      <w:pPr>
        <w:rPr>
          <w:rFonts w:ascii="宋体" w:hAnsi="宋体" w:cs="Arial"/>
          <w:sz w:val="24"/>
        </w:rPr>
      </w:pPr>
      <w:r>
        <w:rPr>
          <w:rFonts w:ascii="宋体" w:hAnsi="宋体" w:cs="Arial" w:hint="eastAsia"/>
          <w:sz w:val="24"/>
          <w:lang w:bidi="ar"/>
        </w:rPr>
        <w:t xml:space="preserve">               </w:t>
      </w:r>
    </w:p>
    <w:p w14:paraId="1FE13B1F" w14:textId="77777777" w:rsidR="00026C1A" w:rsidRDefault="00026C1A">
      <w:pPr>
        <w:rPr>
          <w:rFonts w:ascii="宋体" w:hAnsi="宋体" w:cs="Arial"/>
          <w:sz w:val="24"/>
        </w:rPr>
      </w:pPr>
    </w:p>
    <w:p w14:paraId="1EFF6D02" w14:textId="77777777" w:rsidR="00026C1A" w:rsidRDefault="00026C1A">
      <w:pPr>
        <w:rPr>
          <w:rFonts w:ascii="宋体" w:hAnsi="宋体" w:cs="Arial"/>
          <w:bCs/>
          <w:sz w:val="24"/>
        </w:rPr>
      </w:pPr>
    </w:p>
    <w:p w14:paraId="1945330E" w14:textId="77777777" w:rsidR="00026C1A" w:rsidRDefault="00026C1A">
      <w:pPr>
        <w:rPr>
          <w:rFonts w:ascii="宋体" w:hAnsi="宋体" w:cs="Arial"/>
          <w:bCs/>
          <w:sz w:val="24"/>
        </w:rPr>
      </w:pPr>
    </w:p>
    <w:p w14:paraId="09DFA115" w14:textId="77777777" w:rsidR="00026C1A" w:rsidRDefault="00026C1A">
      <w:pPr>
        <w:rPr>
          <w:rFonts w:ascii="宋体" w:hAnsi="宋体" w:cs="Arial"/>
          <w:bCs/>
          <w:sz w:val="24"/>
          <w:lang w:bidi="ar"/>
        </w:rPr>
        <w:sectPr w:rsidR="00026C1A">
          <w:headerReference w:type="even" r:id="rId6"/>
          <w:headerReference w:type="default" r:id="rId7"/>
          <w:footerReference w:type="default" r:id="rId8"/>
          <w:pgSz w:w="11906" w:h="16838"/>
          <w:pgMar w:top="1418" w:right="1702" w:bottom="1418" w:left="1702" w:header="851" w:footer="992" w:gutter="0"/>
          <w:cols w:space="720"/>
          <w:docGrid w:type="lines" w:linePitch="312"/>
        </w:sectPr>
      </w:pPr>
    </w:p>
    <w:p w14:paraId="1996F5EA" w14:textId="77777777" w:rsidR="00026C1A" w:rsidRDefault="000E111F">
      <w:pPr>
        <w:pStyle w:val="1"/>
        <w:jc w:val="center"/>
        <w:rPr>
          <w:rFonts w:ascii="宋体" w:hAnsi="宋体" w:cs="宋体"/>
          <w:b w:val="0"/>
          <w:sz w:val="30"/>
        </w:rPr>
      </w:pPr>
      <w:r>
        <w:rPr>
          <w:rFonts w:ascii="宋体" w:hAnsi="宋体" w:cs="宋体" w:hint="eastAsia"/>
          <w:sz w:val="30"/>
          <w:lang w:bidi="ar"/>
        </w:rPr>
        <w:lastRenderedPageBreak/>
        <w:t>目    录</w:t>
      </w:r>
    </w:p>
    <w:p w14:paraId="0BE0311C" w14:textId="001B9754" w:rsidR="00026C1A" w:rsidRDefault="000E111F">
      <w:pPr>
        <w:pStyle w:val="23"/>
        <w:tabs>
          <w:tab w:val="right" w:leader="dot" w:pos="8296"/>
        </w:tabs>
        <w:rPr>
          <w:rFonts w:ascii="宋体" w:hAnsi="宋体"/>
          <w:noProof/>
          <w:sz w:val="24"/>
        </w:rPr>
      </w:pPr>
      <w:r>
        <w:rPr>
          <w:rFonts w:ascii="宋体" w:hAnsi="宋体" w:cs="宋体" w:hint="eastAsia"/>
          <w:sz w:val="24"/>
        </w:rPr>
        <w:fldChar w:fldCharType="begin"/>
      </w:r>
      <w:r>
        <w:rPr>
          <w:rFonts w:ascii="宋体" w:hAnsi="宋体" w:cs="宋体" w:hint="eastAsia"/>
          <w:sz w:val="24"/>
        </w:rPr>
        <w:instrText xml:space="preserve"> TOC \o "1-2" \h \z </w:instrText>
      </w:r>
      <w:r>
        <w:rPr>
          <w:rFonts w:ascii="宋体" w:hAnsi="宋体" w:cs="宋体" w:hint="eastAsia"/>
          <w:sz w:val="24"/>
        </w:rPr>
        <w:fldChar w:fldCharType="separate"/>
      </w:r>
      <w:hyperlink w:anchor="_Toc111186465" w:history="1">
        <w:r>
          <w:rPr>
            <w:rStyle w:val="af3"/>
            <w:rFonts w:ascii="宋体" w:hAnsi="宋体" w:cs="宋体" w:hint="eastAsia"/>
            <w:noProof/>
            <w:sz w:val="24"/>
          </w:rPr>
          <w:t>一、基金托管协议当事人</w:t>
        </w:r>
        <w:r>
          <w:rPr>
            <w:rFonts w:ascii="宋体" w:hAnsi="宋体"/>
            <w:noProof/>
            <w:sz w:val="24"/>
          </w:rPr>
          <w:tab/>
        </w:r>
        <w:r>
          <w:rPr>
            <w:rFonts w:ascii="宋体" w:hAnsi="宋体"/>
            <w:noProof/>
            <w:sz w:val="24"/>
          </w:rPr>
          <w:fldChar w:fldCharType="begin"/>
        </w:r>
        <w:r>
          <w:rPr>
            <w:rFonts w:ascii="宋体" w:hAnsi="宋体"/>
            <w:noProof/>
            <w:sz w:val="24"/>
          </w:rPr>
          <w:instrText xml:space="preserve"> PAGEREF _Toc111186465 \h </w:instrText>
        </w:r>
        <w:r>
          <w:rPr>
            <w:rFonts w:ascii="宋体" w:hAnsi="宋体"/>
            <w:noProof/>
            <w:sz w:val="24"/>
          </w:rPr>
        </w:r>
        <w:r>
          <w:rPr>
            <w:rFonts w:ascii="宋体" w:hAnsi="宋体"/>
            <w:noProof/>
            <w:sz w:val="24"/>
          </w:rPr>
          <w:fldChar w:fldCharType="separate"/>
        </w:r>
        <w:r w:rsidR="00006D07">
          <w:rPr>
            <w:rFonts w:ascii="宋体" w:hAnsi="宋体"/>
            <w:noProof/>
            <w:sz w:val="24"/>
          </w:rPr>
          <w:t>2</w:t>
        </w:r>
        <w:r>
          <w:rPr>
            <w:rFonts w:ascii="宋体" w:hAnsi="宋体"/>
            <w:noProof/>
            <w:sz w:val="24"/>
          </w:rPr>
          <w:fldChar w:fldCharType="end"/>
        </w:r>
      </w:hyperlink>
    </w:p>
    <w:p w14:paraId="45EAF609" w14:textId="6EF6D6A5" w:rsidR="00026C1A" w:rsidRDefault="00855CB3">
      <w:pPr>
        <w:pStyle w:val="23"/>
        <w:tabs>
          <w:tab w:val="right" w:leader="dot" w:pos="8296"/>
        </w:tabs>
        <w:rPr>
          <w:rFonts w:ascii="宋体" w:hAnsi="宋体"/>
          <w:noProof/>
          <w:sz w:val="24"/>
        </w:rPr>
      </w:pPr>
      <w:hyperlink w:anchor="_Toc111186466" w:history="1">
        <w:r w:rsidR="000E111F">
          <w:rPr>
            <w:rStyle w:val="af3"/>
            <w:rFonts w:ascii="宋体" w:hAnsi="宋体" w:cs="宋体" w:hint="eastAsia"/>
            <w:noProof/>
            <w:sz w:val="24"/>
          </w:rPr>
          <w:t>二、基金托管协议的依据、目的和原则</w:t>
        </w:r>
        <w:r w:rsidR="000E111F">
          <w:rPr>
            <w:rFonts w:ascii="宋体" w:hAnsi="宋体"/>
            <w:noProof/>
            <w:sz w:val="24"/>
          </w:rPr>
          <w:tab/>
        </w:r>
        <w:r w:rsidR="000E111F">
          <w:rPr>
            <w:rFonts w:ascii="宋体" w:hAnsi="宋体"/>
            <w:noProof/>
            <w:sz w:val="24"/>
          </w:rPr>
          <w:fldChar w:fldCharType="begin"/>
        </w:r>
        <w:r w:rsidR="000E111F">
          <w:rPr>
            <w:rFonts w:ascii="宋体" w:hAnsi="宋体"/>
            <w:noProof/>
            <w:sz w:val="24"/>
          </w:rPr>
          <w:instrText xml:space="preserve"> PAGEREF _Toc111186466 \h </w:instrText>
        </w:r>
        <w:r w:rsidR="000E111F">
          <w:rPr>
            <w:rFonts w:ascii="宋体" w:hAnsi="宋体"/>
            <w:noProof/>
            <w:sz w:val="24"/>
          </w:rPr>
        </w:r>
        <w:r w:rsidR="000E111F">
          <w:rPr>
            <w:rFonts w:ascii="宋体" w:hAnsi="宋体"/>
            <w:noProof/>
            <w:sz w:val="24"/>
          </w:rPr>
          <w:fldChar w:fldCharType="separate"/>
        </w:r>
        <w:r w:rsidR="00006D07">
          <w:rPr>
            <w:rFonts w:ascii="宋体" w:hAnsi="宋体"/>
            <w:noProof/>
            <w:sz w:val="24"/>
          </w:rPr>
          <w:t>3</w:t>
        </w:r>
        <w:r w:rsidR="000E111F">
          <w:rPr>
            <w:rFonts w:ascii="宋体" w:hAnsi="宋体"/>
            <w:noProof/>
            <w:sz w:val="24"/>
          </w:rPr>
          <w:fldChar w:fldCharType="end"/>
        </w:r>
      </w:hyperlink>
    </w:p>
    <w:p w14:paraId="1F51C0C5" w14:textId="2AF00676" w:rsidR="00026C1A" w:rsidRDefault="00855CB3">
      <w:pPr>
        <w:pStyle w:val="23"/>
        <w:tabs>
          <w:tab w:val="right" w:leader="dot" w:pos="8296"/>
        </w:tabs>
        <w:rPr>
          <w:rFonts w:ascii="宋体" w:hAnsi="宋体"/>
          <w:noProof/>
          <w:sz w:val="24"/>
        </w:rPr>
      </w:pPr>
      <w:hyperlink w:anchor="_Toc111186467" w:history="1">
        <w:r w:rsidR="000E111F">
          <w:rPr>
            <w:rStyle w:val="af3"/>
            <w:rFonts w:ascii="宋体" w:hAnsi="宋体" w:cs="宋体" w:hint="eastAsia"/>
            <w:noProof/>
            <w:sz w:val="24"/>
          </w:rPr>
          <w:t>三、基金托管人对基金管理人的业务监督和核查</w:t>
        </w:r>
        <w:r w:rsidR="000E111F">
          <w:rPr>
            <w:rFonts w:ascii="宋体" w:hAnsi="宋体"/>
            <w:noProof/>
            <w:sz w:val="24"/>
          </w:rPr>
          <w:tab/>
        </w:r>
        <w:r w:rsidR="000E111F">
          <w:rPr>
            <w:rFonts w:ascii="宋体" w:hAnsi="宋体"/>
            <w:noProof/>
            <w:sz w:val="24"/>
          </w:rPr>
          <w:fldChar w:fldCharType="begin"/>
        </w:r>
        <w:r w:rsidR="000E111F">
          <w:rPr>
            <w:rFonts w:ascii="宋体" w:hAnsi="宋体"/>
            <w:noProof/>
            <w:sz w:val="24"/>
          </w:rPr>
          <w:instrText xml:space="preserve"> PAGEREF _Toc111186467 \h </w:instrText>
        </w:r>
        <w:r w:rsidR="000E111F">
          <w:rPr>
            <w:rFonts w:ascii="宋体" w:hAnsi="宋体"/>
            <w:noProof/>
            <w:sz w:val="24"/>
          </w:rPr>
        </w:r>
        <w:r w:rsidR="000E111F">
          <w:rPr>
            <w:rFonts w:ascii="宋体" w:hAnsi="宋体"/>
            <w:noProof/>
            <w:sz w:val="24"/>
          </w:rPr>
          <w:fldChar w:fldCharType="separate"/>
        </w:r>
        <w:r w:rsidR="00006D07">
          <w:rPr>
            <w:rFonts w:ascii="宋体" w:hAnsi="宋体"/>
            <w:noProof/>
            <w:sz w:val="24"/>
          </w:rPr>
          <w:t>4</w:t>
        </w:r>
        <w:r w:rsidR="000E111F">
          <w:rPr>
            <w:rFonts w:ascii="宋体" w:hAnsi="宋体"/>
            <w:noProof/>
            <w:sz w:val="24"/>
          </w:rPr>
          <w:fldChar w:fldCharType="end"/>
        </w:r>
      </w:hyperlink>
    </w:p>
    <w:p w14:paraId="3D4B5FF9" w14:textId="40332FF5" w:rsidR="00026C1A" w:rsidRDefault="00855CB3">
      <w:pPr>
        <w:pStyle w:val="23"/>
        <w:tabs>
          <w:tab w:val="right" w:leader="dot" w:pos="8296"/>
        </w:tabs>
        <w:rPr>
          <w:rFonts w:ascii="宋体" w:hAnsi="宋体"/>
          <w:noProof/>
          <w:sz w:val="24"/>
        </w:rPr>
      </w:pPr>
      <w:hyperlink w:anchor="_Toc111186468" w:history="1">
        <w:r w:rsidR="000E111F">
          <w:rPr>
            <w:rStyle w:val="af3"/>
            <w:rFonts w:ascii="宋体" w:hAnsi="宋体" w:cs="宋体" w:hint="eastAsia"/>
            <w:noProof/>
            <w:sz w:val="24"/>
          </w:rPr>
          <w:t>四、基金管理人对基金托管人的业务核查</w:t>
        </w:r>
        <w:r w:rsidR="000E111F">
          <w:rPr>
            <w:rFonts w:ascii="宋体" w:hAnsi="宋体"/>
            <w:noProof/>
            <w:sz w:val="24"/>
          </w:rPr>
          <w:tab/>
        </w:r>
        <w:r w:rsidR="000E111F">
          <w:rPr>
            <w:rFonts w:ascii="宋体" w:hAnsi="宋体"/>
            <w:noProof/>
            <w:sz w:val="24"/>
          </w:rPr>
          <w:fldChar w:fldCharType="begin"/>
        </w:r>
        <w:r w:rsidR="000E111F">
          <w:rPr>
            <w:rFonts w:ascii="宋体" w:hAnsi="宋体"/>
            <w:noProof/>
            <w:sz w:val="24"/>
          </w:rPr>
          <w:instrText xml:space="preserve"> PAGEREF _Toc111186468 \h </w:instrText>
        </w:r>
        <w:r w:rsidR="000E111F">
          <w:rPr>
            <w:rFonts w:ascii="宋体" w:hAnsi="宋体"/>
            <w:noProof/>
            <w:sz w:val="24"/>
          </w:rPr>
        </w:r>
        <w:r w:rsidR="000E111F">
          <w:rPr>
            <w:rFonts w:ascii="宋体" w:hAnsi="宋体"/>
            <w:noProof/>
            <w:sz w:val="24"/>
          </w:rPr>
          <w:fldChar w:fldCharType="separate"/>
        </w:r>
        <w:r w:rsidR="00006D07">
          <w:rPr>
            <w:rFonts w:ascii="宋体" w:hAnsi="宋体"/>
            <w:noProof/>
            <w:sz w:val="24"/>
          </w:rPr>
          <w:t>8</w:t>
        </w:r>
        <w:r w:rsidR="000E111F">
          <w:rPr>
            <w:rFonts w:ascii="宋体" w:hAnsi="宋体"/>
            <w:noProof/>
            <w:sz w:val="24"/>
          </w:rPr>
          <w:fldChar w:fldCharType="end"/>
        </w:r>
      </w:hyperlink>
    </w:p>
    <w:p w14:paraId="5E109532" w14:textId="022B5242" w:rsidR="00026C1A" w:rsidRDefault="00855CB3">
      <w:pPr>
        <w:pStyle w:val="23"/>
        <w:tabs>
          <w:tab w:val="right" w:leader="dot" w:pos="8296"/>
        </w:tabs>
        <w:rPr>
          <w:rFonts w:ascii="宋体" w:hAnsi="宋体"/>
          <w:noProof/>
          <w:sz w:val="24"/>
        </w:rPr>
      </w:pPr>
      <w:hyperlink w:anchor="_Toc111186469" w:history="1">
        <w:r w:rsidR="000E111F">
          <w:rPr>
            <w:rStyle w:val="af3"/>
            <w:rFonts w:ascii="宋体" w:hAnsi="宋体" w:cs="宋体" w:hint="eastAsia"/>
            <w:noProof/>
            <w:sz w:val="24"/>
          </w:rPr>
          <w:t>五、基金财产的保管</w:t>
        </w:r>
        <w:r w:rsidR="000E111F">
          <w:rPr>
            <w:rFonts w:ascii="宋体" w:hAnsi="宋体"/>
            <w:noProof/>
            <w:sz w:val="24"/>
          </w:rPr>
          <w:tab/>
        </w:r>
        <w:r w:rsidR="000E111F">
          <w:rPr>
            <w:rFonts w:ascii="宋体" w:hAnsi="宋体"/>
            <w:noProof/>
            <w:sz w:val="24"/>
          </w:rPr>
          <w:fldChar w:fldCharType="begin"/>
        </w:r>
        <w:r w:rsidR="000E111F">
          <w:rPr>
            <w:rFonts w:ascii="宋体" w:hAnsi="宋体"/>
            <w:noProof/>
            <w:sz w:val="24"/>
          </w:rPr>
          <w:instrText xml:space="preserve"> PAGEREF _Toc111186469 \h </w:instrText>
        </w:r>
        <w:r w:rsidR="000E111F">
          <w:rPr>
            <w:rFonts w:ascii="宋体" w:hAnsi="宋体"/>
            <w:noProof/>
            <w:sz w:val="24"/>
          </w:rPr>
        </w:r>
        <w:r w:rsidR="000E111F">
          <w:rPr>
            <w:rFonts w:ascii="宋体" w:hAnsi="宋体"/>
            <w:noProof/>
            <w:sz w:val="24"/>
          </w:rPr>
          <w:fldChar w:fldCharType="separate"/>
        </w:r>
        <w:r w:rsidR="00006D07">
          <w:rPr>
            <w:rFonts w:ascii="宋体" w:hAnsi="宋体"/>
            <w:noProof/>
            <w:sz w:val="24"/>
          </w:rPr>
          <w:t>9</w:t>
        </w:r>
        <w:r w:rsidR="000E111F">
          <w:rPr>
            <w:rFonts w:ascii="宋体" w:hAnsi="宋体"/>
            <w:noProof/>
            <w:sz w:val="24"/>
          </w:rPr>
          <w:fldChar w:fldCharType="end"/>
        </w:r>
      </w:hyperlink>
    </w:p>
    <w:p w14:paraId="46E1A610" w14:textId="37BF52E6" w:rsidR="00026C1A" w:rsidRDefault="00855CB3">
      <w:pPr>
        <w:pStyle w:val="23"/>
        <w:tabs>
          <w:tab w:val="right" w:leader="dot" w:pos="8296"/>
        </w:tabs>
        <w:rPr>
          <w:rFonts w:ascii="宋体" w:hAnsi="宋体"/>
          <w:noProof/>
          <w:sz w:val="24"/>
        </w:rPr>
      </w:pPr>
      <w:hyperlink w:anchor="_Toc111186470" w:history="1">
        <w:r w:rsidR="000E111F">
          <w:rPr>
            <w:rStyle w:val="af3"/>
            <w:rFonts w:ascii="宋体" w:hAnsi="宋体" w:cs="宋体" w:hint="eastAsia"/>
            <w:noProof/>
            <w:sz w:val="24"/>
          </w:rPr>
          <w:t>六、指令的发送、确认及执行</w:t>
        </w:r>
        <w:bookmarkStart w:id="0" w:name="_GoBack"/>
        <w:bookmarkEnd w:id="0"/>
        <w:r w:rsidR="000E111F">
          <w:rPr>
            <w:rFonts w:ascii="宋体" w:hAnsi="宋体"/>
            <w:noProof/>
            <w:sz w:val="24"/>
          </w:rPr>
          <w:tab/>
        </w:r>
        <w:r w:rsidR="000E111F">
          <w:rPr>
            <w:rFonts w:ascii="宋体" w:hAnsi="宋体"/>
            <w:noProof/>
            <w:sz w:val="24"/>
          </w:rPr>
          <w:fldChar w:fldCharType="begin"/>
        </w:r>
        <w:r w:rsidR="000E111F">
          <w:rPr>
            <w:rFonts w:ascii="宋体" w:hAnsi="宋体"/>
            <w:noProof/>
            <w:sz w:val="24"/>
          </w:rPr>
          <w:instrText xml:space="preserve"> PAGEREF _Toc111186470 \h </w:instrText>
        </w:r>
        <w:r w:rsidR="000E111F">
          <w:rPr>
            <w:rFonts w:ascii="宋体" w:hAnsi="宋体"/>
            <w:noProof/>
            <w:sz w:val="24"/>
          </w:rPr>
        </w:r>
        <w:r w:rsidR="000E111F">
          <w:rPr>
            <w:rFonts w:ascii="宋体" w:hAnsi="宋体"/>
            <w:noProof/>
            <w:sz w:val="24"/>
          </w:rPr>
          <w:fldChar w:fldCharType="separate"/>
        </w:r>
        <w:r w:rsidR="00006D07">
          <w:rPr>
            <w:rFonts w:ascii="宋体" w:hAnsi="宋体"/>
            <w:noProof/>
            <w:sz w:val="24"/>
          </w:rPr>
          <w:t>11</w:t>
        </w:r>
        <w:r w:rsidR="000E111F">
          <w:rPr>
            <w:rFonts w:ascii="宋体" w:hAnsi="宋体"/>
            <w:noProof/>
            <w:sz w:val="24"/>
          </w:rPr>
          <w:fldChar w:fldCharType="end"/>
        </w:r>
      </w:hyperlink>
    </w:p>
    <w:p w14:paraId="3281D0B8" w14:textId="0307510E" w:rsidR="00026C1A" w:rsidRDefault="00855CB3">
      <w:pPr>
        <w:pStyle w:val="23"/>
        <w:tabs>
          <w:tab w:val="right" w:leader="dot" w:pos="8296"/>
        </w:tabs>
        <w:rPr>
          <w:rFonts w:ascii="宋体" w:hAnsi="宋体"/>
          <w:noProof/>
          <w:sz w:val="24"/>
        </w:rPr>
      </w:pPr>
      <w:hyperlink w:anchor="_Toc111186471" w:history="1">
        <w:r w:rsidR="000E111F">
          <w:rPr>
            <w:rStyle w:val="af3"/>
            <w:rFonts w:ascii="宋体" w:hAnsi="宋体" w:cs="宋体" w:hint="eastAsia"/>
            <w:noProof/>
            <w:sz w:val="24"/>
          </w:rPr>
          <w:t>七、交易及清算交收安排</w:t>
        </w:r>
        <w:r w:rsidR="000E111F">
          <w:rPr>
            <w:rFonts w:ascii="宋体" w:hAnsi="宋体"/>
            <w:noProof/>
            <w:sz w:val="24"/>
          </w:rPr>
          <w:tab/>
        </w:r>
        <w:r w:rsidR="000E111F">
          <w:rPr>
            <w:rFonts w:ascii="宋体" w:hAnsi="宋体"/>
            <w:noProof/>
            <w:sz w:val="24"/>
          </w:rPr>
          <w:fldChar w:fldCharType="begin"/>
        </w:r>
        <w:r w:rsidR="000E111F">
          <w:rPr>
            <w:rFonts w:ascii="宋体" w:hAnsi="宋体"/>
            <w:noProof/>
            <w:sz w:val="24"/>
          </w:rPr>
          <w:instrText xml:space="preserve"> PAGEREF _Toc111186471 \h </w:instrText>
        </w:r>
        <w:r w:rsidR="000E111F">
          <w:rPr>
            <w:rFonts w:ascii="宋体" w:hAnsi="宋体"/>
            <w:noProof/>
            <w:sz w:val="24"/>
          </w:rPr>
        </w:r>
        <w:r w:rsidR="000E111F">
          <w:rPr>
            <w:rFonts w:ascii="宋体" w:hAnsi="宋体"/>
            <w:noProof/>
            <w:sz w:val="24"/>
          </w:rPr>
          <w:fldChar w:fldCharType="separate"/>
        </w:r>
        <w:r w:rsidR="00006D07">
          <w:rPr>
            <w:rFonts w:ascii="宋体" w:hAnsi="宋体"/>
            <w:noProof/>
            <w:sz w:val="24"/>
          </w:rPr>
          <w:t>13</w:t>
        </w:r>
        <w:r w:rsidR="000E111F">
          <w:rPr>
            <w:rFonts w:ascii="宋体" w:hAnsi="宋体"/>
            <w:noProof/>
            <w:sz w:val="24"/>
          </w:rPr>
          <w:fldChar w:fldCharType="end"/>
        </w:r>
      </w:hyperlink>
    </w:p>
    <w:p w14:paraId="25008ABA" w14:textId="7AB37D42" w:rsidR="00026C1A" w:rsidRDefault="00855CB3">
      <w:pPr>
        <w:pStyle w:val="23"/>
        <w:tabs>
          <w:tab w:val="right" w:leader="dot" w:pos="8296"/>
        </w:tabs>
        <w:rPr>
          <w:rFonts w:ascii="宋体" w:hAnsi="宋体"/>
          <w:noProof/>
          <w:sz w:val="24"/>
        </w:rPr>
      </w:pPr>
      <w:hyperlink w:anchor="_Toc111186472" w:history="1">
        <w:r w:rsidR="000E111F">
          <w:rPr>
            <w:rStyle w:val="af3"/>
            <w:rFonts w:ascii="宋体" w:hAnsi="宋体" w:cs="宋体" w:hint="eastAsia"/>
            <w:noProof/>
            <w:sz w:val="24"/>
          </w:rPr>
          <w:t>八、基金资产净值计算和会计核算</w:t>
        </w:r>
        <w:r w:rsidR="000E111F">
          <w:rPr>
            <w:rFonts w:ascii="宋体" w:hAnsi="宋体"/>
            <w:noProof/>
            <w:sz w:val="24"/>
          </w:rPr>
          <w:tab/>
        </w:r>
        <w:r w:rsidR="000E111F">
          <w:rPr>
            <w:rFonts w:ascii="宋体" w:hAnsi="宋体"/>
            <w:noProof/>
            <w:sz w:val="24"/>
          </w:rPr>
          <w:fldChar w:fldCharType="begin"/>
        </w:r>
        <w:r w:rsidR="000E111F">
          <w:rPr>
            <w:rFonts w:ascii="宋体" w:hAnsi="宋体"/>
            <w:noProof/>
            <w:sz w:val="24"/>
          </w:rPr>
          <w:instrText xml:space="preserve"> PAGEREF _Toc111186472 \h </w:instrText>
        </w:r>
        <w:r w:rsidR="000E111F">
          <w:rPr>
            <w:rFonts w:ascii="宋体" w:hAnsi="宋体"/>
            <w:noProof/>
            <w:sz w:val="24"/>
          </w:rPr>
        </w:r>
        <w:r w:rsidR="000E111F">
          <w:rPr>
            <w:rFonts w:ascii="宋体" w:hAnsi="宋体"/>
            <w:noProof/>
            <w:sz w:val="24"/>
          </w:rPr>
          <w:fldChar w:fldCharType="separate"/>
        </w:r>
        <w:r w:rsidR="00006D07">
          <w:rPr>
            <w:rFonts w:ascii="宋体" w:hAnsi="宋体"/>
            <w:noProof/>
            <w:sz w:val="24"/>
          </w:rPr>
          <w:t>16</w:t>
        </w:r>
        <w:r w:rsidR="000E111F">
          <w:rPr>
            <w:rFonts w:ascii="宋体" w:hAnsi="宋体"/>
            <w:noProof/>
            <w:sz w:val="24"/>
          </w:rPr>
          <w:fldChar w:fldCharType="end"/>
        </w:r>
      </w:hyperlink>
    </w:p>
    <w:p w14:paraId="35092A26" w14:textId="034F36D1" w:rsidR="00026C1A" w:rsidRDefault="00855CB3">
      <w:pPr>
        <w:pStyle w:val="23"/>
        <w:tabs>
          <w:tab w:val="right" w:leader="dot" w:pos="8296"/>
        </w:tabs>
        <w:rPr>
          <w:rFonts w:ascii="宋体" w:hAnsi="宋体"/>
          <w:noProof/>
          <w:sz w:val="24"/>
        </w:rPr>
      </w:pPr>
      <w:hyperlink w:anchor="_Toc111186473" w:history="1">
        <w:r w:rsidR="000E111F">
          <w:rPr>
            <w:rStyle w:val="af3"/>
            <w:rFonts w:ascii="宋体" w:hAnsi="宋体" w:cs="宋体" w:hint="eastAsia"/>
            <w:noProof/>
            <w:sz w:val="24"/>
          </w:rPr>
          <w:t>九、基金收益分配</w:t>
        </w:r>
        <w:r w:rsidR="000E111F">
          <w:rPr>
            <w:rFonts w:ascii="宋体" w:hAnsi="宋体"/>
            <w:noProof/>
            <w:sz w:val="24"/>
          </w:rPr>
          <w:tab/>
        </w:r>
        <w:r w:rsidR="000E111F">
          <w:rPr>
            <w:rFonts w:ascii="宋体" w:hAnsi="宋体"/>
            <w:noProof/>
            <w:sz w:val="24"/>
          </w:rPr>
          <w:fldChar w:fldCharType="begin"/>
        </w:r>
        <w:r w:rsidR="000E111F">
          <w:rPr>
            <w:rFonts w:ascii="宋体" w:hAnsi="宋体"/>
            <w:noProof/>
            <w:sz w:val="24"/>
          </w:rPr>
          <w:instrText xml:space="preserve"> PAGEREF _Toc111186473 \h </w:instrText>
        </w:r>
        <w:r w:rsidR="000E111F">
          <w:rPr>
            <w:rFonts w:ascii="宋体" w:hAnsi="宋体"/>
            <w:noProof/>
            <w:sz w:val="24"/>
          </w:rPr>
        </w:r>
        <w:r w:rsidR="000E111F">
          <w:rPr>
            <w:rFonts w:ascii="宋体" w:hAnsi="宋体"/>
            <w:noProof/>
            <w:sz w:val="24"/>
          </w:rPr>
          <w:fldChar w:fldCharType="separate"/>
        </w:r>
        <w:r w:rsidR="00006D07">
          <w:rPr>
            <w:rFonts w:ascii="宋体" w:hAnsi="宋体"/>
            <w:noProof/>
            <w:sz w:val="24"/>
          </w:rPr>
          <w:t>20</w:t>
        </w:r>
        <w:r w:rsidR="000E111F">
          <w:rPr>
            <w:rFonts w:ascii="宋体" w:hAnsi="宋体"/>
            <w:noProof/>
            <w:sz w:val="24"/>
          </w:rPr>
          <w:fldChar w:fldCharType="end"/>
        </w:r>
      </w:hyperlink>
    </w:p>
    <w:p w14:paraId="7891DB61" w14:textId="7259C79C" w:rsidR="00026C1A" w:rsidRDefault="00855CB3">
      <w:pPr>
        <w:pStyle w:val="23"/>
        <w:tabs>
          <w:tab w:val="right" w:leader="dot" w:pos="8296"/>
        </w:tabs>
        <w:rPr>
          <w:rFonts w:ascii="宋体" w:hAnsi="宋体"/>
          <w:noProof/>
          <w:sz w:val="24"/>
        </w:rPr>
      </w:pPr>
      <w:hyperlink w:anchor="_Toc111186474" w:history="1">
        <w:r w:rsidR="000E111F">
          <w:rPr>
            <w:rStyle w:val="af3"/>
            <w:rFonts w:ascii="宋体" w:hAnsi="宋体" w:cs="宋体" w:hint="eastAsia"/>
            <w:noProof/>
            <w:sz w:val="24"/>
          </w:rPr>
          <w:t>十、基金信息披露</w:t>
        </w:r>
        <w:r w:rsidR="000E111F">
          <w:rPr>
            <w:rFonts w:ascii="宋体" w:hAnsi="宋体"/>
            <w:noProof/>
            <w:sz w:val="24"/>
          </w:rPr>
          <w:tab/>
        </w:r>
        <w:r w:rsidR="000E111F">
          <w:rPr>
            <w:rFonts w:ascii="宋体" w:hAnsi="宋体"/>
            <w:noProof/>
            <w:sz w:val="24"/>
          </w:rPr>
          <w:fldChar w:fldCharType="begin"/>
        </w:r>
        <w:r w:rsidR="000E111F">
          <w:rPr>
            <w:rFonts w:ascii="宋体" w:hAnsi="宋体"/>
            <w:noProof/>
            <w:sz w:val="24"/>
          </w:rPr>
          <w:instrText xml:space="preserve"> PAGEREF _Toc111186474 \h </w:instrText>
        </w:r>
        <w:r w:rsidR="000E111F">
          <w:rPr>
            <w:rFonts w:ascii="宋体" w:hAnsi="宋体"/>
            <w:noProof/>
            <w:sz w:val="24"/>
          </w:rPr>
        </w:r>
        <w:r w:rsidR="000E111F">
          <w:rPr>
            <w:rFonts w:ascii="宋体" w:hAnsi="宋体"/>
            <w:noProof/>
            <w:sz w:val="24"/>
          </w:rPr>
          <w:fldChar w:fldCharType="separate"/>
        </w:r>
        <w:r w:rsidR="00006D07">
          <w:rPr>
            <w:rFonts w:ascii="宋体" w:hAnsi="宋体"/>
            <w:noProof/>
            <w:sz w:val="24"/>
          </w:rPr>
          <w:t>21</w:t>
        </w:r>
        <w:r w:rsidR="000E111F">
          <w:rPr>
            <w:rFonts w:ascii="宋体" w:hAnsi="宋体"/>
            <w:noProof/>
            <w:sz w:val="24"/>
          </w:rPr>
          <w:fldChar w:fldCharType="end"/>
        </w:r>
      </w:hyperlink>
    </w:p>
    <w:p w14:paraId="6CF72EA9" w14:textId="33C4EE41" w:rsidR="00026C1A" w:rsidRDefault="00855CB3">
      <w:pPr>
        <w:pStyle w:val="23"/>
        <w:tabs>
          <w:tab w:val="right" w:leader="dot" w:pos="8296"/>
        </w:tabs>
        <w:rPr>
          <w:rFonts w:ascii="宋体" w:hAnsi="宋体"/>
          <w:noProof/>
          <w:sz w:val="24"/>
        </w:rPr>
      </w:pPr>
      <w:hyperlink w:anchor="_Toc111186475" w:history="1">
        <w:r w:rsidR="000E111F">
          <w:rPr>
            <w:rStyle w:val="af3"/>
            <w:rFonts w:ascii="宋体" w:hAnsi="宋体" w:cs="宋体" w:hint="eastAsia"/>
            <w:noProof/>
            <w:sz w:val="24"/>
          </w:rPr>
          <w:t>十一、基金费用</w:t>
        </w:r>
        <w:r w:rsidR="000E111F">
          <w:rPr>
            <w:rFonts w:ascii="宋体" w:hAnsi="宋体"/>
            <w:noProof/>
            <w:sz w:val="24"/>
          </w:rPr>
          <w:tab/>
        </w:r>
        <w:r w:rsidR="000E111F">
          <w:rPr>
            <w:rFonts w:ascii="宋体" w:hAnsi="宋体"/>
            <w:noProof/>
            <w:sz w:val="24"/>
          </w:rPr>
          <w:fldChar w:fldCharType="begin"/>
        </w:r>
        <w:r w:rsidR="000E111F">
          <w:rPr>
            <w:rFonts w:ascii="宋体" w:hAnsi="宋体"/>
            <w:noProof/>
            <w:sz w:val="24"/>
          </w:rPr>
          <w:instrText xml:space="preserve"> PAGEREF _Toc111186475 \h </w:instrText>
        </w:r>
        <w:r w:rsidR="000E111F">
          <w:rPr>
            <w:rFonts w:ascii="宋体" w:hAnsi="宋体"/>
            <w:noProof/>
            <w:sz w:val="24"/>
          </w:rPr>
        </w:r>
        <w:r w:rsidR="000E111F">
          <w:rPr>
            <w:rFonts w:ascii="宋体" w:hAnsi="宋体"/>
            <w:noProof/>
            <w:sz w:val="24"/>
          </w:rPr>
          <w:fldChar w:fldCharType="separate"/>
        </w:r>
        <w:r w:rsidR="00006D07">
          <w:rPr>
            <w:rFonts w:ascii="宋体" w:hAnsi="宋体"/>
            <w:noProof/>
            <w:sz w:val="24"/>
          </w:rPr>
          <w:t>23</w:t>
        </w:r>
        <w:r w:rsidR="000E111F">
          <w:rPr>
            <w:rFonts w:ascii="宋体" w:hAnsi="宋体"/>
            <w:noProof/>
            <w:sz w:val="24"/>
          </w:rPr>
          <w:fldChar w:fldCharType="end"/>
        </w:r>
      </w:hyperlink>
    </w:p>
    <w:p w14:paraId="76D3CE2F" w14:textId="7ED80C90" w:rsidR="00026C1A" w:rsidRDefault="00855CB3">
      <w:pPr>
        <w:pStyle w:val="23"/>
        <w:tabs>
          <w:tab w:val="right" w:leader="dot" w:pos="8296"/>
        </w:tabs>
        <w:rPr>
          <w:rFonts w:ascii="宋体" w:hAnsi="宋体"/>
          <w:noProof/>
          <w:sz w:val="24"/>
        </w:rPr>
      </w:pPr>
      <w:hyperlink w:anchor="_Toc111186476" w:history="1">
        <w:r w:rsidR="000E111F">
          <w:rPr>
            <w:rStyle w:val="af3"/>
            <w:rFonts w:ascii="宋体" w:hAnsi="宋体" w:cs="宋体" w:hint="eastAsia"/>
            <w:noProof/>
            <w:sz w:val="24"/>
          </w:rPr>
          <w:t>十二、基金份额持有人名册的保管</w:t>
        </w:r>
        <w:r w:rsidR="000E111F">
          <w:rPr>
            <w:rFonts w:ascii="宋体" w:hAnsi="宋体"/>
            <w:noProof/>
            <w:sz w:val="24"/>
          </w:rPr>
          <w:tab/>
        </w:r>
        <w:r w:rsidR="000E111F">
          <w:rPr>
            <w:rFonts w:ascii="宋体" w:hAnsi="宋体"/>
            <w:noProof/>
            <w:sz w:val="24"/>
          </w:rPr>
          <w:fldChar w:fldCharType="begin"/>
        </w:r>
        <w:r w:rsidR="000E111F">
          <w:rPr>
            <w:rFonts w:ascii="宋体" w:hAnsi="宋体"/>
            <w:noProof/>
            <w:sz w:val="24"/>
          </w:rPr>
          <w:instrText xml:space="preserve"> PAGEREF _Toc111186476 \h </w:instrText>
        </w:r>
        <w:r w:rsidR="000E111F">
          <w:rPr>
            <w:rFonts w:ascii="宋体" w:hAnsi="宋体"/>
            <w:noProof/>
            <w:sz w:val="24"/>
          </w:rPr>
        </w:r>
        <w:r w:rsidR="000E111F">
          <w:rPr>
            <w:rFonts w:ascii="宋体" w:hAnsi="宋体"/>
            <w:noProof/>
            <w:sz w:val="24"/>
          </w:rPr>
          <w:fldChar w:fldCharType="separate"/>
        </w:r>
        <w:r w:rsidR="00006D07">
          <w:rPr>
            <w:rFonts w:ascii="宋体" w:hAnsi="宋体"/>
            <w:noProof/>
            <w:sz w:val="24"/>
          </w:rPr>
          <w:t>24</w:t>
        </w:r>
        <w:r w:rsidR="000E111F">
          <w:rPr>
            <w:rFonts w:ascii="宋体" w:hAnsi="宋体"/>
            <w:noProof/>
            <w:sz w:val="24"/>
          </w:rPr>
          <w:fldChar w:fldCharType="end"/>
        </w:r>
      </w:hyperlink>
    </w:p>
    <w:p w14:paraId="4B59B2FF" w14:textId="00E84D62" w:rsidR="00026C1A" w:rsidRDefault="00855CB3">
      <w:pPr>
        <w:pStyle w:val="23"/>
        <w:tabs>
          <w:tab w:val="right" w:leader="dot" w:pos="8296"/>
        </w:tabs>
        <w:rPr>
          <w:rFonts w:ascii="宋体" w:hAnsi="宋体"/>
          <w:noProof/>
          <w:sz w:val="24"/>
        </w:rPr>
      </w:pPr>
      <w:hyperlink w:anchor="_Toc111186477" w:history="1">
        <w:r w:rsidR="000E111F">
          <w:rPr>
            <w:rStyle w:val="af3"/>
            <w:rFonts w:ascii="宋体" w:hAnsi="宋体" w:cs="宋体" w:hint="eastAsia"/>
            <w:noProof/>
            <w:sz w:val="24"/>
          </w:rPr>
          <w:t>十三、基金有关文件档案的保存</w:t>
        </w:r>
        <w:r w:rsidR="000E111F">
          <w:rPr>
            <w:rFonts w:ascii="宋体" w:hAnsi="宋体"/>
            <w:noProof/>
            <w:sz w:val="24"/>
          </w:rPr>
          <w:tab/>
        </w:r>
        <w:r w:rsidR="000E111F">
          <w:rPr>
            <w:rFonts w:ascii="宋体" w:hAnsi="宋体"/>
            <w:noProof/>
            <w:sz w:val="24"/>
          </w:rPr>
          <w:fldChar w:fldCharType="begin"/>
        </w:r>
        <w:r w:rsidR="000E111F">
          <w:rPr>
            <w:rFonts w:ascii="宋体" w:hAnsi="宋体"/>
            <w:noProof/>
            <w:sz w:val="24"/>
          </w:rPr>
          <w:instrText xml:space="preserve"> PAGEREF _Toc111186477 \h </w:instrText>
        </w:r>
        <w:r w:rsidR="000E111F">
          <w:rPr>
            <w:rFonts w:ascii="宋体" w:hAnsi="宋体"/>
            <w:noProof/>
            <w:sz w:val="24"/>
          </w:rPr>
        </w:r>
        <w:r w:rsidR="000E111F">
          <w:rPr>
            <w:rFonts w:ascii="宋体" w:hAnsi="宋体"/>
            <w:noProof/>
            <w:sz w:val="24"/>
          </w:rPr>
          <w:fldChar w:fldCharType="separate"/>
        </w:r>
        <w:r w:rsidR="00006D07">
          <w:rPr>
            <w:rFonts w:ascii="宋体" w:hAnsi="宋体"/>
            <w:noProof/>
            <w:sz w:val="24"/>
          </w:rPr>
          <w:t>24</w:t>
        </w:r>
        <w:r w:rsidR="000E111F">
          <w:rPr>
            <w:rFonts w:ascii="宋体" w:hAnsi="宋体"/>
            <w:noProof/>
            <w:sz w:val="24"/>
          </w:rPr>
          <w:fldChar w:fldCharType="end"/>
        </w:r>
      </w:hyperlink>
    </w:p>
    <w:p w14:paraId="0EDE5123" w14:textId="39F04414" w:rsidR="00026C1A" w:rsidRDefault="00855CB3">
      <w:pPr>
        <w:pStyle w:val="23"/>
        <w:tabs>
          <w:tab w:val="right" w:leader="dot" w:pos="8296"/>
        </w:tabs>
        <w:rPr>
          <w:rFonts w:ascii="宋体" w:hAnsi="宋体"/>
          <w:noProof/>
          <w:sz w:val="24"/>
        </w:rPr>
      </w:pPr>
      <w:hyperlink w:anchor="_Toc111186478" w:history="1">
        <w:r w:rsidR="000E111F">
          <w:rPr>
            <w:rStyle w:val="af3"/>
            <w:rFonts w:ascii="宋体" w:hAnsi="宋体" w:cs="宋体" w:hint="eastAsia"/>
            <w:noProof/>
            <w:sz w:val="24"/>
          </w:rPr>
          <w:t>十四、基金管理人和基金托管人的更换</w:t>
        </w:r>
        <w:r w:rsidR="000E111F">
          <w:rPr>
            <w:rFonts w:ascii="宋体" w:hAnsi="宋体"/>
            <w:noProof/>
            <w:sz w:val="24"/>
          </w:rPr>
          <w:tab/>
        </w:r>
        <w:r w:rsidR="000E111F">
          <w:rPr>
            <w:rFonts w:ascii="宋体" w:hAnsi="宋体"/>
            <w:noProof/>
            <w:sz w:val="24"/>
          </w:rPr>
          <w:fldChar w:fldCharType="begin"/>
        </w:r>
        <w:r w:rsidR="000E111F">
          <w:rPr>
            <w:rFonts w:ascii="宋体" w:hAnsi="宋体"/>
            <w:noProof/>
            <w:sz w:val="24"/>
          </w:rPr>
          <w:instrText xml:space="preserve"> PAGEREF _Toc111186478 \h </w:instrText>
        </w:r>
        <w:r w:rsidR="000E111F">
          <w:rPr>
            <w:rFonts w:ascii="宋体" w:hAnsi="宋体"/>
            <w:noProof/>
            <w:sz w:val="24"/>
          </w:rPr>
        </w:r>
        <w:r w:rsidR="000E111F">
          <w:rPr>
            <w:rFonts w:ascii="宋体" w:hAnsi="宋体"/>
            <w:noProof/>
            <w:sz w:val="24"/>
          </w:rPr>
          <w:fldChar w:fldCharType="separate"/>
        </w:r>
        <w:r w:rsidR="00006D07">
          <w:rPr>
            <w:rFonts w:ascii="宋体" w:hAnsi="宋体"/>
            <w:noProof/>
            <w:sz w:val="24"/>
          </w:rPr>
          <w:t>24</w:t>
        </w:r>
        <w:r w:rsidR="000E111F">
          <w:rPr>
            <w:rFonts w:ascii="宋体" w:hAnsi="宋体"/>
            <w:noProof/>
            <w:sz w:val="24"/>
          </w:rPr>
          <w:fldChar w:fldCharType="end"/>
        </w:r>
      </w:hyperlink>
    </w:p>
    <w:p w14:paraId="360BD8F9" w14:textId="05E6FA69" w:rsidR="00026C1A" w:rsidRDefault="00855CB3">
      <w:pPr>
        <w:pStyle w:val="23"/>
        <w:tabs>
          <w:tab w:val="right" w:leader="dot" w:pos="8296"/>
        </w:tabs>
        <w:rPr>
          <w:rFonts w:ascii="宋体" w:hAnsi="宋体"/>
          <w:noProof/>
          <w:sz w:val="24"/>
        </w:rPr>
      </w:pPr>
      <w:hyperlink w:anchor="_Toc111186479" w:history="1">
        <w:r w:rsidR="000E111F">
          <w:rPr>
            <w:rStyle w:val="af3"/>
            <w:rFonts w:ascii="宋体" w:hAnsi="宋体" w:cs="宋体" w:hint="eastAsia"/>
            <w:noProof/>
            <w:sz w:val="24"/>
          </w:rPr>
          <w:t>十五、禁止行为</w:t>
        </w:r>
        <w:r w:rsidR="000E111F">
          <w:rPr>
            <w:rFonts w:ascii="宋体" w:hAnsi="宋体"/>
            <w:noProof/>
            <w:sz w:val="24"/>
          </w:rPr>
          <w:tab/>
        </w:r>
        <w:r w:rsidR="000E111F">
          <w:rPr>
            <w:rFonts w:ascii="宋体" w:hAnsi="宋体"/>
            <w:noProof/>
            <w:sz w:val="24"/>
          </w:rPr>
          <w:fldChar w:fldCharType="begin"/>
        </w:r>
        <w:r w:rsidR="000E111F">
          <w:rPr>
            <w:rFonts w:ascii="宋体" w:hAnsi="宋体"/>
            <w:noProof/>
            <w:sz w:val="24"/>
          </w:rPr>
          <w:instrText xml:space="preserve"> PAGEREF _Toc111186479 \h </w:instrText>
        </w:r>
        <w:r w:rsidR="000E111F">
          <w:rPr>
            <w:rFonts w:ascii="宋体" w:hAnsi="宋体"/>
            <w:noProof/>
            <w:sz w:val="24"/>
          </w:rPr>
        </w:r>
        <w:r w:rsidR="000E111F">
          <w:rPr>
            <w:rFonts w:ascii="宋体" w:hAnsi="宋体"/>
            <w:noProof/>
            <w:sz w:val="24"/>
          </w:rPr>
          <w:fldChar w:fldCharType="separate"/>
        </w:r>
        <w:r w:rsidR="00006D07">
          <w:rPr>
            <w:rFonts w:ascii="宋体" w:hAnsi="宋体"/>
            <w:noProof/>
            <w:sz w:val="24"/>
          </w:rPr>
          <w:t>26</w:t>
        </w:r>
        <w:r w:rsidR="000E111F">
          <w:rPr>
            <w:rFonts w:ascii="宋体" w:hAnsi="宋体"/>
            <w:noProof/>
            <w:sz w:val="24"/>
          </w:rPr>
          <w:fldChar w:fldCharType="end"/>
        </w:r>
      </w:hyperlink>
    </w:p>
    <w:p w14:paraId="1EAC8C7E" w14:textId="0777164F" w:rsidR="00026C1A" w:rsidRDefault="00855CB3">
      <w:pPr>
        <w:pStyle w:val="23"/>
        <w:tabs>
          <w:tab w:val="right" w:leader="dot" w:pos="8296"/>
        </w:tabs>
        <w:rPr>
          <w:rFonts w:ascii="宋体" w:hAnsi="宋体"/>
          <w:noProof/>
          <w:sz w:val="24"/>
        </w:rPr>
      </w:pPr>
      <w:hyperlink w:anchor="_Toc111186480" w:history="1">
        <w:r w:rsidR="000E111F">
          <w:rPr>
            <w:rStyle w:val="af3"/>
            <w:rFonts w:ascii="宋体" w:hAnsi="宋体" w:cs="宋体" w:hint="eastAsia"/>
            <w:noProof/>
            <w:sz w:val="24"/>
          </w:rPr>
          <w:t>十六、托管协议的变更、终止与基金财产的清算</w:t>
        </w:r>
        <w:r w:rsidR="000E111F">
          <w:rPr>
            <w:rFonts w:ascii="宋体" w:hAnsi="宋体"/>
            <w:noProof/>
            <w:sz w:val="24"/>
          </w:rPr>
          <w:tab/>
        </w:r>
        <w:r w:rsidR="000E111F">
          <w:rPr>
            <w:rFonts w:ascii="宋体" w:hAnsi="宋体"/>
            <w:noProof/>
            <w:sz w:val="24"/>
          </w:rPr>
          <w:fldChar w:fldCharType="begin"/>
        </w:r>
        <w:r w:rsidR="000E111F">
          <w:rPr>
            <w:rFonts w:ascii="宋体" w:hAnsi="宋体"/>
            <w:noProof/>
            <w:sz w:val="24"/>
          </w:rPr>
          <w:instrText xml:space="preserve"> PAGEREF _Toc111186480 \h </w:instrText>
        </w:r>
        <w:r w:rsidR="000E111F">
          <w:rPr>
            <w:rFonts w:ascii="宋体" w:hAnsi="宋体"/>
            <w:noProof/>
            <w:sz w:val="24"/>
          </w:rPr>
        </w:r>
        <w:r w:rsidR="000E111F">
          <w:rPr>
            <w:rFonts w:ascii="宋体" w:hAnsi="宋体"/>
            <w:noProof/>
            <w:sz w:val="24"/>
          </w:rPr>
          <w:fldChar w:fldCharType="separate"/>
        </w:r>
        <w:r w:rsidR="00006D07">
          <w:rPr>
            <w:rFonts w:ascii="宋体" w:hAnsi="宋体"/>
            <w:noProof/>
            <w:sz w:val="24"/>
          </w:rPr>
          <w:t>27</w:t>
        </w:r>
        <w:r w:rsidR="000E111F">
          <w:rPr>
            <w:rFonts w:ascii="宋体" w:hAnsi="宋体"/>
            <w:noProof/>
            <w:sz w:val="24"/>
          </w:rPr>
          <w:fldChar w:fldCharType="end"/>
        </w:r>
      </w:hyperlink>
    </w:p>
    <w:p w14:paraId="3C92EBC5" w14:textId="55A17F35" w:rsidR="00026C1A" w:rsidRDefault="00855CB3">
      <w:pPr>
        <w:pStyle w:val="23"/>
        <w:tabs>
          <w:tab w:val="right" w:leader="dot" w:pos="8296"/>
        </w:tabs>
        <w:rPr>
          <w:rFonts w:ascii="宋体" w:hAnsi="宋体"/>
          <w:noProof/>
          <w:sz w:val="24"/>
        </w:rPr>
      </w:pPr>
      <w:hyperlink w:anchor="_Toc111186481" w:history="1">
        <w:r w:rsidR="000E111F">
          <w:rPr>
            <w:rStyle w:val="af3"/>
            <w:rFonts w:ascii="宋体" w:hAnsi="宋体" w:cs="宋体" w:hint="eastAsia"/>
            <w:noProof/>
            <w:sz w:val="24"/>
          </w:rPr>
          <w:t>十七、违约责任</w:t>
        </w:r>
        <w:r w:rsidR="000E111F">
          <w:rPr>
            <w:rFonts w:ascii="宋体" w:hAnsi="宋体"/>
            <w:noProof/>
            <w:sz w:val="24"/>
          </w:rPr>
          <w:tab/>
        </w:r>
        <w:r w:rsidR="000E111F">
          <w:rPr>
            <w:rFonts w:ascii="宋体" w:hAnsi="宋体"/>
            <w:noProof/>
            <w:sz w:val="24"/>
          </w:rPr>
          <w:fldChar w:fldCharType="begin"/>
        </w:r>
        <w:r w:rsidR="000E111F">
          <w:rPr>
            <w:rFonts w:ascii="宋体" w:hAnsi="宋体"/>
            <w:noProof/>
            <w:sz w:val="24"/>
          </w:rPr>
          <w:instrText xml:space="preserve"> PAGEREF _Toc111186481 \h </w:instrText>
        </w:r>
        <w:r w:rsidR="000E111F">
          <w:rPr>
            <w:rFonts w:ascii="宋体" w:hAnsi="宋体"/>
            <w:noProof/>
            <w:sz w:val="24"/>
          </w:rPr>
        </w:r>
        <w:r w:rsidR="000E111F">
          <w:rPr>
            <w:rFonts w:ascii="宋体" w:hAnsi="宋体"/>
            <w:noProof/>
            <w:sz w:val="24"/>
          </w:rPr>
          <w:fldChar w:fldCharType="separate"/>
        </w:r>
        <w:r w:rsidR="00006D07">
          <w:rPr>
            <w:rFonts w:ascii="宋体" w:hAnsi="宋体"/>
            <w:noProof/>
            <w:sz w:val="24"/>
          </w:rPr>
          <w:t>28</w:t>
        </w:r>
        <w:r w:rsidR="000E111F">
          <w:rPr>
            <w:rFonts w:ascii="宋体" w:hAnsi="宋体"/>
            <w:noProof/>
            <w:sz w:val="24"/>
          </w:rPr>
          <w:fldChar w:fldCharType="end"/>
        </w:r>
      </w:hyperlink>
    </w:p>
    <w:p w14:paraId="46D847FB" w14:textId="50A8CE1D" w:rsidR="00026C1A" w:rsidRDefault="00855CB3">
      <w:pPr>
        <w:pStyle w:val="23"/>
        <w:tabs>
          <w:tab w:val="right" w:leader="dot" w:pos="8296"/>
        </w:tabs>
        <w:rPr>
          <w:rFonts w:ascii="宋体" w:hAnsi="宋体"/>
          <w:noProof/>
          <w:sz w:val="24"/>
        </w:rPr>
      </w:pPr>
      <w:hyperlink w:anchor="_Toc111186482" w:history="1">
        <w:r w:rsidR="000E111F">
          <w:rPr>
            <w:rStyle w:val="af3"/>
            <w:rFonts w:ascii="宋体" w:hAnsi="宋体" w:cs="宋体" w:hint="eastAsia"/>
            <w:noProof/>
            <w:sz w:val="24"/>
          </w:rPr>
          <w:t>十八、争议解决方式</w:t>
        </w:r>
        <w:r w:rsidR="000E111F">
          <w:rPr>
            <w:rFonts w:ascii="宋体" w:hAnsi="宋体"/>
            <w:noProof/>
            <w:sz w:val="24"/>
          </w:rPr>
          <w:tab/>
        </w:r>
        <w:r w:rsidR="000E111F">
          <w:rPr>
            <w:rFonts w:ascii="宋体" w:hAnsi="宋体"/>
            <w:noProof/>
            <w:sz w:val="24"/>
          </w:rPr>
          <w:fldChar w:fldCharType="begin"/>
        </w:r>
        <w:r w:rsidR="000E111F">
          <w:rPr>
            <w:rFonts w:ascii="宋体" w:hAnsi="宋体"/>
            <w:noProof/>
            <w:sz w:val="24"/>
          </w:rPr>
          <w:instrText xml:space="preserve"> PAGEREF _Toc111186482 \h </w:instrText>
        </w:r>
        <w:r w:rsidR="000E111F">
          <w:rPr>
            <w:rFonts w:ascii="宋体" w:hAnsi="宋体"/>
            <w:noProof/>
            <w:sz w:val="24"/>
          </w:rPr>
        </w:r>
        <w:r w:rsidR="000E111F">
          <w:rPr>
            <w:rFonts w:ascii="宋体" w:hAnsi="宋体"/>
            <w:noProof/>
            <w:sz w:val="24"/>
          </w:rPr>
          <w:fldChar w:fldCharType="separate"/>
        </w:r>
        <w:r w:rsidR="00006D07">
          <w:rPr>
            <w:rFonts w:ascii="宋体" w:hAnsi="宋体"/>
            <w:noProof/>
            <w:sz w:val="24"/>
          </w:rPr>
          <w:t>29</w:t>
        </w:r>
        <w:r w:rsidR="000E111F">
          <w:rPr>
            <w:rFonts w:ascii="宋体" w:hAnsi="宋体"/>
            <w:noProof/>
            <w:sz w:val="24"/>
          </w:rPr>
          <w:fldChar w:fldCharType="end"/>
        </w:r>
      </w:hyperlink>
    </w:p>
    <w:p w14:paraId="3DBED219" w14:textId="6E571528" w:rsidR="00026C1A" w:rsidRDefault="00855CB3">
      <w:pPr>
        <w:pStyle w:val="23"/>
        <w:tabs>
          <w:tab w:val="right" w:leader="dot" w:pos="8296"/>
        </w:tabs>
        <w:rPr>
          <w:rFonts w:ascii="宋体" w:hAnsi="宋体"/>
          <w:noProof/>
          <w:sz w:val="24"/>
        </w:rPr>
      </w:pPr>
      <w:hyperlink w:anchor="_Toc111186483" w:history="1">
        <w:r w:rsidR="000E111F">
          <w:rPr>
            <w:rStyle w:val="af3"/>
            <w:rFonts w:ascii="宋体" w:hAnsi="宋体" w:cs="宋体" w:hint="eastAsia"/>
            <w:noProof/>
            <w:sz w:val="24"/>
          </w:rPr>
          <w:t>十九、托管协议的效力</w:t>
        </w:r>
        <w:r w:rsidR="000E111F">
          <w:rPr>
            <w:rFonts w:ascii="宋体" w:hAnsi="宋体"/>
            <w:noProof/>
            <w:sz w:val="24"/>
          </w:rPr>
          <w:tab/>
        </w:r>
        <w:r w:rsidR="000E111F">
          <w:rPr>
            <w:rFonts w:ascii="宋体" w:hAnsi="宋体"/>
            <w:noProof/>
            <w:sz w:val="24"/>
          </w:rPr>
          <w:fldChar w:fldCharType="begin"/>
        </w:r>
        <w:r w:rsidR="000E111F">
          <w:rPr>
            <w:rFonts w:ascii="宋体" w:hAnsi="宋体"/>
            <w:noProof/>
            <w:sz w:val="24"/>
          </w:rPr>
          <w:instrText xml:space="preserve"> PAGEREF _Toc111186483 \h </w:instrText>
        </w:r>
        <w:r w:rsidR="000E111F">
          <w:rPr>
            <w:rFonts w:ascii="宋体" w:hAnsi="宋体"/>
            <w:noProof/>
            <w:sz w:val="24"/>
          </w:rPr>
        </w:r>
        <w:r w:rsidR="000E111F">
          <w:rPr>
            <w:rFonts w:ascii="宋体" w:hAnsi="宋体"/>
            <w:noProof/>
            <w:sz w:val="24"/>
          </w:rPr>
          <w:fldChar w:fldCharType="separate"/>
        </w:r>
        <w:r w:rsidR="00006D07">
          <w:rPr>
            <w:rFonts w:ascii="宋体" w:hAnsi="宋体"/>
            <w:noProof/>
            <w:sz w:val="24"/>
          </w:rPr>
          <w:t>29</w:t>
        </w:r>
        <w:r w:rsidR="000E111F">
          <w:rPr>
            <w:rFonts w:ascii="宋体" w:hAnsi="宋体"/>
            <w:noProof/>
            <w:sz w:val="24"/>
          </w:rPr>
          <w:fldChar w:fldCharType="end"/>
        </w:r>
      </w:hyperlink>
    </w:p>
    <w:p w14:paraId="31ACC553" w14:textId="3F8806B6" w:rsidR="00026C1A" w:rsidRDefault="00855CB3">
      <w:pPr>
        <w:pStyle w:val="23"/>
        <w:tabs>
          <w:tab w:val="right" w:leader="dot" w:pos="8296"/>
        </w:tabs>
        <w:rPr>
          <w:rFonts w:ascii="宋体" w:hAnsi="宋体"/>
          <w:noProof/>
          <w:sz w:val="24"/>
        </w:rPr>
      </w:pPr>
      <w:hyperlink w:anchor="_Toc111186484" w:history="1">
        <w:r w:rsidR="000E111F">
          <w:rPr>
            <w:rStyle w:val="af3"/>
            <w:rFonts w:ascii="宋体" w:hAnsi="宋体" w:cs="宋体" w:hint="eastAsia"/>
            <w:noProof/>
            <w:sz w:val="24"/>
          </w:rPr>
          <w:t>二十、其他事项</w:t>
        </w:r>
        <w:r w:rsidR="000E111F">
          <w:rPr>
            <w:rFonts w:ascii="宋体" w:hAnsi="宋体"/>
            <w:noProof/>
            <w:sz w:val="24"/>
          </w:rPr>
          <w:tab/>
        </w:r>
        <w:r w:rsidR="000E111F">
          <w:rPr>
            <w:rFonts w:ascii="宋体" w:hAnsi="宋体"/>
            <w:noProof/>
            <w:sz w:val="24"/>
          </w:rPr>
          <w:fldChar w:fldCharType="begin"/>
        </w:r>
        <w:r w:rsidR="000E111F">
          <w:rPr>
            <w:rFonts w:ascii="宋体" w:hAnsi="宋体"/>
            <w:noProof/>
            <w:sz w:val="24"/>
          </w:rPr>
          <w:instrText xml:space="preserve"> PAGEREF _Toc111186484 \h </w:instrText>
        </w:r>
        <w:r w:rsidR="000E111F">
          <w:rPr>
            <w:rFonts w:ascii="宋体" w:hAnsi="宋体"/>
            <w:noProof/>
            <w:sz w:val="24"/>
          </w:rPr>
        </w:r>
        <w:r w:rsidR="000E111F">
          <w:rPr>
            <w:rFonts w:ascii="宋体" w:hAnsi="宋体"/>
            <w:noProof/>
            <w:sz w:val="24"/>
          </w:rPr>
          <w:fldChar w:fldCharType="separate"/>
        </w:r>
        <w:r w:rsidR="00006D07">
          <w:rPr>
            <w:rFonts w:ascii="宋体" w:hAnsi="宋体"/>
            <w:noProof/>
            <w:sz w:val="24"/>
          </w:rPr>
          <w:t>29</w:t>
        </w:r>
        <w:r w:rsidR="000E111F">
          <w:rPr>
            <w:rFonts w:ascii="宋体" w:hAnsi="宋体"/>
            <w:noProof/>
            <w:sz w:val="24"/>
          </w:rPr>
          <w:fldChar w:fldCharType="end"/>
        </w:r>
      </w:hyperlink>
    </w:p>
    <w:p w14:paraId="1804DB28" w14:textId="3FCE97A3" w:rsidR="00026C1A" w:rsidRDefault="00855CB3">
      <w:pPr>
        <w:pStyle w:val="23"/>
        <w:tabs>
          <w:tab w:val="right" w:leader="dot" w:pos="8296"/>
        </w:tabs>
        <w:rPr>
          <w:rFonts w:ascii="宋体" w:hAnsi="宋体"/>
          <w:noProof/>
          <w:sz w:val="24"/>
        </w:rPr>
      </w:pPr>
      <w:hyperlink w:anchor="_Toc111186485" w:history="1">
        <w:r w:rsidR="000E111F">
          <w:rPr>
            <w:rStyle w:val="af3"/>
            <w:rFonts w:ascii="宋体" w:hAnsi="宋体" w:cs="宋体" w:hint="eastAsia"/>
            <w:noProof/>
            <w:sz w:val="24"/>
          </w:rPr>
          <w:t>二十一、托管协议的签订</w:t>
        </w:r>
        <w:r w:rsidR="000E111F">
          <w:rPr>
            <w:rFonts w:ascii="宋体" w:hAnsi="宋体"/>
            <w:noProof/>
            <w:sz w:val="24"/>
          </w:rPr>
          <w:tab/>
        </w:r>
        <w:r w:rsidR="000E111F">
          <w:rPr>
            <w:rFonts w:ascii="宋体" w:hAnsi="宋体"/>
            <w:noProof/>
            <w:sz w:val="24"/>
          </w:rPr>
          <w:fldChar w:fldCharType="begin"/>
        </w:r>
        <w:r w:rsidR="000E111F">
          <w:rPr>
            <w:rFonts w:ascii="宋体" w:hAnsi="宋体"/>
            <w:noProof/>
            <w:sz w:val="24"/>
          </w:rPr>
          <w:instrText xml:space="preserve"> PAGEREF _Toc111186485 \h </w:instrText>
        </w:r>
        <w:r w:rsidR="000E111F">
          <w:rPr>
            <w:rFonts w:ascii="宋体" w:hAnsi="宋体"/>
            <w:noProof/>
            <w:sz w:val="24"/>
          </w:rPr>
        </w:r>
        <w:r w:rsidR="000E111F">
          <w:rPr>
            <w:rFonts w:ascii="宋体" w:hAnsi="宋体"/>
            <w:noProof/>
            <w:sz w:val="24"/>
          </w:rPr>
          <w:fldChar w:fldCharType="separate"/>
        </w:r>
        <w:r w:rsidR="00006D07">
          <w:rPr>
            <w:rFonts w:ascii="宋体" w:hAnsi="宋体"/>
            <w:noProof/>
            <w:sz w:val="24"/>
          </w:rPr>
          <w:t>30</w:t>
        </w:r>
        <w:r w:rsidR="000E111F">
          <w:rPr>
            <w:rFonts w:ascii="宋体" w:hAnsi="宋体"/>
            <w:noProof/>
            <w:sz w:val="24"/>
          </w:rPr>
          <w:fldChar w:fldCharType="end"/>
        </w:r>
      </w:hyperlink>
    </w:p>
    <w:p w14:paraId="115CFCC2" w14:textId="77777777" w:rsidR="00026C1A" w:rsidRDefault="000E111F">
      <w:pPr>
        <w:rPr>
          <w:rFonts w:ascii="宋体" w:hAnsi="宋体" w:cs="宋体"/>
          <w:sz w:val="28"/>
          <w:lang w:bidi="ar"/>
        </w:rPr>
      </w:pPr>
      <w:r>
        <w:rPr>
          <w:rFonts w:ascii="宋体" w:hAnsi="宋体" w:cs="宋体" w:hint="eastAsia"/>
          <w:sz w:val="24"/>
          <w:lang w:bidi="ar"/>
        </w:rPr>
        <w:fldChar w:fldCharType="end"/>
      </w:r>
    </w:p>
    <w:p w14:paraId="30B6F26E" w14:textId="77777777" w:rsidR="00026C1A" w:rsidRDefault="000E111F">
      <w:pPr>
        <w:rPr>
          <w:rFonts w:ascii="宋体" w:hAnsi="宋体" w:cs="宋体"/>
          <w:sz w:val="24"/>
        </w:rPr>
      </w:pPr>
      <w:r>
        <w:rPr>
          <w:rFonts w:ascii="宋体" w:hAnsi="宋体" w:cs="宋体"/>
          <w:sz w:val="28"/>
          <w:lang w:bidi="ar"/>
        </w:rPr>
        <w:br w:type="page"/>
      </w:r>
    </w:p>
    <w:p w14:paraId="61386A61" w14:textId="77777777" w:rsidR="00026C1A" w:rsidRDefault="000E111F">
      <w:pPr>
        <w:widowControl/>
        <w:adjustRightInd w:val="0"/>
        <w:snapToGrid w:val="0"/>
        <w:ind w:firstLineChars="200" w:firstLine="480"/>
        <w:rPr>
          <w:rFonts w:ascii="宋体" w:hAnsi="宋体" w:cs="Arial"/>
          <w:kern w:val="0"/>
          <w:sz w:val="24"/>
        </w:rPr>
      </w:pPr>
      <w:r>
        <w:rPr>
          <w:rFonts w:ascii="宋体" w:hAnsi="宋体" w:cs="Arial" w:hint="eastAsia"/>
          <w:kern w:val="0"/>
          <w:sz w:val="24"/>
          <w:lang w:bidi="ar"/>
        </w:rPr>
        <w:lastRenderedPageBreak/>
        <w:t>鉴于银华基金管理股份有限公司系一家依照中国法律合法成立并有效存续的股份有限公司，按照相关法律法规的规定具备担任基金管理人的资格和能力；</w:t>
      </w:r>
    </w:p>
    <w:p w14:paraId="2CFEF9E2" w14:textId="77777777" w:rsidR="00026C1A" w:rsidRDefault="000E111F">
      <w:pPr>
        <w:widowControl/>
        <w:adjustRightInd w:val="0"/>
        <w:snapToGrid w:val="0"/>
        <w:ind w:firstLineChars="200" w:firstLine="480"/>
        <w:rPr>
          <w:rFonts w:ascii="宋体" w:hAnsi="宋体" w:cs="Arial"/>
          <w:kern w:val="0"/>
          <w:sz w:val="24"/>
        </w:rPr>
      </w:pPr>
      <w:r>
        <w:rPr>
          <w:rFonts w:ascii="宋体" w:hAnsi="宋体" w:cs="Arial" w:hint="eastAsia"/>
          <w:kern w:val="0"/>
          <w:sz w:val="24"/>
          <w:lang w:bidi="ar"/>
        </w:rPr>
        <w:t>鉴于中国建设银行股份有限公司系一家依照中国法律合法成立并有效存续的银行，按照相关法律法规的规定具备担任基金托管人的资格和能力；</w:t>
      </w:r>
    </w:p>
    <w:p w14:paraId="4F0D9011" w14:textId="32C70B5A" w:rsidR="00026C1A" w:rsidRDefault="000E111F">
      <w:pPr>
        <w:widowControl/>
        <w:adjustRightInd w:val="0"/>
        <w:snapToGrid w:val="0"/>
        <w:ind w:firstLineChars="200" w:firstLine="480"/>
        <w:rPr>
          <w:rFonts w:ascii="宋体" w:hAnsi="宋体" w:cs="Arial"/>
          <w:kern w:val="0"/>
          <w:sz w:val="24"/>
        </w:rPr>
      </w:pPr>
      <w:r>
        <w:rPr>
          <w:rFonts w:ascii="宋体" w:hAnsi="宋体" w:cs="Arial" w:hint="eastAsia"/>
          <w:kern w:val="0"/>
          <w:sz w:val="24"/>
          <w:lang w:bidi="ar"/>
        </w:rPr>
        <w:t>鉴于银华基金管理股份有限公司拟担任银华中证全指红利质量交易型开放式指数证券投资基金的基金管理人，中国建设银行股份有限公司拟担任银华中证全指红利质量交易型开放式指数证券投资基金的基金托管人；</w:t>
      </w:r>
    </w:p>
    <w:p w14:paraId="71C163FA" w14:textId="5D6FA0C4" w:rsidR="00026C1A" w:rsidRDefault="000E111F">
      <w:pPr>
        <w:widowControl/>
        <w:adjustRightInd w:val="0"/>
        <w:snapToGrid w:val="0"/>
        <w:ind w:firstLineChars="200" w:firstLine="480"/>
        <w:rPr>
          <w:rFonts w:ascii="宋体" w:hAnsi="宋体" w:cs="Arial"/>
          <w:kern w:val="0"/>
          <w:sz w:val="24"/>
        </w:rPr>
      </w:pPr>
      <w:r>
        <w:rPr>
          <w:rFonts w:ascii="宋体" w:hAnsi="宋体" w:cs="Arial" w:hint="eastAsia"/>
          <w:kern w:val="0"/>
          <w:sz w:val="24"/>
          <w:lang w:bidi="ar"/>
        </w:rPr>
        <w:t>为明确银华中证全指红利质量交易型开放式指数证券投资基金的基金管理人和基金托管人之间的权利义务关系，特制订本托管协议；</w:t>
      </w:r>
    </w:p>
    <w:p w14:paraId="62738BB9" w14:textId="4F9D6AFF" w:rsidR="00026C1A" w:rsidRDefault="000E111F">
      <w:pPr>
        <w:widowControl/>
        <w:adjustRightInd w:val="0"/>
        <w:snapToGrid w:val="0"/>
        <w:ind w:firstLineChars="200" w:firstLine="480"/>
        <w:rPr>
          <w:rFonts w:ascii="宋体" w:hAnsi="宋体" w:cs="Arial"/>
          <w:kern w:val="0"/>
          <w:sz w:val="24"/>
        </w:rPr>
      </w:pPr>
      <w:r>
        <w:rPr>
          <w:rFonts w:ascii="宋体" w:hAnsi="宋体" w:cs="Arial" w:hint="eastAsia"/>
          <w:kern w:val="0"/>
          <w:sz w:val="24"/>
          <w:lang w:bidi="ar"/>
        </w:rPr>
        <w:t>除非另有约定，《银华中证全指红利质量交易型开放式指数证券投资基金基金合同》（以下简称“基金合同”或“《基金合同》”）中定义的术语在用于本托管协议时应具有相同的含义；若有抵触应以《基金合同》为准，并依其条款解释。</w:t>
      </w:r>
    </w:p>
    <w:p w14:paraId="27DD5BF6" w14:textId="77777777" w:rsidR="00026C1A" w:rsidRDefault="00026C1A">
      <w:pPr>
        <w:rPr>
          <w:rFonts w:ascii="宋体" w:hAnsi="宋体" w:cs="宋体"/>
          <w:sz w:val="24"/>
        </w:rPr>
      </w:pPr>
    </w:p>
    <w:p w14:paraId="394C20E5" w14:textId="77777777" w:rsidR="00026C1A" w:rsidRDefault="000E111F">
      <w:pPr>
        <w:pStyle w:val="1"/>
        <w:jc w:val="center"/>
        <w:rPr>
          <w:rFonts w:ascii="宋体" w:hAnsi="宋体" w:cs="宋体"/>
          <w:sz w:val="30"/>
          <w:szCs w:val="30"/>
        </w:rPr>
      </w:pPr>
      <w:bookmarkStart w:id="1" w:name="_Toc124325885"/>
      <w:bookmarkStart w:id="2" w:name="_Toc111186465"/>
      <w:r>
        <w:rPr>
          <w:rFonts w:ascii="宋体" w:hAnsi="宋体" w:cs="宋体" w:hint="eastAsia"/>
          <w:sz w:val="30"/>
          <w:szCs w:val="30"/>
        </w:rPr>
        <w:t>一、基金托管协议当事人</w:t>
      </w:r>
      <w:bookmarkEnd w:id="1"/>
      <w:bookmarkEnd w:id="2"/>
    </w:p>
    <w:p w14:paraId="41A40965" w14:textId="77777777" w:rsidR="00026C1A" w:rsidRDefault="000E111F">
      <w:pPr>
        <w:rPr>
          <w:rFonts w:ascii="宋体" w:hAnsi="宋体" w:cs="Arial"/>
          <w:sz w:val="24"/>
        </w:rPr>
      </w:pPr>
      <w:r>
        <w:rPr>
          <w:rFonts w:ascii="宋体" w:hAnsi="宋体" w:cs="Arial" w:hint="eastAsia"/>
          <w:sz w:val="24"/>
          <w:lang w:bidi="ar"/>
        </w:rPr>
        <w:t>（一）基金管理人</w:t>
      </w:r>
    </w:p>
    <w:p w14:paraId="307DF9B0" w14:textId="77777777" w:rsidR="00026C1A" w:rsidRDefault="000E111F">
      <w:pPr>
        <w:rPr>
          <w:rFonts w:ascii="宋体" w:hAnsi="宋体" w:cs="Arial"/>
          <w:sz w:val="24"/>
        </w:rPr>
      </w:pPr>
      <w:r>
        <w:rPr>
          <w:rFonts w:ascii="宋体" w:hAnsi="宋体" w:cs="Arial" w:hint="eastAsia"/>
          <w:sz w:val="24"/>
          <w:lang w:bidi="ar"/>
        </w:rPr>
        <w:t>名称：</w:t>
      </w:r>
      <w:r>
        <w:rPr>
          <w:rFonts w:ascii="宋体" w:hAnsi="宋体" w:cs="Arial" w:hint="eastAsia"/>
          <w:kern w:val="0"/>
          <w:sz w:val="24"/>
          <w:lang w:bidi="ar"/>
        </w:rPr>
        <w:t>银华基金管理股份有限公司</w:t>
      </w:r>
    </w:p>
    <w:p w14:paraId="1C7FB04B" w14:textId="77777777" w:rsidR="00026C1A" w:rsidRDefault="000E111F">
      <w:pPr>
        <w:rPr>
          <w:rFonts w:ascii="宋体" w:hAnsi="宋体" w:cs="Arial"/>
          <w:sz w:val="24"/>
        </w:rPr>
      </w:pPr>
      <w:r>
        <w:rPr>
          <w:rFonts w:ascii="宋体" w:hAnsi="宋体" w:cs="Arial" w:hint="eastAsia"/>
          <w:sz w:val="24"/>
          <w:lang w:bidi="ar"/>
        </w:rPr>
        <w:t>住所：</w:t>
      </w:r>
      <w:r>
        <w:rPr>
          <w:rFonts w:ascii="宋体" w:hAnsi="宋体" w:cs="宋体" w:hint="eastAsia"/>
          <w:bCs/>
          <w:sz w:val="24"/>
          <w:lang w:bidi="ar"/>
        </w:rPr>
        <w:t>深圳市福田区深南大道6008号特区报业大厦19层</w:t>
      </w:r>
    </w:p>
    <w:p w14:paraId="5B929023" w14:textId="77777777" w:rsidR="00026C1A" w:rsidRDefault="000E111F">
      <w:pPr>
        <w:rPr>
          <w:rFonts w:ascii="宋体" w:hAnsi="宋体" w:cs="Arial"/>
          <w:sz w:val="24"/>
        </w:rPr>
      </w:pPr>
      <w:r>
        <w:rPr>
          <w:rFonts w:ascii="宋体" w:hAnsi="宋体" w:cs="Arial" w:hint="eastAsia"/>
          <w:sz w:val="24"/>
          <w:lang w:bidi="ar"/>
        </w:rPr>
        <w:t>办公地址：</w:t>
      </w:r>
      <w:r>
        <w:rPr>
          <w:rFonts w:ascii="宋体" w:hAnsi="宋体" w:cs="宋体" w:hint="eastAsia"/>
          <w:bCs/>
          <w:sz w:val="24"/>
          <w:lang w:bidi="ar"/>
        </w:rPr>
        <w:t>北京市东城区东长安街1号东方广场东方经贸城C2办公楼15层</w:t>
      </w:r>
    </w:p>
    <w:p w14:paraId="4F014A32" w14:textId="77777777" w:rsidR="00026C1A" w:rsidRDefault="000E111F">
      <w:pPr>
        <w:rPr>
          <w:rFonts w:ascii="宋体" w:hAnsi="宋体" w:cs="Arial"/>
          <w:sz w:val="24"/>
        </w:rPr>
      </w:pPr>
      <w:r>
        <w:rPr>
          <w:rFonts w:ascii="宋体" w:hAnsi="宋体" w:cs="Arial" w:hint="eastAsia"/>
          <w:sz w:val="24"/>
          <w:lang w:bidi="ar"/>
        </w:rPr>
        <w:t>邮政编码：100738</w:t>
      </w:r>
    </w:p>
    <w:p w14:paraId="6B96BA2D" w14:textId="77777777" w:rsidR="00026C1A" w:rsidRDefault="000E111F">
      <w:pPr>
        <w:rPr>
          <w:rFonts w:ascii="宋体" w:hAnsi="宋体" w:cs="Arial"/>
          <w:sz w:val="24"/>
        </w:rPr>
      </w:pPr>
      <w:r>
        <w:rPr>
          <w:rFonts w:ascii="宋体" w:hAnsi="宋体" w:cs="Arial" w:hint="eastAsia"/>
          <w:sz w:val="24"/>
          <w:lang w:bidi="ar"/>
        </w:rPr>
        <w:t>法定代表人：王珠林</w:t>
      </w:r>
    </w:p>
    <w:p w14:paraId="43C9ED3D" w14:textId="77777777" w:rsidR="00026C1A" w:rsidRDefault="000E111F">
      <w:pPr>
        <w:rPr>
          <w:rFonts w:ascii="宋体" w:hAnsi="宋体" w:cs="Arial"/>
          <w:sz w:val="24"/>
        </w:rPr>
      </w:pPr>
      <w:r>
        <w:rPr>
          <w:rFonts w:ascii="宋体" w:hAnsi="宋体" w:cs="Arial" w:hint="eastAsia"/>
          <w:sz w:val="24"/>
          <w:lang w:bidi="ar"/>
        </w:rPr>
        <w:t>成立日期：2001年5月28日</w:t>
      </w:r>
    </w:p>
    <w:p w14:paraId="7D414E14" w14:textId="77777777" w:rsidR="00026C1A" w:rsidRDefault="000E111F">
      <w:pPr>
        <w:rPr>
          <w:rFonts w:ascii="宋体" w:hAnsi="宋体" w:cs="Arial"/>
          <w:sz w:val="24"/>
        </w:rPr>
      </w:pPr>
      <w:r>
        <w:rPr>
          <w:rFonts w:ascii="宋体" w:hAnsi="宋体" w:cs="Arial" w:hint="eastAsia"/>
          <w:sz w:val="24"/>
          <w:lang w:bidi="ar"/>
        </w:rPr>
        <w:t>批准设立机关及批准设立文号：中国证监会证监基金字［2001］7号</w:t>
      </w:r>
    </w:p>
    <w:p w14:paraId="1D4CAFD3" w14:textId="77777777" w:rsidR="00026C1A" w:rsidRDefault="000E111F">
      <w:pPr>
        <w:rPr>
          <w:rFonts w:ascii="宋体" w:hAnsi="宋体" w:cs="Arial"/>
          <w:sz w:val="24"/>
        </w:rPr>
      </w:pPr>
      <w:r>
        <w:rPr>
          <w:rFonts w:ascii="宋体" w:hAnsi="宋体" w:cs="Arial" w:hint="eastAsia"/>
          <w:sz w:val="24"/>
          <w:lang w:bidi="ar"/>
        </w:rPr>
        <w:t>组织形式：股份有限公司</w:t>
      </w:r>
    </w:p>
    <w:p w14:paraId="64A142C6" w14:textId="77777777" w:rsidR="00026C1A" w:rsidRDefault="000E111F">
      <w:pPr>
        <w:rPr>
          <w:rFonts w:ascii="宋体" w:hAnsi="宋体" w:cs="Arial"/>
          <w:sz w:val="24"/>
        </w:rPr>
      </w:pPr>
      <w:r>
        <w:rPr>
          <w:rFonts w:ascii="宋体" w:hAnsi="宋体" w:cs="Arial" w:hint="eastAsia"/>
          <w:sz w:val="24"/>
          <w:lang w:bidi="ar"/>
        </w:rPr>
        <w:t>注册资本：贰亿贰仟贰佰贰拾万元人民币</w:t>
      </w:r>
    </w:p>
    <w:p w14:paraId="23630CAF" w14:textId="77777777" w:rsidR="00026C1A" w:rsidRDefault="000E111F">
      <w:pPr>
        <w:rPr>
          <w:rFonts w:ascii="宋体" w:hAnsi="宋体" w:cs="Arial"/>
          <w:sz w:val="24"/>
        </w:rPr>
      </w:pPr>
      <w:r>
        <w:rPr>
          <w:rFonts w:ascii="宋体" w:hAnsi="宋体" w:cs="Arial" w:hint="eastAsia"/>
          <w:sz w:val="24"/>
          <w:lang w:bidi="ar"/>
        </w:rPr>
        <w:t>存续期间：持续经营</w:t>
      </w:r>
    </w:p>
    <w:p w14:paraId="63361C63" w14:textId="77777777" w:rsidR="00026C1A" w:rsidRDefault="000E111F">
      <w:pPr>
        <w:rPr>
          <w:rFonts w:ascii="宋体" w:hAnsi="宋体" w:cs="Arial"/>
          <w:sz w:val="24"/>
        </w:rPr>
      </w:pPr>
      <w:r>
        <w:rPr>
          <w:rFonts w:ascii="宋体" w:hAnsi="宋体" w:cs="Arial" w:hint="eastAsia"/>
          <w:sz w:val="24"/>
          <w:lang w:bidi="ar"/>
        </w:rPr>
        <w:t>联系电话：010-58163000</w:t>
      </w:r>
    </w:p>
    <w:p w14:paraId="1C3CC328" w14:textId="77777777" w:rsidR="00026C1A" w:rsidRDefault="000E111F">
      <w:pPr>
        <w:rPr>
          <w:rFonts w:ascii="宋体" w:hAnsi="宋体" w:cs="Arial"/>
          <w:sz w:val="24"/>
        </w:rPr>
      </w:pPr>
      <w:r>
        <w:rPr>
          <w:rFonts w:ascii="宋体" w:hAnsi="宋体" w:cs="Arial" w:hint="eastAsia"/>
          <w:sz w:val="24"/>
          <w:lang w:bidi="ar"/>
        </w:rPr>
        <w:t>经营范围：基金募集、基金销售、资产管理、中国证监会许可的其他业务</w:t>
      </w:r>
    </w:p>
    <w:p w14:paraId="458B288B" w14:textId="77777777" w:rsidR="00026C1A" w:rsidRDefault="000E111F">
      <w:pPr>
        <w:rPr>
          <w:rFonts w:ascii="宋体" w:hAnsi="宋体" w:cs="Arial"/>
          <w:sz w:val="24"/>
        </w:rPr>
      </w:pPr>
      <w:r>
        <w:rPr>
          <w:rFonts w:ascii="宋体" w:hAnsi="宋体" w:cs="Arial" w:hint="eastAsia"/>
          <w:sz w:val="24"/>
          <w:lang w:bidi="ar"/>
        </w:rPr>
        <w:t>（二）基金托管人</w:t>
      </w:r>
    </w:p>
    <w:p w14:paraId="7063EA0A" w14:textId="77777777" w:rsidR="00026C1A" w:rsidRDefault="000E111F">
      <w:pPr>
        <w:rPr>
          <w:rFonts w:ascii="宋体" w:hAnsi="宋体" w:cs="Arial"/>
          <w:sz w:val="24"/>
        </w:rPr>
      </w:pPr>
      <w:r>
        <w:rPr>
          <w:rFonts w:ascii="宋体" w:hAnsi="宋体" w:cs="Arial" w:hint="eastAsia"/>
          <w:sz w:val="24"/>
          <w:lang w:bidi="ar"/>
        </w:rPr>
        <w:t>名称：中国建设银行股份有限公司</w:t>
      </w:r>
    </w:p>
    <w:p w14:paraId="7091F72E" w14:textId="77777777" w:rsidR="00026C1A" w:rsidRDefault="000E111F">
      <w:pPr>
        <w:rPr>
          <w:rFonts w:ascii="宋体" w:hAnsi="宋体" w:cs="Arial"/>
          <w:sz w:val="24"/>
        </w:rPr>
      </w:pPr>
      <w:r>
        <w:rPr>
          <w:rFonts w:ascii="宋体" w:hAnsi="宋体" w:cs="Arial" w:hint="eastAsia"/>
          <w:sz w:val="24"/>
          <w:lang w:bidi="ar"/>
        </w:rPr>
        <w:t>住所：北京市西城区金融大街25号</w:t>
      </w:r>
    </w:p>
    <w:p w14:paraId="2D6B053E" w14:textId="77777777" w:rsidR="00026C1A" w:rsidRDefault="000E111F">
      <w:pPr>
        <w:rPr>
          <w:rFonts w:ascii="宋体" w:hAnsi="宋体" w:cs="Arial"/>
          <w:sz w:val="24"/>
        </w:rPr>
      </w:pPr>
      <w:r>
        <w:rPr>
          <w:rFonts w:ascii="宋体" w:hAnsi="宋体" w:cs="Arial" w:hint="eastAsia"/>
          <w:sz w:val="24"/>
          <w:lang w:bidi="ar"/>
        </w:rPr>
        <w:t>办公地址：北京市西城区闹市口大街1号院1号楼</w:t>
      </w:r>
    </w:p>
    <w:p w14:paraId="7C909962" w14:textId="77777777" w:rsidR="00026C1A" w:rsidRDefault="000E111F">
      <w:pPr>
        <w:rPr>
          <w:rFonts w:ascii="宋体" w:hAnsi="宋体" w:cs="Arial"/>
          <w:sz w:val="24"/>
        </w:rPr>
      </w:pPr>
      <w:r>
        <w:rPr>
          <w:rFonts w:ascii="宋体" w:hAnsi="宋体" w:cs="Arial" w:hint="eastAsia"/>
          <w:sz w:val="24"/>
          <w:lang w:bidi="ar"/>
        </w:rPr>
        <w:t>邮政编码：100033</w:t>
      </w:r>
    </w:p>
    <w:p w14:paraId="7F6E28F7" w14:textId="77777777" w:rsidR="00026C1A" w:rsidRDefault="000E111F">
      <w:pPr>
        <w:rPr>
          <w:rFonts w:ascii="宋体" w:hAnsi="宋体" w:cs="Arial"/>
          <w:sz w:val="24"/>
        </w:rPr>
      </w:pPr>
      <w:r>
        <w:rPr>
          <w:rFonts w:ascii="宋体" w:hAnsi="宋体" w:cs="Arial" w:hint="eastAsia"/>
          <w:sz w:val="24"/>
          <w:lang w:bidi="ar"/>
        </w:rPr>
        <w:t>法定代表人：</w:t>
      </w:r>
      <w:r>
        <w:rPr>
          <w:rFonts w:ascii="宋体" w:hAnsi="宋体" w:hint="eastAsia"/>
          <w:sz w:val="24"/>
        </w:rPr>
        <w:t>张金良</w:t>
      </w:r>
    </w:p>
    <w:p w14:paraId="01D6B165" w14:textId="77777777" w:rsidR="00026C1A" w:rsidRDefault="000E111F">
      <w:pPr>
        <w:rPr>
          <w:rFonts w:ascii="宋体" w:hAnsi="宋体" w:cs="Arial"/>
          <w:sz w:val="24"/>
        </w:rPr>
      </w:pPr>
      <w:r>
        <w:rPr>
          <w:rFonts w:ascii="宋体" w:hAnsi="宋体" w:cs="Arial" w:hint="eastAsia"/>
          <w:sz w:val="24"/>
          <w:lang w:bidi="ar"/>
        </w:rPr>
        <w:t>成立日期：2004年09月17日</w:t>
      </w:r>
    </w:p>
    <w:p w14:paraId="64C2B316" w14:textId="77777777" w:rsidR="00026C1A" w:rsidRDefault="000E111F">
      <w:pPr>
        <w:rPr>
          <w:rFonts w:ascii="宋体" w:hAnsi="宋体" w:cs="Arial"/>
          <w:sz w:val="24"/>
        </w:rPr>
      </w:pPr>
      <w:r>
        <w:rPr>
          <w:rFonts w:ascii="宋体" w:hAnsi="宋体" w:cs="Arial" w:hint="eastAsia"/>
          <w:sz w:val="24"/>
          <w:lang w:bidi="ar"/>
        </w:rPr>
        <w:t>基金托管业务批准文号：中国证监会证监基字[1998</w:t>
      </w:r>
      <w:bookmarkStart w:id="3" w:name="OLE_LINK3"/>
      <w:r>
        <w:rPr>
          <w:rFonts w:ascii="宋体" w:hAnsi="宋体" w:cs="Arial" w:hint="eastAsia"/>
          <w:sz w:val="24"/>
          <w:lang w:bidi="ar"/>
        </w:rPr>
        <w:t>]</w:t>
      </w:r>
      <w:bookmarkEnd w:id="3"/>
      <w:r>
        <w:rPr>
          <w:rFonts w:ascii="宋体" w:hAnsi="宋体" w:cs="Arial" w:hint="eastAsia"/>
          <w:sz w:val="24"/>
          <w:lang w:bidi="ar"/>
        </w:rPr>
        <w:t>12号</w:t>
      </w:r>
    </w:p>
    <w:p w14:paraId="51B52F0E" w14:textId="77777777" w:rsidR="00026C1A" w:rsidRDefault="000E111F">
      <w:pPr>
        <w:rPr>
          <w:rFonts w:ascii="宋体" w:hAnsi="宋体" w:cs="Arial"/>
          <w:sz w:val="24"/>
        </w:rPr>
      </w:pPr>
      <w:r>
        <w:rPr>
          <w:rFonts w:ascii="宋体" w:hAnsi="宋体" w:cs="Arial" w:hint="eastAsia"/>
          <w:sz w:val="24"/>
          <w:lang w:bidi="ar"/>
        </w:rPr>
        <w:t>组织形式：股份有限公司</w:t>
      </w:r>
    </w:p>
    <w:p w14:paraId="55B733F8" w14:textId="77777777" w:rsidR="00026C1A" w:rsidRDefault="000E111F">
      <w:pPr>
        <w:rPr>
          <w:rFonts w:ascii="宋体" w:hAnsi="宋体" w:cs="Arial"/>
          <w:sz w:val="24"/>
        </w:rPr>
      </w:pPr>
      <w:r>
        <w:rPr>
          <w:rFonts w:ascii="宋体" w:hAnsi="宋体" w:cs="Arial" w:hint="eastAsia"/>
          <w:sz w:val="24"/>
          <w:lang w:bidi="ar"/>
        </w:rPr>
        <w:t>注册资本：贰仟陆佰壹拾陆亿零叁拾捌万壹仟肆佰伍拾玖元整</w:t>
      </w:r>
    </w:p>
    <w:p w14:paraId="25AD3C67" w14:textId="77777777" w:rsidR="00026C1A" w:rsidRDefault="000E111F">
      <w:pPr>
        <w:rPr>
          <w:rFonts w:ascii="宋体" w:hAnsi="宋体" w:cs="Arial"/>
          <w:sz w:val="24"/>
        </w:rPr>
      </w:pPr>
      <w:r>
        <w:rPr>
          <w:rFonts w:ascii="宋体" w:hAnsi="宋体" w:cs="Arial" w:hint="eastAsia"/>
          <w:sz w:val="24"/>
          <w:lang w:bidi="ar"/>
        </w:rPr>
        <w:t>存续期间：持续经营</w:t>
      </w:r>
    </w:p>
    <w:p w14:paraId="0BD07252" w14:textId="77777777" w:rsidR="00026C1A" w:rsidRDefault="000E111F">
      <w:pPr>
        <w:rPr>
          <w:rFonts w:ascii="宋体" w:hAnsi="宋体" w:cs="Arial"/>
          <w:sz w:val="24"/>
        </w:rPr>
      </w:pPr>
      <w:r>
        <w:rPr>
          <w:rFonts w:ascii="宋体" w:hAnsi="宋体" w:cs="Arial" w:hint="eastAsia"/>
          <w:sz w:val="24"/>
          <w:lang w:bidi="ar"/>
        </w:rPr>
        <w:t>经营范围：吸收公众存款；发放短期、中期、长期贷款；办理国内外结算；办理票据承兑与贴现；发行金融债券；代理发行、代理兑付、承销政府债券；买卖政</w:t>
      </w:r>
      <w:r>
        <w:rPr>
          <w:rFonts w:ascii="宋体" w:hAnsi="宋体" w:cs="Arial" w:hint="eastAsia"/>
          <w:sz w:val="24"/>
          <w:lang w:bidi="ar"/>
        </w:rPr>
        <w:lastRenderedPageBreak/>
        <w:t>府债券、金融债券；从事同业拆借；买卖、代理买卖外汇；从事银行卡业务；提供信用证服务及担保；代理收付款项及代理保险业务；提供保管箱服务；经中国银行业监督管理机构等监管部门批准的其他业务。</w:t>
      </w:r>
    </w:p>
    <w:p w14:paraId="2AAB2818" w14:textId="77777777" w:rsidR="00026C1A" w:rsidRDefault="00026C1A">
      <w:pPr>
        <w:rPr>
          <w:rFonts w:ascii="宋体" w:hAnsi="宋体" w:cs="宋体"/>
          <w:sz w:val="24"/>
        </w:rPr>
      </w:pPr>
    </w:p>
    <w:p w14:paraId="08BD2052" w14:textId="77777777" w:rsidR="00026C1A" w:rsidRDefault="000E111F">
      <w:pPr>
        <w:pStyle w:val="1"/>
        <w:jc w:val="center"/>
        <w:rPr>
          <w:rFonts w:ascii="宋体" w:hAnsi="宋体" w:cs="宋体"/>
          <w:sz w:val="30"/>
        </w:rPr>
      </w:pPr>
      <w:bookmarkStart w:id="4" w:name="_Toc111186466"/>
      <w:r>
        <w:rPr>
          <w:rFonts w:ascii="宋体" w:hAnsi="宋体" w:cs="宋体" w:hint="eastAsia"/>
          <w:sz w:val="30"/>
        </w:rPr>
        <w:t>二、基金托管协议的依据、目的和原则</w:t>
      </w:r>
      <w:bookmarkEnd w:id="4"/>
    </w:p>
    <w:p w14:paraId="684EE6FA" w14:textId="77777777" w:rsidR="00026C1A" w:rsidRDefault="000E111F">
      <w:pPr>
        <w:adjustRightInd w:val="0"/>
        <w:snapToGrid w:val="0"/>
        <w:ind w:firstLineChars="200" w:firstLine="480"/>
        <w:rPr>
          <w:rFonts w:ascii="宋体" w:hAnsi="宋体" w:cs="宋体"/>
          <w:sz w:val="24"/>
          <w:szCs w:val="30"/>
        </w:rPr>
      </w:pPr>
      <w:r>
        <w:rPr>
          <w:rFonts w:ascii="宋体" w:hAnsi="宋体" w:cs="Arial" w:hint="eastAsia"/>
          <w:sz w:val="24"/>
          <w:lang w:bidi="ar"/>
        </w:rPr>
        <w:t>（一）订立托管协议的依据</w:t>
      </w:r>
    </w:p>
    <w:p w14:paraId="4223FAFE"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本协议依据《中华人民共和国证券投资基金法》（以下简称“《基金法》”）、</w:t>
      </w:r>
      <w:r>
        <w:rPr>
          <w:rFonts w:ascii="宋体" w:hAnsi="宋体" w:cs="Arial" w:hint="eastAsia"/>
          <w:bCs/>
          <w:sz w:val="24"/>
          <w:lang w:bidi="ar"/>
        </w:rPr>
        <w:t>《公开募集证券投资基金运作管理办法》</w:t>
      </w:r>
      <w:r>
        <w:rPr>
          <w:rFonts w:ascii="宋体" w:hAnsi="宋体" w:cs="Arial" w:hint="eastAsia"/>
          <w:sz w:val="24"/>
          <w:lang w:bidi="ar"/>
        </w:rPr>
        <w:t>（以下简称“《运作办法》”）、《公开募集证券投资基金销售机构监督管理办法》、《</w:t>
      </w:r>
      <w:r>
        <w:rPr>
          <w:rFonts w:ascii="宋体" w:hAnsi="宋体" w:cs="Arial" w:hint="eastAsia"/>
          <w:bCs/>
          <w:sz w:val="24"/>
          <w:lang w:bidi="ar"/>
        </w:rPr>
        <w:t>公开募集</w:t>
      </w:r>
      <w:r>
        <w:rPr>
          <w:rFonts w:ascii="宋体" w:hAnsi="宋体" w:cs="Arial" w:hint="eastAsia"/>
          <w:sz w:val="24"/>
          <w:lang w:bidi="ar"/>
        </w:rPr>
        <w:t>证券投资基金信息披露管理办法》（以下简称“《信息披露办法》”）</w:t>
      </w:r>
      <w:r>
        <w:rPr>
          <w:rFonts w:ascii="宋体" w:hAnsi="宋体" w:cs="Arial" w:hint="eastAsia"/>
          <w:bCs/>
          <w:sz w:val="24"/>
          <w:lang w:bidi="ar"/>
        </w:rPr>
        <w:t>、《公开募集开放式证券投资基金流动性风险管理规定》（以下简称“《流动性风险管理规定》”）、《公开募集证券投资基金运作指引第3号——指数基金指引》</w:t>
      </w:r>
      <w:r>
        <w:rPr>
          <w:rFonts w:ascii="宋体" w:hAnsi="宋体" w:cs="Arial" w:hint="eastAsia"/>
          <w:sz w:val="24"/>
          <w:lang w:bidi="ar"/>
        </w:rPr>
        <w:t>等有关法律法规、《基金合同》及其他有关规定制订。</w:t>
      </w:r>
    </w:p>
    <w:p w14:paraId="3C2270BE"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（二）订立托管协议的目的</w:t>
      </w:r>
    </w:p>
    <w:p w14:paraId="778711D1" w14:textId="77777777" w:rsidR="00026C1A" w:rsidRDefault="000E111F">
      <w:pPr>
        <w:adjustRightInd w:val="0"/>
        <w:snapToGrid w:val="0"/>
        <w:ind w:firstLineChars="200" w:firstLine="480"/>
        <w:rPr>
          <w:rFonts w:ascii="宋体" w:hAnsi="宋体" w:cs="宋体"/>
          <w:sz w:val="24"/>
          <w:szCs w:val="30"/>
        </w:rPr>
      </w:pPr>
      <w:r>
        <w:rPr>
          <w:rFonts w:ascii="宋体" w:hAnsi="宋体" w:cs="Arial" w:hint="eastAsia"/>
          <w:sz w:val="24"/>
          <w:lang w:bidi="ar"/>
        </w:rPr>
        <w:t>订立本协议的目的是明确基金管理人与基金托管人之间在基金财产的保管、投资运作、净值计算、收益分配、信息披露及相互监督等相关事宜中的权利义务及职责，确保基金财产的安全，保护基金份额持有人的合法权益。</w:t>
      </w:r>
    </w:p>
    <w:p w14:paraId="6B50E7EE"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（三）订立托管协议的原则</w:t>
      </w:r>
    </w:p>
    <w:p w14:paraId="7F0C18B9"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基金管理人和基金托管人本着平等自愿、诚实信用、充分保护基金份额持有人合法权益的原则，经协商一致，签订本协议。</w:t>
      </w:r>
    </w:p>
    <w:p w14:paraId="50B0FCCA"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 xml:space="preserve">（四）免责声明 </w:t>
      </w:r>
    </w:p>
    <w:p w14:paraId="29A4A6AC"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 xml:space="preserve">基金托管人开展托管业务，不得承担以下职责： </w:t>
      </w:r>
    </w:p>
    <w:p w14:paraId="00C2F61B"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1、承担基金财产的信用风险、市场风险等；</w:t>
      </w:r>
    </w:p>
    <w:p w14:paraId="7298477A"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2、为基金提供直接或间接、显性或隐性担保，包括承诺本金或保证收益；</w:t>
      </w:r>
    </w:p>
    <w:p w14:paraId="4FAF5DEF"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3、为基金垫付资金、提供流动性支持或融资承诺等；</w:t>
      </w:r>
    </w:p>
    <w:p w14:paraId="162AAF91"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 xml:space="preserve">4、参与投资者适当性管理； </w:t>
      </w:r>
    </w:p>
    <w:p w14:paraId="1C1A8005"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 xml:space="preserve">5、保证投资项目及交易信息真实性； </w:t>
      </w:r>
    </w:p>
    <w:p w14:paraId="38933DA7"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6、保证基金资金来源的合法合规性；</w:t>
      </w:r>
    </w:p>
    <w:p w14:paraId="583109EF"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7、对已划出托管资金账户以及处于基金托管人实际控制之外的基金财产承担保管责任；</w:t>
      </w:r>
    </w:p>
    <w:p w14:paraId="55884135"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8、参与基金管理人对基金的投资决策；</w:t>
      </w:r>
    </w:p>
    <w:p w14:paraId="3C927D8B"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 xml:space="preserve">9、违规代替基金管理人向其他机构或者个人进行基金信息披露或提供相关数据信息； </w:t>
      </w:r>
    </w:p>
    <w:p w14:paraId="1FA4BB92"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10、基金管理人未接受基金托管人的复核意见进行信息披露产生的相应责任；</w:t>
      </w:r>
    </w:p>
    <w:p w14:paraId="731F2B2F"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11、负责未兑付产品的资金追偿、财产保全、诉讼仲裁、债务重组和破产程序等，法律另有规定的除外；</w:t>
      </w:r>
    </w:p>
    <w:p w14:paraId="529BA8E1"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12、因不可抗力，以及非基金托管人履职错误或过失造成的托管资产损失；</w:t>
      </w:r>
    </w:p>
    <w:p w14:paraId="2B11DC26"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13、国务院金融监管部门规定的不属于基金托管人托管业务范围的其他职责。</w:t>
      </w:r>
    </w:p>
    <w:p w14:paraId="51845129" w14:textId="77777777" w:rsidR="00026C1A" w:rsidRDefault="00026C1A">
      <w:pPr>
        <w:rPr>
          <w:rFonts w:ascii="宋体" w:hAnsi="宋体" w:cs="宋体"/>
          <w:sz w:val="24"/>
        </w:rPr>
      </w:pPr>
    </w:p>
    <w:p w14:paraId="53A872FA" w14:textId="77777777" w:rsidR="00026C1A" w:rsidRDefault="000E111F">
      <w:pPr>
        <w:pStyle w:val="1"/>
        <w:jc w:val="center"/>
        <w:rPr>
          <w:rFonts w:ascii="宋体" w:hAnsi="宋体" w:cs="宋体"/>
          <w:sz w:val="30"/>
          <w:szCs w:val="24"/>
        </w:rPr>
      </w:pPr>
      <w:bookmarkStart w:id="5" w:name="_Toc111186467"/>
      <w:r>
        <w:rPr>
          <w:rFonts w:ascii="宋体" w:hAnsi="宋体" w:cs="宋体" w:hint="eastAsia"/>
          <w:sz w:val="30"/>
        </w:rPr>
        <w:lastRenderedPageBreak/>
        <w:t>三、基金托管人对基金管理人的业务监督和核查</w:t>
      </w:r>
      <w:bookmarkEnd w:id="5"/>
    </w:p>
    <w:p w14:paraId="05C6CCD7"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（一）基金托管人根据有关法律法规的规定及《基金合同》的约定，对基金投资范围、投资对象进行监督。《基金合同》明确约定基金投资风格或证券选择标准的，基金管理人应</w:t>
      </w:r>
      <w:r>
        <w:rPr>
          <w:rFonts w:hint="eastAsia"/>
          <w:sz w:val="24"/>
        </w:rPr>
        <w:t>按照基金托管人要求的格式，</w:t>
      </w:r>
      <w:r>
        <w:rPr>
          <w:rFonts w:asciiTheme="minorEastAsia" w:eastAsiaTheme="minorEastAsia" w:hAnsiTheme="minorEastAsia" w:cs="Arial" w:hint="eastAsia"/>
          <w:sz w:val="24"/>
        </w:rPr>
        <w:t>将拟投资的标的证券库提供给基金托管人，基金管理人可以根据实际情况的变化，对标的证券库予以更新和调整并及时书面通知基金托管人。</w:t>
      </w:r>
      <w:r>
        <w:rPr>
          <w:rFonts w:ascii="宋体" w:hAnsi="宋体" w:cs="Arial" w:hint="eastAsia"/>
          <w:sz w:val="24"/>
          <w:lang w:bidi="ar"/>
        </w:rPr>
        <w:t>基金托管人根据上述投资范围对基金</w:t>
      </w:r>
      <w:r>
        <w:rPr>
          <w:rFonts w:hint="eastAsia"/>
          <w:sz w:val="24"/>
        </w:rPr>
        <w:t>是否符合《基金合同》关于证券选择标准的约定</w:t>
      </w:r>
      <w:r>
        <w:rPr>
          <w:rFonts w:ascii="宋体" w:hAnsi="宋体" w:cs="Arial" w:hint="eastAsia"/>
          <w:sz w:val="24"/>
          <w:lang w:bidi="ar"/>
        </w:rPr>
        <w:t>的投资进行监督。</w:t>
      </w:r>
    </w:p>
    <w:p w14:paraId="4B0DDAA7" w14:textId="5477C307" w:rsidR="00026C1A" w:rsidRDefault="000E111F">
      <w:pPr>
        <w:adjustRightInd w:val="0"/>
        <w:snapToGrid w:val="0"/>
        <w:ind w:firstLineChars="200" w:firstLine="480"/>
        <w:rPr>
          <w:rFonts w:ascii="宋体" w:hAnsi="宋体" w:cs="Arial"/>
          <w:sz w:val="24"/>
          <w:lang w:bidi="ar"/>
        </w:rPr>
      </w:pPr>
      <w:bookmarkStart w:id="6" w:name="OLE_LINK10"/>
      <w:bookmarkStart w:id="7" w:name="OLE_LINK9"/>
      <w:bookmarkStart w:id="8" w:name="_Hlk209710060"/>
      <w:r>
        <w:rPr>
          <w:rFonts w:ascii="宋体" w:hAnsi="宋体" w:cs="Arial" w:hint="eastAsia"/>
          <w:sz w:val="24"/>
          <w:lang w:bidi="ar"/>
        </w:rPr>
        <w:t>本基金主要投资于标的指数成份股及备选成份股（均含存托凭证，下同）。同时，为更好地实现投资目标，本基金可少量投资于部分非成份股（包含主板股票、创业板股票、科创板股票、存托凭证及其他经中国证监会核准或注册上市的股票）、债券资产（包括国债、金融债券、企业债券、公司债券、公开发行的次级债券、可转换公司债券（含分离交易的可转换公司债券）、央行票据、短期融资券、超短期融资券、地方政府债券、政府支持机构债券、中期票据、可交换债券以及其他中国证监会允许投资的债券）、银行存款（包括银行定期存款、协议存款及其他银行存款）、资产支持证券、债券回购、同业存单、现金、衍生工具（股指期货、股票期权、国债期货）以及法律法规或中国证监会允许基金投资的其他金融工具（但须符合中国证监会相关规定）。</w:t>
      </w:r>
    </w:p>
    <w:p w14:paraId="64A0880F"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本基金可以根据相关法律法规，参与融资及转融通证券出借业务。</w:t>
      </w:r>
    </w:p>
    <w:p w14:paraId="50E7B65B"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如法律法规或监管机构以后允许基金投资其他品种，基金管理人在履行适当程序后，可以将其纳入投资范围，其投资原则及投资比例限制按法律法规或监管机构的相关规定执行。</w:t>
      </w:r>
    </w:p>
    <w:p w14:paraId="5E9A75AB"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在建仓完成后，本基金投资于标的指数成份股及备选成份股的资产不低于基金资产净值的90%，且不低于非现金基金资产的80%，每个交易日日终在扣除股指期货合约、股票期权合约和国债期货合约需缴纳的交易保证金后，应当保持不低于交易保证金一倍的现金，其中，现金不包括结算备付金、存出保证金和应收申购款等，因法律法规的规定而受限制的情形除外。</w:t>
      </w:r>
    </w:p>
    <w:p w14:paraId="6A38538E"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如果法律法规或中国证监会变更相关投资品种的投资比例限制，基金管理人在履行适当程序后，可以调整上述投资品种的投资比例或按变更后的规定执行。</w:t>
      </w:r>
    </w:p>
    <w:bookmarkEnd w:id="6"/>
    <w:bookmarkEnd w:id="7"/>
    <w:p w14:paraId="6CBB9525" w14:textId="77777777" w:rsidR="00026C1A" w:rsidRDefault="000E111F">
      <w:pPr>
        <w:adjustRightInd w:val="0"/>
        <w:snapToGrid w:val="0"/>
        <w:ind w:firstLineChars="200" w:firstLine="480"/>
        <w:rPr>
          <w:rFonts w:ascii="宋体" w:hAnsi="宋体" w:cs="宋体"/>
          <w:bCs/>
          <w:sz w:val="24"/>
        </w:rPr>
      </w:pPr>
      <w:r>
        <w:rPr>
          <w:rFonts w:ascii="宋体" w:hAnsi="宋体" w:cs="Arial" w:hint="eastAsia"/>
          <w:sz w:val="24"/>
          <w:lang w:bidi="ar"/>
        </w:rPr>
        <w:t>（二）基金托管人根据有关法律法规的规定及《基金合同》的约定，对基金投资、融资比例</w:t>
      </w:r>
      <w:r>
        <w:rPr>
          <w:rFonts w:ascii="宋体" w:hAnsi="宋体" w:cs="宋体" w:hint="eastAsia"/>
          <w:bCs/>
          <w:sz w:val="24"/>
          <w:lang w:bidi="ar"/>
        </w:rPr>
        <w:t>进行监督。基金托管人按下述比例和调整期限进行监督：</w:t>
      </w:r>
    </w:p>
    <w:p w14:paraId="1CAC5D4E" w14:textId="77777777" w:rsidR="00026C1A" w:rsidRDefault="000E111F">
      <w:pPr>
        <w:adjustRightInd w:val="0"/>
        <w:snapToGrid w:val="0"/>
        <w:ind w:firstLineChars="200" w:firstLine="480"/>
        <w:rPr>
          <w:rFonts w:ascii="宋体" w:hAnsi="宋体" w:cs="宋体"/>
          <w:bCs/>
          <w:sz w:val="24"/>
          <w:lang w:bidi="ar"/>
        </w:rPr>
      </w:pPr>
      <w:r>
        <w:rPr>
          <w:rFonts w:ascii="宋体" w:hAnsi="宋体" w:cs="宋体" w:hint="eastAsia"/>
          <w:bCs/>
          <w:sz w:val="24"/>
          <w:lang w:bidi="ar"/>
        </w:rPr>
        <w:t>（1）在建仓完成后，本基金投资于标的指数成份股及备选成份股的资产不低于基金资产净值的90%，且不低于非现金基金资产的80%；</w:t>
      </w:r>
    </w:p>
    <w:p w14:paraId="72799396" w14:textId="77777777" w:rsidR="00026C1A" w:rsidRDefault="000E111F">
      <w:pPr>
        <w:adjustRightInd w:val="0"/>
        <w:snapToGrid w:val="0"/>
        <w:ind w:firstLineChars="200" w:firstLine="480"/>
        <w:rPr>
          <w:rFonts w:ascii="宋体" w:hAnsi="宋体" w:cs="宋体"/>
          <w:bCs/>
          <w:sz w:val="24"/>
          <w:lang w:bidi="ar"/>
        </w:rPr>
      </w:pPr>
      <w:r>
        <w:rPr>
          <w:rFonts w:ascii="宋体" w:hAnsi="宋体" w:cs="宋体" w:hint="eastAsia"/>
          <w:bCs/>
          <w:sz w:val="24"/>
          <w:lang w:bidi="ar"/>
        </w:rPr>
        <w:t>（2）每个交易日日终在扣除股指期货合约、股票期权合约和国债期货合约需缴纳的交易保证金后，本基金应当保持不低于交易保证金一倍的现金，其中，现金不包括结算备付金、存出保证金和应收申购款等；</w:t>
      </w:r>
    </w:p>
    <w:p w14:paraId="22E240D2" w14:textId="77777777" w:rsidR="00026C1A" w:rsidRDefault="000E111F">
      <w:pPr>
        <w:adjustRightInd w:val="0"/>
        <w:snapToGrid w:val="0"/>
        <w:ind w:firstLineChars="200" w:firstLine="480"/>
        <w:rPr>
          <w:rFonts w:ascii="宋体" w:hAnsi="宋体" w:cs="宋体"/>
          <w:bCs/>
          <w:sz w:val="24"/>
          <w:lang w:bidi="ar"/>
        </w:rPr>
      </w:pPr>
      <w:r>
        <w:rPr>
          <w:rFonts w:ascii="宋体" w:hAnsi="宋体" w:cs="宋体" w:hint="eastAsia"/>
          <w:bCs/>
          <w:sz w:val="24"/>
          <w:lang w:bidi="ar"/>
        </w:rPr>
        <w:t>（3）基金财产参与股票发行申购，本基金所申报的金额不超过本基金的总资产，本基金所申报的股票数量不超过拟发行股票公司本次发行股票的总量；</w:t>
      </w:r>
    </w:p>
    <w:p w14:paraId="4D8293AA" w14:textId="77777777" w:rsidR="00026C1A" w:rsidRDefault="000E111F">
      <w:pPr>
        <w:adjustRightInd w:val="0"/>
        <w:snapToGrid w:val="0"/>
        <w:ind w:firstLineChars="200" w:firstLine="480"/>
        <w:rPr>
          <w:rFonts w:ascii="宋体" w:hAnsi="宋体" w:cs="宋体"/>
          <w:bCs/>
          <w:sz w:val="24"/>
          <w:lang w:bidi="ar"/>
        </w:rPr>
      </w:pPr>
      <w:r>
        <w:rPr>
          <w:rFonts w:ascii="宋体" w:hAnsi="宋体" w:cs="宋体" w:hint="eastAsia"/>
          <w:bCs/>
          <w:sz w:val="24"/>
          <w:lang w:bidi="ar"/>
        </w:rPr>
        <w:t>（4）本基金基金资产总值不超过基金资产净值的140%；</w:t>
      </w:r>
    </w:p>
    <w:p w14:paraId="70E368BE" w14:textId="77777777" w:rsidR="00026C1A" w:rsidRDefault="000E111F">
      <w:pPr>
        <w:adjustRightInd w:val="0"/>
        <w:snapToGrid w:val="0"/>
        <w:ind w:firstLineChars="200" w:firstLine="480"/>
        <w:rPr>
          <w:rFonts w:ascii="宋体" w:hAnsi="宋体" w:cs="宋体"/>
          <w:bCs/>
          <w:sz w:val="24"/>
          <w:lang w:bidi="ar"/>
        </w:rPr>
      </w:pPr>
      <w:r>
        <w:rPr>
          <w:rFonts w:ascii="宋体" w:hAnsi="宋体" w:cs="宋体" w:hint="eastAsia"/>
          <w:bCs/>
          <w:sz w:val="24"/>
          <w:lang w:bidi="ar"/>
        </w:rPr>
        <w:t>（5）本基金参与股指期货交易的，需遵循以下投资比例限制：</w:t>
      </w:r>
    </w:p>
    <w:p w14:paraId="0B8D3215" w14:textId="77777777" w:rsidR="00026C1A" w:rsidRDefault="000E111F">
      <w:pPr>
        <w:adjustRightInd w:val="0"/>
        <w:snapToGrid w:val="0"/>
        <w:ind w:firstLineChars="200" w:firstLine="480"/>
        <w:rPr>
          <w:rFonts w:ascii="宋体" w:hAnsi="宋体" w:cs="宋体"/>
          <w:bCs/>
          <w:sz w:val="24"/>
          <w:lang w:bidi="ar"/>
        </w:rPr>
      </w:pPr>
      <w:r>
        <w:rPr>
          <w:rFonts w:ascii="宋体" w:hAnsi="宋体" w:cs="宋体" w:hint="eastAsia"/>
          <w:bCs/>
          <w:sz w:val="24"/>
          <w:lang w:bidi="ar"/>
        </w:rPr>
        <w:t>在任何交易日日终，持有的买入股指期货合约价值，不得超过基金资产净值的10%；在任何交易日日终，持有的卖出股指期货合约价值不得超过基金持有的股票总市值的20%；基金所持有的股票市值和买入、卖出股指期货合约价值，合</w:t>
      </w:r>
      <w:r>
        <w:rPr>
          <w:rFonts w:ascii="宋体" w:hAnsi="宋体" w:cs="宋体" w:hint="eastAsia"/>
          <w:bCs/>
          <w:sz w:val="24"/>
          <w:lang w:bidi="ar"/>
        </w:rPr>
        <w:lastRenderedPageBreak/>
        <w:t>计（轧差计算）应当符合基金合同关于股票投资比例的有关约定；在任何交易日内交易（不包括平仓）的股指期货合约的成交金额不得超过上一交易日基金资产净值的20%；</w:t>
      </w:r>
    </w:p>
    <w:p w14:paraId="5767ECF9" w14:textId="77777777" w:rsidR="00026C1A" w:rsidRDefault="000E111F">
      <w:pPr>
        <w:adjustRightInd w:val="0"/>
        <w:snapToGrid w:val="0"/>
        <w:ind w:firstLineChars="200" w:firstLine="480"/>
        <w:rPr>
          <w:rFonts w:ascii="宋体" w:hAnsi="宋体" w:cs="宋体"/>
          <w:bCs/>
          <w:sz w:val="24"/>
          <w:lang w:bidi="ar"/>
        </w:rPr>
      </w:pPr>
      <w:r>
        <w:rPr>
          <w:rFonts w:ascii="宋体" w:hAnsi="宋体" w:cs="宋体" w:hint="eastAsia"/>
          <w:bCs/>
          <w:sz w:val="24"/>
          <w:lang w:bidi="ar"/>
        </w:rPr>
        <w:t>（6）本基金投资于同一原始权益人的各类资产支持证券的比例，不得超过基金资产净值的10%；本基金持有的全部资产支持证券，其市值不得超过基金资产净值的20%，中国证监会规定的特殊品种除外；</w:t>
      </w:r>
    </w:p>
    <w:p w14:paraId="2012B868" w14:textId="77777777" w:rsidR="00026C1A" w:rsidRDefault="000E111F">
      <w:pPr>
        <w:adjustRightInd w:val="0"/>
        <w:snapToGrid w:val="0"/>
        <w:ind w:firstLineChars="200" w:firstLine="480"/>
        <w:rPr>
          <w:rFonts w:ascii="宋体" w:hAnsi="宋体" w:cs="宋体"/>
          <w:bCs/>
          <w:sz w:val="24"/>
          <w:lang w:bidi="ar"/>
        </w:rPr>
      </w:pPr>
      <w:r>
        <w:rPr>
          <w:rFonts w:ascii="宋体" w:hAnsi="宋体" w:cs="宋体" w:hint="eastAsia"/>
          <w:bCs/>
          <w:sz w:val="24"/>
          <w:lang w:bidi="ar"/>
        </w:rPr>
        <w:t>（7）本基金持有的同一（指同一信用级别）资产支持证券的比例，不得超过该资产支持证券规模的10%；本基金管理人管理的且在本基金托管人处托管的全部基金投资于同一原始权益人的各类资产支持证券，不得超过其各类资产支持证券合计规模的10%；</w:t>
      </w:r>
    </w:p>
    <w:p w14:paraId="6A0F8BA9" w14:textId="77777777" w:rsidR="00026C1A" w:rsidRDefault="000E111F">
      <w:pPr>
        <w:adjustRightInd w:val="0"/>
        <w:snapToGrid w:val="0"/>
        <w:ind w:firstLineChars="200" w:firstLine="480"/>
        <w:rPr>
          <w:rFonts w:ascii="宋体" w:hAnsi="宋体" w:cs="宋体"/>
          <w:bCs/>
          <w:sz w:val="24"/>
          <w:lang w:bidi="ar"/>
        </w:rPr>
      </w:pPr>
      <w:r>
        <w:rPr>
          <w:rFonts w:ascii="宋体" w:hAnsi="宋体" w:cs="宋体" w:hint="eastAsia"/>
          <w:bCs/>
          <w:sz w:val="24"/>
          <w:lang w:bidi="ar"/>
        </w:rPr>
        <w:t>（8）本基金应投资于信用级别评级为BBB以上（含BBB）的资产支持证券。基金持有资产支持证券期间，如果其信用等级下降、不再符合投资标准，应在评级报告发布之日起3个月内予以全部卖出；</w:t>
      </w:r>
    </w:p>
    <w:p w14:paraId="593310B6" w14:textId="77777777" w:rsidR="00026C1A" w:rsidRDefault="000E111F">
      <w:pPr>
        <w:adjustRightInd w:val="0"/>
        <w:snapToGrid w:val="0"/>
        <w:ind w:firstLineChars="200" w:firstLine="480"/>
        <w:rPr>
          <w:rFonts w:ascii="宋体" w:hAnsi="宋体" w:cs="宋体"/>
          <w:bCs/>
          <w:sz w:val="24"/>
          <w:lang w:bidi="ar"/>
        </w:rPr>
      </w:pPr>
      <w:r>
        <w:rPr>
          <w:rFonts w:ascii="宋体" w:hAnsi="宋体" w:cs="宋体" w:hint="eastAsia"/>
          <w:bCs/>
          <w:sz w:val="24"/>
          <w:lang w:bidi="ar"/>
        </w:rPr>
        <w:t>（9）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14:paraId="4A195173" w14:textId="4E6B9312" w:rsidR="00026C1A" w:rsidRDefault="000E111F">
      <w:pPr>
        <w:adjustRightInd w:val="0"/>
        <w:snapToGrid w:val="0"/>
        <w:ind w:firstLineChars="200" w:firstLine="480"/>
        <w:rPr>
          <w:rFonts w:ascii="宋体" w:hAnsi="宋体" w:cs="宋体"/>
          <w:bCs/>
          <w:sz w:val="24"/>
          <w:lang w:bidi="ar"/>
        </w:rPr>
      </w:pPr>
      <w:r>
        <w:rPr>
          <w:rFonts w:ascii="宋体" w:hAnsi="宋体" w:cs="宋体" w:hint="eastAsia"/>
          <w:bCs/>
          <w:sz w:val="24"/>
          <w:lang w:bidi="ar"/>
        </w:rPr>
        <w:t>（10）本基金参与融资的，每个交易日日终，本基金持有的融资买入股票与其他有价证券市值之和，不得超过基金资产净值的95%；</w:t>
      </w:r>
    </w:p>
    <w:p w14:paraId="21DE7B26" w14:textId="74E65CCA" w:rsidR="00026C1A" w:rsidRDefault="000E111F">
      <w:pPr>
        <w:adjustRightInd w:val="0"/>
        <w:snapToGrid w:val="0"/>
        <w:ind w:firstLineChars="200" w:firstLine="480"/>
        <w:rPr>
          <w:rFonts w:ascii="宋体" w:hAnsi="宋体" w:cs="宋体"/>
          <w:bCs/>
          <w:sz w:val="24"/>
          <w:lang w:bidi="ar"/>
        </w:rPr>
      </w:pPr>
      <w:r>
        <w:rPr>
          <w:rFonts w:ascii="宋体" w:hAnsi="宋体" w:cs="宋体" w:hint="eastAsia"/>
          <w:bCs/>
          <w:sz w:val="24"/>
          <w:lang w:bidi="ar"/>
        </w:rPr>
        <w:t>（11）本基金参与转融通证券出借业务的，应当符合下列要求：</w:t>
      </w:r>
    </w:p>
    <w:p w14:paraId="0F1B6C74" w14:textId="77777777" w:rsidR="00026C1A" w:rsidRDefault="000E111F">
      <w:pPr>
        <w:adjustRightInd w:val="0"/>
        <w:snapToGrid w:val="0"/>
        <w:ind w:firstLineChars="200" w:firstLine="480"/>
        <w:rPr>
          <w:rFonts w:ascii="宋体" w:hAnsi="宋体" w:cs="宋体"/>
          <w:bCs/>
          <w:sz w:val="24"/>
          <w:lang w:bidi="ar"/>
        </w:rPr>
      </w:pPr>
      <w:r>
        <w:rPr>
          <w:rFonts w:ascii="宋体" w:hAnsi="宋体" w:cs="宋体" w:hint="eastAsia"/>
          <w:bCs/>
          <w:sz w:val="24"/>
          <w:lang w:bidi="ar"/>
        </w:rPr>
        <w:t>1）参与转融通证券出借业务的资产，不得超过基金资产净值的30%，其中，出借期限在10个交易日以上的出借证券纳入《流动性风险管理规定》所述流动性受限证券的范围；</w:t>
      </w:r>
    </w:p>
    <w:p w14:paraId="3D6CB8B2" w14:textId="77777777" w:rsidR="00026C1A" w:rsidRDefault="000E111F">
      <w:pPr>
        <w:adjustRightInd w:val="0"/>
        <w:snapToGrid w:val="0"/>
        <w:ind w:firstLineChars="200" w:firstLine="480"/>
        <w:rPr>
          <w:rFonts w:ascii="宋体" w:hAnsi="宋体" w:cs="宋体"/>
          <w:bCs/>
          <w:sz w:val="24"/>
          <w:lang w:bidi="ar"/>
        </w:rPr>
      </w:pPr>
      <w:r>
        <w:rPr>
          <w:rFonts w:ascii="宋体" w:hAnsi="宋体" w:cs="宋体" w:hint="eastAsia"/>
          <w:bCs/>
          <w:sz w:val="24"/>
          <w:lang w:bidi="ar"/>
        </w:rPr>
        <w:t>2）参与转融通证券出借业务的单只证券不得超过基金持有该证券总量的30%；</w:t>
      </w:r>
    </w:p>
    <w:p w14:paraId="630F2C15" w14:textId="77777777" w:rsidR="00026C1A" w:rsidRDefault="000E111F">
      <w:pPr>
        <w:adjustRightInd w:val="0"/>
        <w:snapToGrid w:val="0"/>
        <w:ind w:firstLineChars="200" w:firstLine="480"/>
        <w:rPr>
          <w:rFonts w:ascii="宋体" w:hAnsi="宋体" w:cs="宋体"/>
          <w:bCs/>
          <w:sz w:val="24"/>
          <w:lang w:bidi="ar"/>
        </w:rPr>
      </w:pPr>
      <w:r>
        <w:rPr>
          <w:rFonts w:ascii="宋体" w:hAnsi="宋体" w:cs="宋体" w:hint="eastAsia"/>
          <w:bCs/>
          <w:sz w:val="24"/>
          <w:lang w:bidi="ar"/>
        </w:rPr>
        <w:t>3）最近6个月内日均基金资产净值不得低于2亿元；</w:t>
      </w:r>
    </w:p>
    <w:p w14:paraId="1A344CE8" w14:textId="77777777" w:rsidR="00026C1A" w:rsidRDefault="000E111F">
      <w:pPr>
        <w:adjustRightInd w:val="0"/>
        <w:snapToGrid w:val="0"/>
        <w:ind w:firstLineChars="200" w:firstLine="480"/>
        <w:rPr>
          <w:rFonts w:ascii="宋体" w:hAnsi="宋体" w:cs="宋体"/>
          <w:bCs/>
          <w:sz w:val="24"/>
          <w:lang w:bidi="ar"/>
        </w:rPr>
      </w:pPr>
      <w:r>
        <w:rPr>
          <w:rFonts w:ascii="宋体" w:hAnsi="宋体" w:cs="宋体" w:hint="eastAsia"/>
          <w:bCs/>
          <w:sz w:val="24"/>
          <w:lang w:bidi="ar"/>
        </w:rPr>
        <w:t>4）证券出借的平均剩余期限不得超过30天，平均剩余期限按照市值加权平均计算；</w:t>
      </w:r>
    </w:p>
    <w:p w14:paraId="322C4206" w14:textId="734B6B94" w:rsidR="00026C1A" w:rsidRDefault="000E111F">
      <w:pPr>
        <w:adjustRightInd w:val="0"/>
        <w:snapToGrid w:val="0"/>
        <w:ind w:firstLineChars="200" w:firstLine="480"/>
        <w:rPr>
          <w:rFonts w:ascii="宋体" w:hAnsi="宋体" w:cs="宋体"/>
          <w:bCs/>
          <w:sz w:val="24"/>
          <w:lang w:bidi="ar"/>
        </w:rPr>
      </w:pPr>
      <w:r>
        <w:rPr>
          <w:rFonts w:ascii="宋体" w:hAnsi="宋体" w:cs="宋体" w:hint="eastAsia"/>
          <w:bCs/>
          <w:sz w:val="24"/>
          <w:lang w:bidi="ar"/>
        </w:rPr>
        <w:t>（12）本基金参与股票期权交易，需遵守下列投资比例限制：</w:t>
      </w:r>
    </w:p>
    <w:p w14:paraId="3D8EA3DA" w14:textId="4A84D009" w:rsidR="00026C1A" w:rsidRDefault="000E111F">
      <w:pPr>
        <w:adjustRightInd w:val="0"/>
        <w:snapToGrid w:val="0"/>
        <w:ind w:firstLineChars="200" w:firstLine="480"/>
        <w:rPr>
          <w:rFonts w:ascii="宋体" w:hAnsi="宋体" w:cs="宋体"/>
          <w:bCs/>
          <w:sz w:val="24"/>
          <w:lang w:bidi="ar"/>
        </w:rPr>
      </w:pPr>
      <w:r>
        <w:rPr>
          <w:rFonts w:ascii="宋体" w:hAnsi="宋体" w:cs="宋体" w:hint="eastAsia"/>
          <w:bCs/>
          <w:sz w:val="24"/>
          <w:lang w:bidi="ar"/>
        </w:rPr>
        <w:t>因未平仓的股票期权合约支付和收取的权利金总额不得超过基金资产净值的10%；未平仓的股票期权合约面值不得超过基金资产净值的20%。其中，合约面值按照行权价乘以合约乘数计算；</w:t>
      </w:r>
    </w:p>
    <w:p w14:paraId="0CED68F3" w14:textId="1A4626B2" w:rsidR="00026C1A" w:rsidRDefault="000E111F">
      <w:pPr>
        <w:adjustRightInd w:val="0"/>
        <w:snapToGrid w:val="0"/>
        <w:ind w:firstLineChars="200" w:firstLine="480"/>
        <w:rPr>
          <w:rFonts w:ascii="宋体" w:hAnsi="宋体" w:cs="宋体"/>
          <w:bCs/>
          <w:sz w:val="24"/>
          <w:lang w:bidi="ar"/>
        </w:rPr>
      </w:pPr>
      <w:r>
        <w:rPr>
          <w:rFonts w:ascii="宋体" w:hAnsi="宋体" w:cs="宋体" w:hint="eastAsia"/>
          <w:bCs/>
          <w:sz w:val="24"/>
          <w:lang w:bidi="ar"/>
        </w:rPr>
        <w:t>（13）本基金参与国债期货交易，需遵守下列投资比例限制：</w:t>
      </w:r>
    </w:p>
    <w:p w14:paraId="4E258DF5" w14:textId="77777777" w:rsidR="00026C1A" w:rsidRDefault="000E111F">
      <w:pPr>
        <w:adjustRightInd w:val="0"/>
        <w:snapToGrid w:val="0"/>
        <w:ind w:firstLineChars="200" w:firstLine="480"/>
        <w:rPr>
          <w:rFonts w:ascii="宋体" w:hAnsi="宋体" w:cs="宋体"/>
          <w:bCs/>
          <w:sz w:val="24"/>
          <w:lang w:bidi="ar"/>
        </w:rPr>
      </w:pPr>
      <w:r>
        <w:rPr>
          <w:rFonts w:ascii="宋体" w:hAnsi="宋体" w:cs="宋体" w:hint="eastAsia"/>
          <w:bCs/>
          <w:sz w:val="24"/>
          <w:lang w:bidi="ar"/>
        </w:rPr>
        <w:t>1）本基金在任何交易日日终，持有的买入国债期货合约价值，不得超过基金资产净值的15%；</w:t>
      </w:r>
    </w:p>
    <w:p w14:paraId="636A72E6" w14:textId="77777777" w:rsidR="00026C1A" w:rsidRDefault="000E111F">
      <w:pPr>
        <w:adjustRightInd w:val="0"/>
        <w:snapToGrid w:val="0"/>
        <w:ind w:firstLineChars="200" w:firstLine="480"/>
        <w:rPr>
          <w:rFonts w:ascii="宋体" w:hAnsi="宋体" w:cs="宋体"/>
          <w:bCs/>
          <w:sz w:val="24"/>
          <w:lang w:bidi="ar"/>
        </w:rPr>
      </w:pPr>
      <w:r>
        <w:rPr>
          <w:rFonts w:ascii="宋体" w:hAnsi="宋体" w:cs="宋体" w:hint="eastAsia"/>
          <w:bCs/>
          <w:sz w:val="24"/>
          <w:lang w:bidi="ar"/>
        </w:rPr>
        <w:t>2）本基金在任何交易日日终，持有的卖出国债期货合约价值不得超过基金持有的债券总市值的30%；</w:t>
      </w:r>
    </w:p>
    <w:p w14:paraId="62A99545" w14:textId="77777777" w:rsidR="00026C1A" w:rsidRDefault="000E111F">
      <w:pPr>
        <w:adjustRightInd w:val="0"/>
        <w:snapToGrid w:val="0"/>
        <w:ind w:firstLineChars="200" w:firstLine="480"/>
        <w:rPr>
          <w:rFonts w:ascii="宋体" w:hAnsi="宋体" w:cs="宋体"/>
          <w:bCs/>
          <w:sz w:val="24"/>
          <w:lang w:bidi="ar"/>
        </w:rPr>
      </w:pPr>
      <w:r>
        <w:rPr>
          <w:rFonts w:ascii="宋体" w:hAnsi="宋体" w:cs="宋体" w:hint="eastAsia"/>
          <w:bCs/>
          <w:sz w:val="24"/>
          <w:lang w:bidi="ar"/>
        </w:rPr>
        <w:t>3）本基金在任何交易日内交易（不包括平仓）的国债期货合约的成交金额不得超过上一交易日基金资产净值的30%；</w:t>
      </w:r>
    </w:p>
    <w:p w14:paraId="5A35ABC4" w14:textId="4093B0EA" w:rsidR="00026C1A" w:rsidRDefault="000E111F">
      <w:pPr>
        <w:adjustRightInd w:val="0"/>
        <w:snapToGrid w:val="0"/>
        <w:ind w:firstLineChars="200" w:firstLine="480"/>
        <w:rPr>
          <w:rFonts w:ascii="宋体" w:hAnsi="宋体" w:cs="宋体"/>
          <w:bCs/>
          <w:sz w:val="24"/>
          <w:lang w:bidi="ar"/>
        </w:rPr>
      </w:pPr>
      <w:r>
        <w:rPr>
          <w:rFonts w:ascii="宋体" w:hAnsi="宋体" w:cs="宋体" w:hint="eastAsia"/>
          <w:bCs/>
          <w:sz w:val="24"/>
          <w:lang w:bidi="ar"/>
        </w:rPr>
        <w:t>（14）本基金参与股指期货或国债期货交易的，在任何交易日日终，持有的买入国债期货和股指期货合约价值与有价证券市值之和，不得超过基金资产净值的100%，其中，有价证券指股票、债券（不含到期日在一年以内的政府债券）、资产支持证券、买入返售金融资产（不含质押式回购）等；</w:t>
      </w:r>
    </w:p>
    <w:p w14:paraId="2D4BFC4B" w14:textId="37949C50" w:rsidR="00026C1A" w:rsidRDefault="000E111F">
      <w:pPr>
        <w:adjustRightInd w:val="0"/>
        <w:snapToGrid w:val="0"/>
        <w:ind w:firstLineChars="200" w:firstLine="480"/>
        <w:rPr>
          <w:rFonts w:ascii="宋体" w:hAnsi="宋体" w:cs="宋体"/>
          <w:bCs/>
          <w:sz w:val="24"/>
          <w:lang w:bidi="ar"/>
        </w:rPr>
      </w:pPr>
      <w:r>
        <w:rPr>
          <w:rFonts w:ascii="宋体" w:hAnsi="宋体" w:cs="宋体" w:hint="eastAsia"/>
          <w:bCs/>
          <w:sz w:val="24"/>
          <w:lang w:bidi="ar"/>
        </w:rPr>
        <w:t>（15）本基金投资存托凭证的比例限制依照境内上市交易的股票执行，与境</w:t>
      </w:r>
      <w:r>
        <w:rPr>
          <w:rFonts w:ascii="宋体" w:hAnsi="宋体" w:cs="宋体" w:hint="eastAsia"/>
          <w:bCs/>
          <w:sz w:val="24"/>
          <w:lang w:bidi="ar"/>
        </w:rPr>
        <w:lastRenderedPageBreak/>
        <w:t>内上市交易的股票合并计算；</w:t>
      </w:r>
    </w:p>
    <w:p w14:paraId="769352BF" w14:textId="38D3E88C" w:rsidR="00026C1A" w:rsidRDefault="000E111F">
      <w:pPr>
        <w:adjustRightInd w:val="0"/>
        <w:snapToGrid w:val="0"/>
        <w:ind w:firstLineChars="200" w:firstLine="480"/>
        <w:rPr>
          <w:rFonts w:ascii="宋体" w:hAnsi="宋体" w:cs="宋体"/>
          <w:bCs/>
          <w:sz w:val="24"/>
          <w:lang w:bidi="ar"/>
        </w:rPr>
      </w:pPr>
      <w:r>
        <w:rPr>
          <w:rFonts w:ascii="宋体" w:hAnsi="宋体" w:cs="宋体" w:hint="eastAsia"/>
          <w:bCs/>
          <w:sz w:val="24"/>
          <w:lang w:bidi="ar"/>
        </w:rPr>
        <w:t>（16）法律法规及中国证监会规定的和基金合同约定的其他投资限制。</w:t>
      </w:r>
    </w:p>
    <w:p w14:paraId="0C6CD938" w14:textId="65D50F38" w:rsidR="00026C1A" w:rsidRDefault="000E111F">
      <w:pPr>
        <w:adjustRightInd w:val="0"/>
        <w:snapToGrid w:val="0"/>
        <w:ind w:firstLineChars="200" w:firstLine="480"/>
        <w:rPr>
          <w:rFonts w:ascii="宋体" w:hAnsi="宋体" w:cs="宋体"/>
          <w:bCs/>
          <w:sz w:val="24"/>
          <w:lang w:bidi="ar"/>
        </w:rPr>
      </w:pPr>
      <w:r>
        <w:rPr>
          <w:rFonts w:ascii="宋体" w:hAnsi="宋体" w:cs="宋体" w:hint="eastAsia"/>
          <w:bCs/>
          <w:sz w:val="24"/>
          <w:lang w:bidi="ar"/>
        </w:rPr>
        <w:t>除上述（8）、（9）、（11）项情形之外，因证券、期货市场波动、证券发行人合并、基金规模变动、标的指数成份股调整或价格变化、标的指数成份股流动性限制等基金管理人之外的因素致使基金投资比例不符合上述规定投资比例的，基金管理人应当在可调整之日起10个交易日内进行调整，但中国证监会规定的特殊情形除外。因证券市场波动、上市公司合并、基金规模变动等基金管理人之外的因素致使基金投资不符合上述第（11）项规定的，基金管理人不得新增出借业务。法律法规另有规定的，从其规定。</w:t>
      </w:r>
    </w:p>
    <w:p w14:paraId="4995F2E7" w14:textId="77777777" w:rsidR="00026C1A" w:rsidRDefault="000E111F">
      <w:pPr>
        <w:adjustRightInd w:val="0"/>
        <w:snapToGrid w:val="0"/>
        <w:ind w:firstLineChars="200" w:firstLine="480"/>
        <w:rPr>
          <w:rFonts w:ascii="宋体" w:hAnsi="宋体" w:cs="宋体"/>
          <w:bCs/>
          <w:sz w:val="24"/>
          <w:lang w:bidi="ar"/>
        </w:rPr>
      </w:pPr>
      <w:r>
        <w:rPr>
          <w:rFonts w:ascii="宋体" w:hAnsi="宋体" w:cs="宋体" w:hint="eastAsia"/>
          <w:bCs/>
          <w:sz w:val="24"/>
          <w:lang w:bidi="ar"/>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14:paraId="7621B385" w14:textId="77777777" w:rsidR="00026C1A" w:rsidRDefault="000E111F">
      <w:pPr>
        <w:adjustRightInd w:val="0"/>
        <w:snapToGrid w:val="0"/>
        <w:ind w:firstLineChars="200" w:firstLine="480"/>
        <w:rPr>
          <w:rFonts w:ascii="宋体" w:hAnsi="宋体" w:cs="宋体"/>
          <w:bCs/>
          <w:sz w:val="24"/>
          <w:lang w:bidi="ar"/>
        </w:rPr>
      </w:pPr>
      <w:r>
        <w:rPr>
          <w:rFonts w:ascii="宋体" w:hAnsi="宋体" w:cs="宋体" w:hint="eastAsia"/>
          <w:bCs/>
          <w:sz w:val="24"/>
          <w:lang w:bidi="ar"/>
        </w:rPr>
        <w:t>如果法律法规或监管部门对上述投资组合比例限制进行变更的，基金管理人在履行适当程序后，可相应调整投资比例限制规定或按变更后的规定执行，不需经基金份额持有人大会审议。法律法规或监管部门取消上述限制，如适用于本基金，基金管理人在履行适当程序后，则本基金投资不再受相关限制。</w:t>
      </w:r>
    </w:p>
    <w:bookmarkEnd w:id="8"/>
    <w:p w14:paraId="6DB8BE4E"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（三）基金托管人</w:t>
      </w:r>
      <w:bookmarkStart w:id="9" w:name="OLE_LINK1"/>
      <w:r>
        <w:rPr>
          <w:rFonts w:ascii="宋体" w:hAnsi="宋体" w:cs="Arial" w:hint="eastAsia"/>
          <w:sz w:val="24"/>
          <w:lang w:bidi="ar"/>
        </w:rPr>
        <w:t>根据有关法律法规的规定及《基金合同》的约定，</w:t>
      </w:r>
      <w:bookmarkEnd w:id="9"/>
      <w:r>
        <w:rPr>
          <w:rFonts w:ascii="宋体" w:hAnsi="宋体" w:cs="Arial" w:hint="eastAsia"/>
          <w:sz w:val="24"/>
          <w:lang w:bidi="ar"/>
        </w:rPr>
        <w:t>对本托管协议第十五条第（九）款基金投资禁止行为通过事后监督方式进行监督。</w:t>
      </w:r>
    </w:p>
    <w:p w14:paraId="0FC156AC"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2731C2B2"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法律、行政法规或监管部门取消或变更上述限制，如适用于本基金，基金管理人在履行适当程序后，则本基金投资不再受相关限制或按变更后的规定执行。</w:t>
      </w:r>
    </w:p>
    <w:p w14:paraId="710D24E0"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rPr>
        <w:t>（四）基金托管人根据有关法律法规的规定及《基金合同》的约定，对基金管理人投资流通受限证券进行监督。</w:t>
      </w:r>
    </w:p>
    <w:p w14:paraId="71B1A73E"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rPr>
        <w:t>基金管理人投资流通受限证券，应事先根据中国证监会相关规定，明确基金投资流通受限证券的比例，制订严格的投资决策流程和风险控制制度，防范流动性风险、法律风险和操作风险等各种风险。</w:t>
      </w:r>
    </w:p>
    <w:p w14:paraId="1592EE6A"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rPr>
        <w:t>1.本基金投资的流通受限证券与上文流动性受限资产并不相同，须为经相关法律法规、中国证监会批准或注册的非公开发行股票、公开发行股票网下配售部分等在发行时明确一定期限锁定期的可交易证券，不包括由于发布重大消息或其他原因而临时停牌的证券、已发行未上市证券、回购交易中的质押券等流通受限证券。本基金不投资有锁定期但锁定期不明确的证券。</w:t>
      </w:r>
    </w:p>
    <w:p w14:paraId="74CBE64E"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rPr>
        <w:t>本基金投资的流通受限证券限于可由中国证券登记结算有限责任公司或中央国债登记结算有限责任公司负责登记和存管，并可在证券交易所或全国银行间债券市场交易的证券。</w:t>
      </w:r>
    </w:p>
    <w:p w14:paraId="4E20BE4D"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rPr>
        <w:t>本基金投资的流通受限证券应保证登记存管在本基金名下，基金管理人负责相关工作的落实和协调，并确保基金托管人能够正常查询。因基金管理人原因产生的流通受限证券登记存管问题，造成基金托管人无法安全保管本基金资产的责</w:t>
      </w:r>
      <w:r>
        <w:rPr>
          <w:rFonts w:ascii="宋体" w:hAnsi="宋体" w:cs="Arial" w:hint="eastAsia"/>
          <w:sz w:val="24"/>
        </w:rPr>
        <w:lastRenderedPageBreak/>
        <w:t>任与损失，及因流通受限证券存管直接影响本基金安全的责任及损失，由基金管理人承担。</w:t>
      </w:r>
    </w:p>
    <w:p w14:paraId="075DF71B"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rPr>
        <w:t>本基金投资流通受限证券，不得预付任何形式的保证金。若有最新法律法规、监管政策变更规定的，根据最新法律法规、监管政策执行。</w:t>
      </w:r>
    </w:p>
    <w:p w14:paraId="10ADD9AB"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rPr>
        <w:t>2.基金管理人投资非公开发行股票，应制订流动性风险处置预案并经其董事会批准。风险处置预案应包括但不限于因投资流通受限证券需要解决的基金投资比例限制失调、基金流动性困难以及相关损失的应对解决措施，以及有关异常情况的处置。</w:t>
      </w:r>
    </w:p>
    <w:p w14:paraId="2A2DDEA8"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rPr>
        <w:t>基金管理人对本基金投资流通受限证券的流动性风险负责，确保对相关风险采取积极有效的措施，在合理的时间内有效解决基金运作的流动性问题。如因基金巨额赎回或市场发生剧烈变动等原因而导致基金现金周转困难时，基金管理人应保证提供足额现金确保基金的支付结算，并承担所有损失。对本基金因投资流通受限证券导致的流动性风险，基金托管人不承担任何责任。如因基金管理人原因导致本基金出现损失致使基金托管人承担连带赔偿责任的，基金管理人应赔偿基金托管人由此遭受的损失。</w:t>
      </w:r>
    </w:p>
    <w:p w14:paraId="6518C4CD"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rPr>
        <w:t>3.本基金投资非公开发行股票，基金管理人应至少于投资前三个工作日向基金托管人提交有关书面资料，并保证向基金托管人提供的有关资料真实、准确、完整。有关资料如有调整，基金管理人应及时提供调整后的资料。上述书面资料包括但不限于：</w:t>
      </w:r>
    </w:p>
    <w:p w14:paraId="663F89B5"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rPr>
        <w:t>（1）中国证监会批准发行非公开发行股票的批准文件。</w:t>
      </w:r>
    </w:p>
    <w:p w14:paraId="6C4C7C07"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rPr>
        <w:t>（2）非公开发行股票有关发行数量、发行价格、锁定期等发行资料。</w:t>
      </w:r>
    </w:p>
    <w:p w14:paraId="0BF493D3"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rPr>
        <w:t>（3）基金拟认购的数量、价格、总成本、账面价值。</w:t>
      </w:r>
    </w:p>
    <w:p w14:paraId="30938DFF"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rPr>
        <w:t>4.基金管理人应在本基金投资非公开发行股票后两个交易日内，在中国证监会规定媒介披露所投资非公开发行股票的名称、数量、总成本、账面价值，以及总成本和账面价值占基金资产净值的比例、锁定期等信息。</w:t>
      </w:r>
    </w:p>
    <w:p w14:paraId="3833A38B"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rPr>
        <w:t>本基金有关投资流通受限证券比例如违反有关限制规定，在合理期限内未能进行及时调整，基金管理人应按照《信息披露办法》的有关规定编制临时报告书，予以公告。</w:t>
      </w:r>
    </w:p>
    <w:p w14:paraId="107A3B2D"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rPr>
        <w:t>5.相关法律法规对基金投资流通受限证券有新规定的，从其规定。</w:t>
      </w:r>
    </w:p>
    <w:p w14:paraId="4BEE2BEA"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五）基金参与转融通证券出借业务，基金管理人应当遵守审慎经营原则，配备技术系统和专业人员，制定科学合理的投资策略和风险管理制度，完善业务流程，有效防范和控制风险。基金托管人将对基金参与出借业务进行监督和复核。</w:t>
      </w:r>
    </w:p>
    <w:p w14:paraId="388D0233"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六）基金托管人根据有关法律法规的规定及《基金合同》的约定，对基金资产净值计算、基金份额净值及基金份额累计净值计算、应收资金到账、基金费用开支及收入确定、基金收益分配、相关信息披露、基金宣传推介材料中登载基金业绩表现数据等进行监督和核查。</w:t>
      </w:r>
    </w:p>
    <w:p w14:paraId="01CD96D0" w14:textId="7174E52F"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七）基金托管人投资监督的准确性和完整性受限于基金管理人、证券经纪机构及其他中介机构提供的数据和信息。基金托管人在充分获取所必需数据信息的前提下提供投资监督服务。基金托管人发现基金管理人的上述事项及投资指令或实际投资运作违反法律法规、《基金合同》和本托管协议的规定，应及时以电话提醒或书面提示等方式通知基金管理人限期纠正。基金管理人应积极配合和协助基金托管人的监督和核查。基金管理人收到书面通知后应在下一工作日前核对并以书面形式给基金托管人发出回函，就基金托管人的疑义进行解释或举证，说明违规原因及纠正期限，并保证在规定期限内及时改正。在上述规定期限内，基</w:t>
      </w:r>
      <w:r>
        <w:rPr>
          <w:rFonts w:ascii="宋体" w:hAnsi="宋体" w:cs="Arial" w:hint="eastAsia"/>
          <w:sz w:val="24"/>
          <w:lang w:bidi="ar"/>
        </w:rPr>
        <w:lastRenderedPageBreak/>
        <w:t>金托管人有权随时对通知事项进行复查，督促基金管理人改正。基金管理人对基金托管人通知的违规事项未能在限期内纠正的，基金托管人应报告中国证监会。</w:t>
      </w:r>
    </w:p>
    <w:p w14:paraId="29F8D276" w14:textId="3C3076AA"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八）基金管理人有义务配合和协助基金托管人依照法律法规、《基金合同》和本托管协议对基金业务执行核查。对基金托管人发出的书面提示，基金管理人应在规定时间内答复并改正，或就基金托管人的疑义进行解释或举证；对基金托管人按照法律法规、《基金合同》和本托管协议的要求需向中国证监会报送基金监督报告的事项，基金管理人应积极配合提供相关数据资料和制度等。</w:t>
      </w:r>
    </w:p>
    <w:p w14:paraId="321829CF"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（九）若基金托管人发现基金管理人依据交易程序已经生效的指令违反法律、行政法规和其他有关规定，或者违反《基金合同》约定的，应当及时通知基金管理人，由此造成的损失由基金管理人承担。</w:t>
      </w:r>
    </w:p>
    <w:p w14:paraId="610223C3"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十）基金托管人发现基金管理人有重大违规行为，应及时报告中国证监会，同时通知基金管理人限期纠正，并将纠正结果报告中国证监会。基金管理人无正当理由，拒绝、阻挠基金托管人根据本托管协议规定行使监督权，或采取拖延、欺诈等手段妨碍基金托管人进行有效监督，情节严重或经基金托管人提出警告仍不改正的，基金托管人应报告中国证监会。</w:t>
      </w:r>
    </w:p>
    <w:p w14:paraId="01FBE280" w14:textId="77777777" w:rsidR="00026C1A" w:rsidRDefault="00026C1A">
      <w:pPr>
        <w:rPr>
          <w:rFonts w:ascii="宋体" w:hAnsi="宋体" w:cs="宋体"/>
          <w:sz w:val="24"/>
        </w:rPr>
      </w:pPr>
    </w:p>
    <w:p w14:paraId="67A70E2B" w14:textId="77777777" w:rsidR="00026C1A" w:rsidRDefault="000E111F">
      <w:pPr>
        <w:pStyle w:val="1"/>
        <w:jc w:val="center"/>
        <w:rPr>
          <w:rFonts w:ascii="宋体" w:hAnsi="宋体" w:cs="宋体"/>
          <w:sz w:val="30"/>
        </w:rPr>
      </w:pPr>
      <w:bookmarkStart w:id="10" w:name="_Toc118972648"/>
      <w:bookmarkStart w:id="11" w:name="_Toc86726439"/>
      <w:bookmarkStart w:id="12" w:name="_Toc89163368"/>
      <w:bookmarkStart w:id="13" w:name="_Toc108512358"/>
      <w:bookmarkStart w:id="14" w:name="_Toc86649722"/>
      <w:bookmarkStart w:id="15" w:name="_Toc110830492"/>
      <w:bookmarkStart w:id="16" w:name="_Toc118212950"/>
      <w:bookmarkStart w:id="17" w:name="_Toc118774803"/>
      <w:bookmarkStart w:id="18" w:name="_Toc86225291"/>
      <w:bookmarkStart w:id="19" w:name="_Toc110765660"/>
      <w:bookmarkStart w:id="20" w:name="_Toc86737929"/>
      <w:bookmarkStart w:id="21" w:name="_Toc110761796"/>
      <w:bookmarkStart w:id="22" w:name="_Toc86727355"/>
      <w:bookmarkStart w:id="23" w:name="_Toc111186468"/>
      <w:bookmarkStart w:id="24" w:name="_Toc120435783"/>
      <w:bookmarkStart w:id="25" w:name="_Toc119402710"/>
      <w:bookmarkStart w:id="26" w:name="_Toc86223242"/>
      <w:r>
        <w:rPr>
          <w:rFonts w:ascii="宋体" w:hAnsi="宋体" w:cs="宋体" w:hint="eastAsia"/>
          <w:sz w:val="30"/>
        </w:rPr>
        <w:t>四、基金管理人对基金托管人的业务核查</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14:paraId="440292DC"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t>（一）基金管理人对基金托管人履行托管职责情况进行核查，核查事项包括基金托管人安全保管基金财产、开设基金财产的资金账户和证券账户等投资所需账户、复核基金管理人计算的基金资产净值、基金份额累计净值和基金份额净值、根据基金管理人指令办理清算交收、相关信息披露和监督基金投资运作等行为。</w:t>
      </w:r>
    </w:p>
    <w:p w14:paraId="1CCC9F6B" w14:textId="4A806155" w:rsidR="00026C1A" w:rsidRDefault="000E111F">
      <w:pPr>
        <w:adjustRightInd w:val="0"/>
        <w:snapToGrid w:val="0"/>
        <w:ind w:firstLine="480"/>
        <w:rPr>
          <w:rFonts w:ascii="宋体" w:hAnsi="宋体" w:cs="Arial"/>
          <w:sz w:val="24"/>
        </w:rPr>
      </w:pPr>
      <w:r>
        <w:rPr>
          <w:rFonts w:ascii="宋体" w:hAnsi="宋体" w:cs="Arial" w:hint="eastAsia"/>
          <w:sz w:val="24"/>
          <w:lang w:bidi="ar"/>
        </w:rPr>
        <w:t>（二）基金管理人发现基金托管人擅自挪用基金财产、未对基金财产实行分账管理、未执行或无故延迟执行基金管理人资金划拨指令、泄露基金投资信息等违反《基金法》、《基金合同》、本协议及其他有关规定时，应及时以书面形式通知基金托管人限期纠正。基金托管人收到通知后应及时核对并以书面形式给基金管理人发出回函，说明违规原因及纠正期限，并保证在规定期限内及时改正。在上述规定期限内，基金管理人有权随时对通知事项进行复查，督促基金托管人改正。基金托管人应积极配合基金管理人的核查行为，包括但不限于：提交相关资料以供基金管理人核查托管财产的完整性和真实性，在规定时间内答复基金管理人并改正。</w:t>
      </w:r>
    </w:p>
    <w:p w14:paraId="35BC9C9B"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t>（三）基金管理人发现基金托管人有重大违规行为，应及时报告中国证监会，同时通知基金托管人限期纠正，并将纠正结果报告中国证监会。基金托管人无正当理由，拒绝、阻挠基金管理人根据本协议规定行使监督权，或采取拖延、欺诈等手段妨碍基金管理人进行有效监督，情节严重或经基金管理人提出警告仍不改正的，基金管理人应报告中国证监会。</w:t>
      </w:r>
    </w:p>
    <w:p w14:paraId="17C010BC" w14:textId="77777777" w:rsidR="00026C1A" w:rsidRDefault="00026C1A">
      <w:pPr>
        <w:rPr>
          <w:rFonts w:ascii="宋体" w:hAnsi="宋体" w:cs="宋体"/>
          <w:sz w:val="24"/>
        </w:rPr>
      </w:pPr>
    </w:p>
    <w:p w14:paraId="5FA87BC4" w14:textId="77777777" w:rsidR="00026C1A" w:rsidRDefault="000E111F">
      <w:pPr>
        <w:pStyle w:val="1"/>
        <w:jc w:val="center"/>
        <w:rPr>
          <w:rFonts w:ascii="宋体" w:hAnsi="宋体" w:cs="宋体"/>
          <w:sz w:val="30"/>
        </w:rPr>
      </w:pPr>
      <w:bookmarkStart w:id="27" w:name="_Toc110765661"/>
      <w:bookmarkStart w:id="28" w:name="_Toc120435784"/>
      <w:bookmarkStart w:id="29" w:name="_Toc86649723"/>
      <w:bookmarkStart w:id="30" w:name="_Toc110761797"/>
      <w:bookmarkStart w:id="31" w:name="_Toc86204789"/>
      <w:bookmarkStart w:id="32" w:name="_Toc119402711"/>
      <w:bookmarkStart w:id="33" w:name="_Toc86726440"/>
      <w:bookmarkStart w:id="34" w:name="_Toc84133786"/>
      <w:bookmarkStart w:id="35" w:name="_Toc86727356"/>
      <w:bookmarkStart w:id="36" w:name="_Toc118774804"/>
      <w:bookmarkStart w:id="37" w:name="_Toc89163369"/>
      <w:bookmarkStart w:id="38" w:name="_Toc111186469"/>
      <w:bookmarkStart w:id="39" w:name="_Toc118212951"/>
      <w:bookmarkStart w:id="40" w:name="_Toc86737930"/>
      <w:bookmarkStart w:id="41" w:name="_Toc118972649"/>
      <w:bookmarkStart w:id="42" w:name="_Toc86225292"/>
      <w:bookmarkStart w:id="43" w:name="_Toc84234388"/>
      <w:bookmarkStart w:id="44" w:name="_Toc86223243"/>
      <w:bookmarkStart w:id="45" w:name="_Toc84234435"/>
      <w:bookmarkStart w:id="46" w:name="_Toc110830493"/>
      <w:bookmarkStart w:id="47" w:name="_Toc108512359"/>
      <w:r>
        <w:rPr>
          <w:rFonts w:ascii="宋体" w:hAnsi="宋体" w:cs="宋体" w:hint="eastAsia"/>
          <w:sz w:val="30"/>
        </w:rPr>
        <w:lastRenderedPageBreak/>
        <w:t>五、基金财产的保管</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067B2B72"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t>（一）基金财产保管的原则</w:t>
      </w:r>
    </w:p>
    <w:p w14:paraId="5F7109BA"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t>1.基金财产应独立于基金管理人、基金托管人和证券经纪机构的固有财产。</w:t>
      </w:r>
    </w:p>
    <w:p w14:paraId="401F8CE3"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t>2.基金托管人应安全保管基金财产。</w:t>
      </w:r>
    </w:p>
    <w:p w14:paraId="68826224"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t>3.基金托管人按照规定开设基金财产的资金账户和证券账户等投资所需账户。</w:t>
      </w:r>
    </w:p>
    <w:p w14:paraId="3868FA3B"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t>4.基金托管人对所托管的不同基金财产分别设置账户，分账管理，独立核算，确保基金财产的完整与独立。</w:t>
      </w:r>
    </w:p>
    <w:p w14:paraId="421A96D5" w14:textId="2ADA9270" w:rsidR="00026C1A" w:rsidRDefault="000E111F">
      <w:pPr>
        <w:adjustRightInd w:val="0"/>
        <w:snapToGrid w:val="0"/>
        <w:ind w:firstLine="480"/>
        <w:rPr>
          <w:rFonts w:ascii="宋体" w:hAnsi="宋体" w:cs="Arial"/>
          <w:sz w:val="24"/>
        </w:rPr>
      </w:pPr>
      <w:r>
        <w:rPr>
          <w:rFonts w:ascii="宋体" w:hAnsi="宋体" w:cs="Arial" w:hint="eastAsia"/>
          <w:sz w:val="24"/>
          <w:lang w:bidi="ar"/>
        </w:rPr>
        <w:t>5.基金托管人按照《基金合同》和本协议的约定保管基金财产，如有特殊情况双方可另行协商解决。基金</w:t>
      </w:r>
      <w:r>
        <w:rPr>
          <w:rFonts w:ascii="宋体" w:hAnsi="宋体" w:cs="宋体" w:hint="eastAsia"/>
          <w:sz w:val="24"/>
          <w:lang w:bidi="ar"/>
        </w:rPr>
        <w:t>托管人未经基金管理人的指令，不得自行运用、处分、分配本基金的任何资产（不包含基金托管人开户银行或交易/登记结算机构扣收交易费、结算费和账户维护费等费用）。</w:t>
      </w:r>
    </w:p>
    <w:p w14:paraId="0A8A9D30"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t>6.对于因为基金投资产生的应收资产，应由基金管理人负责与有关当事人确定到账日期并通知基金托管人，到账日基金财产没有到达基金账户的，基金托管人应及时通知基金管理人采取措施进行催收。由此给基金财产造成损失的，基金管理人应负责向有关当事人追偿基金财产的损失，基金托管人对基金管理人的追偿行为应予以必要的协助与配合，基金托管人对此不承担任何责任。</w:t>
      </w:r>
    </w:p>
    <w:p w14:paraId="4BC493D5"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t>7.除依据法律法规和《基金合同》的规定外，基金托管人不得委托第三人托管基金财产。</w:t>
      </w:r>
    </w:p>
    <w:p w14:paraId="0CE52275"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t>（二）</w:t>
      </w:r>
      <w:bookmarkStart w:id="48" w:name="_Hlk209710719"/>
      <w:r>
        <w:rPr>
          <w:rFonts w:ascii="宋体" w:hAnsi="宋体" w:cs="Arial" w:hint="eastAsia"/>
          <w:sz w:val="24"/>
          <w:lang w:bidi="ar"/>
        </w:rPr>
        <w:t>基金募集期间及募集资金的验资</w:t>
      </w:r>
      <w:bookmarkEnd w:id="48"/>
    </w:p>
    <w:p w14:paraId="333B2246"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t>1.基金募集期间募集的资金应存于基金管理人在有托管资格的商业银行开立的“基金募集专户”。该账户由基金管理人开立并管理。网下股票认购所募集的股票予以冻结。</w:t>
      </w:r>
    </w:p>
    <w:p w14:paraId="58C682F6"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t>2.基金募集期满或基金停止募集时，募集的基金份额总额、基金募集金额（含网下股票认购所募集的股票市值）、基金份额持有人人数符合《基金法》、《运作办法》等有关规定后，基金管理人应将属于基金财产的全部资金划入基金托管人开立的基金托管资金账户，登记机构应将网下股票认购所募集到的股票划入以基金托管人和基金联名方式开立的证券账户下，同时在规定时间内，聘请符合《中华人民共和国证券法》规定的会计师事务所进行验资，出具验资报告。出具的验资报告由参加验资的2名或2名以上中国注册会计师签字方为有效。</w:t>
      </w:r>
    </w:p>
    <w:p w14:paraId="573C86F7"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t>3.若基金募集期限届满，未能达到《基金合同》生效的条件，由基金管理人按规定办理退款等事宜，对于基金募集期间网下股票认购所募集的股票，应予以解冻，基金管理人不承担相关股票冻结期间交易价格波动的责任。登记机构及发售代理机构将协助基金管理人完成相关资金和证券的退还工作。</w:t>
      </w:r>
    </w:p>
    <w:p w14:paraId="5D819DE0"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t>（三）基金托管资金账户的开立和管理</w:t>
      </w:r>
    </w:p>
    <w:p w14:paraId="0F6C88AE"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t>1.基金托管人应以本基金的名义在其营业机构开立基金的托管资金账户，并根据基金管理人合法合规的指令办理资金收付。户名原则上应当包含开户主体和产品名称字样。如法律法规或监管部门另有规定的，从其规定。本基金的银行预留印鉴由基金托管人保管和使用。</w:t>
      </w:r>
    </w:p>
    <w:p w14:paraId="6A21A30F" w14:textId="032AD813" w:rsidR="00026C1A" w:rsidRDefault="000E111F">
      <w:pPr>
        <w:adjustRightInd w:val="0"/>
        <w:snapToGrid w:val="0"/>
        <w:ind w:firstLine="480"/>
        <w:rPr>
          <w:rFonts w:ascii="宋体" w:hAnsi="宋体" w:cs="Arial"/>
          <w:sz w:val="24"/>
        </w:rPr>
      </w:pPr>
      <w:r>
        <w:rPr>
          <w:rFonts w:ascii="宋体" w:hAnsi="宋体" w:cs="Arial" w:hint="eastAsia"/>
          <w:sz w:val="24"/>
          <w:lang w:bidi="ar"/>
        </w:rPr>
        <w:t>2.基金托管资金账户的开立和使用，限于满足开展本基金业务的需要。基金托管人和基金管理人不得假借本基金的名义开立任何其他银行账户；亦不得使用基金的任何账户进行本基金业务以外的活动。</w:t>
      </w:r>
    </w:p>
    <w:p w14:paraId="278B7FF1"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lastRenderedPageBreak/>
        <w:t>3.基金托管资金账户的开立和管理应符合银行业监督管理机构的有关规定。</w:t>
      </w:r>
    </w:p>
    <w:p w14:paraId="0BE4CAC8"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t>4.在符合法律法规规定的条件下，基金托管人可以通过基金托管人专用账户办理基金资产的支付。</w:t>
      </w:r>
    </w:p>
    <w:p w14:paraId="267B1107" w14:textId="77777777" w:rsidR="00026C1A" w:rsidRDefault="000E111F">
      <w:pPr>
        <w:adjustRightInd w:val="0"/>
        <w:snapToGrid w:val="0"/>
        <w:ind w:firstLine="480"/>
        <w:rPr>
          <w:rFonts w:ascii="宋体" w:hAnsi="宋体" w:cs="宋体"/>
          <w:sz w:val="24"/>
        </w:rPr>
      </w:pPr>
      <w:r>
        <w:rPr>
          <w:rFonts w:ascii="宋体" w:hAnsi="宋体" w:cs="宋体" w:hint="eastAsia"/>
          <w:sz w:val="24"/>
          <w:lang w:bidi="ar"/>
        </w:rPr>
        <w:t>5.基金管理人应于基金清盘后及时完成收益兑付、费用结清及其他应收应付款项资金划转，在确保后续不再发生款项进出后的10个工作日内向基金托管人发出销户申请。</w:t>
      </w:r>
    </w:p>
    <w:p w14:paraId="2FDC34F7" w14:textId="77777777" w:rsidR="00026C1A" w:rsidRDefault="000E111F">
      <w:pPr>
        <w:adjustRightInd w:val="0"/>
        <w:snapToGrid w:val="0"/>
        <w:ind w:firstLine="480"/>
        <w:rPr>
          <w:rFonts w:ascii="宋体" w:hAnsi="宋体" w:cs="Arial"/>
          <w:sz w:val="24"/>
          <w:lang w:bidi="ar"/>
        </w:rPr>
      </w:pPr>
      <w:r>
        <w:rPr>
          <w:rFonts w:ascii="宋体" w:hAnsi="宋体" w:cs="Arial" w:hint="eastAsia"/>
          <w:sz w:val="24"/>
          <w:lang w:bidi="ar"/>
        </w:rPr>
        <w:t>（四）基金证券账户和证券资金账户的开立和管理</w:t>
      </w:r>
    </w:p>
    <w:p w14:paraId="5E3F37A5" w14:textId="77777777" w:rsidR="00026C1A" w:rsidRDefault="000E111F">
      <w:pPr>
        <w:adjustRightInd w:val="0"/>
        <w:snapToGrid w:val="0"/>
        <w:ind w:firstLine="480"/>
        <w:rPr>
          <w:rFonts w:ascii="宋体" w:hAnsi="宋体" w:cs="Arial"/>
          <w:sz w:val="24"/>
          <w:lang w:bidi="ar"/>
        </w:rPr>
      </w:pPr>
      <w:r>
        <w:rPr>
          <w:rFonts w:ascii="宋体" w:hAnsi="宋体" w:cs="Arial" w:hint="eastAsia"/>
          <w:sz w:val="24"/>
          <w:lang w:bidi="ar"/>
        </w:rPr>
        <w:t>1.基金托管人在中国证券登记结算有限责任公司为基金开立基金托管人与基金联名的证券账户。</w:t>
      </w:r>
    </w:p>
    <w:p w14:paraId="7D91F592" w14:textId="77777777" w:rsidR="00026C1A" w:rsidRDefault="000E111F">
      <w:pPr>
        <w:adjustRightInd w:val="0"/>
        <w:snapToGrid w:val="0"/>
        <w:ind w:firstLine="480"/>
        <w:rPr>
          <w:rFonts w:ascii="宋体" w:hAnsi="宋体" w:cs="Arial"/>
          <w:sz w:val="24"/>
          <w:lang w:bidi="ar"/>
        </w:rPr>
      </w:pPr>
      <w:r>
        <w:rPr>
          <w:rFonts w:ascii="宋体" w:hAnsi="宋体" w:cs="Arial" w:hint="eastAsia"/>
          <w:sz w:val="24"/>
          <w:lang w:bidi="ar"/>
        </w:rPr>
        <w:t>2.基金证券账户的开立和使用，仅限于满足开展本基金业务的需要。基金托管人和基金管理人不得出借或未经对方同意擅自转让基金的任何证券账户，亦不得使用基金的任何账户进行本基金业务以外的活动。</w:t>
      </w:r>
    </w:p>
    <w:p w14:paraId="48EAA41C" w14:textId="77777777" w:rsidR="00026C1A" w:rsidRDefault="000E111F">
      <w:pPr>
        <w:adjustRightInd w:val="0"/>
        <w:snapToGrid w:val="0"/>
        <w:ind w:firstLine="480"/>
        <w:rPr>
          <w:rFonts w:ascii="宋体" w:hAnsi="宋体" w:cs="Arial"/>
          <w:sz w:val="24"/>
          <w:lang w:bidi="ar"/>
        </w:rPr>
      </w:pPr>
      <w:r>
        <w:rPr>
          <w:rFonts w:ascii="宋体" w:hAnsi="宋体" w:cs="Arial" w:hint="eastAsia"/>
          <w:sz w:val="24"/>
          <w:lang w:bidi="ar"/>
        </w:rPr>
        <w:t>3.基金证券账户的开立和证券账户卡的保管由基金托管人负责，账户资产的管理和运用由基金管理人负责。</w:t>
      </w:r>
    </w:p>
    <w:p w14:paraId="4FB02DEF" w14:textId="7FB0D38B" w:rsidR="00026C1A" w:rsidRDefault="000E111F">
      <w:pPr>
        <w:adjustRightInd w:val="0"/>
        <w:snapToGrid w:val="0"/>
        <w:ind w:firstLine="480"/>
        <w:rPr>
          <w:rFonts w:ascii="宋体" w:hAnsi="宋体" w:cs="Arial"/>
          <w:sz w:val="24"/>
          <w:lang w:bidi="ar"/>
        </w:rPr>
      </w:pPr>
      <w:r>
        <w:rPr>
          <w:rFonts w:ascii="宋体" w:hAnsi="宋体" w:cs="Arial" w:hint="eastAsia"/>
          <w:sz w:val="24"/>
          <w:lang w:bidi="ar"/>
        </w:rPr>
        <w:t>证券账户开户费由基金管理人先行垫付,待本基金启始运营后,基金管理人可向基金托管人发送划款指令,将代垫开户费从本基金托管资金账户中扣还基金管理人。</w:t>
      </w:r>
    </w:p>
    <w:p w14:paraId="5FFA4AB0" w14:textId="77777777" w:rsidR="00026C1A" w:rsidRDefault="000E111F">
      <w:pPr>
        <w:adjustRightInd w:val="0"/>
        <w:snapToGrid w:val="0"/>
        <w:ind w:firstLine="480"/>
        <w:rPr>
          <w:rFonts w:ascii="宋体" w:hAnsi="宋体" w:cs="Arial"/>
          <w:sz w:val="24"/>
          <w:lang w:bidi="ar"/>
        </w:rPr>
      </w:pPr>
      <w:r>
        <w:rPr>
          <w:rFonts w:ascii="宋体" w:hAnsi="宋体" w:cs="Arial" w:hint="eastAsia"/>
          <w:sz w:val="24"/>
          <w:lang w:bidi="ar"/>
        </w:rPr>
        <w:t>4.基金管理人为基金财产在证券经纪机构开立证券资金账户，用于基金财产证券交易结算资金的存管、记载交易结算资金的变动明细以及场内证券交易清算，并与基金托管人开立的基金托管资金账户建立第三方存管关系。</w:t>
      </w:r>
    </w:p>
    <w:p w14:paraId="2F3AD3E6" w14:textId="77777777" w:rsidR="00026C1A" w:rsidRDefault="000E111F">
      <w:pPr>
        <w:adjustRightInd w:val="0"/>
        <w:snapToGrid w:val="0"/>
        <w:ind w:firstLine="480"/>
        <w:rPr>
          <w:rFonts w:ascii="宋体" w:hAnsi="宋体" w:cs="Arial"/>
          <w:sz w:val="24"/>
          <w:lang w:bidi="ar"/>
        </w:rPr>
      </w:pPr>
      <w:r>
        <w:rPr>
          <w:rFonts w:ascii="宋体" w:hAnsi="宋体" w:cs="Arial" w:hint="eastAsia"/>
          <w:sz w:val="24"/>
          <w:lang w:bidi="ar"/>
        </w:rPr>
        <w:t>交易所证券交易资金采用第三方存管模式，即用于证券交易结算资金全额存放在基金管理人为基金开立的证券资金账户中，场内的证券交易资金清算由基金管理人所选择的证券经纪机构负责，证券资金账户内的资金，只能通过证银转账方式将资金划转至基金托管资金账户，不得将资金划转至任何其他银行账户。第三方存管对应关系一经确定，不得更改，如果必须更改，应由基金管理人发起，经过基金托管人书面确认后，重新建立第三方存管对应关系。基金托管人和基金管理人不得出借或转让证券账户、证券资金账户，亦不得使用证券账户或证券资金账户进行本基金业务以外的活动。基金管理人承诺证券资金账户为主资金账户，不开立任何辅助资金账户；不为证券资金账户另行开立托管资金账户以外的其他银行账户。基金托管人不负责办理场内的证券交易资金清算，也不负责保管证券资金账户内存放的资金。</w:t>
      </w:r>
    </w:p>
    <w:p w14:paraId="7437B54E" w14:textId="77777777" w:rsidR="00026C1A" w:rsidRDefault="000E111F">
      <w:pPr>
        <w:adjustRightInd w:val="0"/>
        <w:snapToGrid w:val="0"/>
        <w:ind w:firstLine="480"/>
        <w:rPr>
          <w:rFonts w:ascii="宋体" w:hAnsi="宋体" w:cs="Arial"/>
          <w:sz w:val="24"/>
          <w:lang w:bidi="ar"/>
        </w:rPr>
      </w:pPr>
      <w:r>
        <w:rPr>
          <w:rFonts w:ascii="宋体" w:hAnsi="宋体" w:cs="Arial" w:hint="eastAsia"/>
          <w:sz w:val="24"/>
          <w:lang w:bidi="ar"/>
        </w:rPr>
        <w:t>5.账户注销时，在遵守中国证券登记结算有限责任公司的相关规定下，由基金管理人和基金托管人协商确认主要办理人。账户注销期间，主要办理人如需另一方提供配合的，另一方应予以配合。</w:t>
      </w:r>
    </w:p>
    <w:p w14:paraId="6D9BAD87"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t>6.若中国证监会或其他监管机构在本托管协议订立日之后允许基金从事其他投资品种的投资业务，涉及相关账户的开立、使用的，若无相关规定，则基金托管人比照上述关于账户开立、使用的规定执行。</w:t>
      </w:r>
    </w:p>
    <w:p w14:paraId="5A0BE878"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（五）银行间账户的开设和管理</w:t>
      </w:r>
    </w:p>
    <w:p w14:paraId="38D114EF"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基金合同》生效后，基金管理人负责以基金的名义申请并取得进入全国银行间同业拆借市场的交易资格，并代表基金进行交易；基金托管人根据中国人民银行、银行间市场登记结算机构的有关规定，以本基金名义在银行间市场登记结算机构开立债券托管账户和资金结算专户，并代表基金进行银行间市场债券的结算。基金管理人代表基金签订全国银行间债券市场债券回购主协议。</w:t>
      </w:r>
    </w:p>
    <w:p w14:paraId="7DEC679D"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（六）其他账户的开立和管理</w:t>
      </w:r>
    </w:p>
    <w:p w14:paraId="5E0D7377"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lastRenderedPageBreak/>
        <w:t>1.在本托管协议订立日之后，本基金被允许从事符合法律法规规定和《基金合同》约定的其他投资品种的投资业务时，如果涉及相关账户的开设和使用，由基金管理人协助基金托管人根据有关法律法规的规定和《基金合同》的约定，开立有关账户。该账户按有关规则使用并管理。</w:t>
      </w:r>
    </w:p>
    <w:p w14:paraId="1965EFA0"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t>2.法律法规等有关规定对相关账户的开立和管理另有规定的，从其规定办理。</w:t>
      </w:r>
    </w:p>
    <w:p w14:paraId="7480FB89"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t>（七）基金财产投资的有关有价凭证等的保管</w:t>
      </w:r>
    </w:p>
    <w:p w14:paraId="6260FB19" w14:textId="77777777" w:rsidR="00026C1A" w:rsidRDefault="000E111F">
      <w:pPr>
        <w:adjustRightInd w:val="0"/>
        <w:snapToGrid w:val="0"/>
        <w:ind w:firstLineChars="200" w:firstLine="480"/>
        <w:rPr>
          <w:rFonts w:ascii="宋体" w:hAnsi="宋体" w:cs="Arial"/>
        </w:rPr>
      </w:pPr>
      <w:r>
        <w:rPr>
          <w:rFonts w:ascii="宋体" w:hAnsi="宋体" w:cs="Arial" w:hint="eastAsia"/>
          <w:sz w:val="24"/>
          <w:lang w:bidi="ar"/>
        </w:rPr>
        <w:t>基金财产投资的有关实物证券、银行</w:t>
      </w:r>
      <w:r>
        <w:rPr>
          <w:rFonts w:ascii="宋体" w:hAnsi="宋体" w:cs="宋体" w:hint="eastAsia"/>
          <w:sz w:val="24"/>
          <w:lang w:bidi="ar"/>
        </w:rPr>
        <w:t>存款开户证实书</w:t>
      </w:r>
      <w:r>
        <w:rPr>
          <w:rFonts w:ascii="宋体" w:hAnsi="宋体" w:cs="Arial" w:hint="eastAsia"/>
          <w:sz w:val="24"/>
          <w:lang w:bidi="ar"/>
        </w:rPr>
        <w:t>等有价凭证由基金托管人存放于基金托管人的保管库，也可存入</w:t>
      </w:r>
      <w:r>
        <w:rPr>
          <w:rFonts w:ascii="宋体" w:hAnsi="宋体" w:cs="Arial" w:hint="eastAsia"/>
          <w:sz w:val="24"/>
        </w:rPr>
        <w:t>法律法规有关规定允许的各类</w:t>
      </w:r>
      <w:r>
        <w:rPr>
          <w:rFonts w:ascii="宋体" w:hAnsi="宋体" w:cs="Arial" w:hint="eastAsia"/>
          <w:sz w:val="24"/>
          <w:lang w:bidi="ar"/>
        </w:rPr>
        <w:t>代保管库，保管凭证由基金托管人持有。实物证券、银行定期存款证实书等有价凭证的购买和转让，按基金管理人和基金托管人双方约定办理。基金托管人对由基金托管人以外机构实际有效控制或保管的资产不承担任何责任。</w:t>
      </w:r>
    </w:p>
    <w:p w14:paraId="27ADC111"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（八）与基金财产有关的重大合同的保管</w:t>
      </w:r>
    </w:p>
    <w:p w14:paraId="568D08C6" w14:textId="6170ADC2"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与基金财产有关的重大合同的签署，由基金管理人负责。由基金管理人代表基金签署的、与基金财产有关的重大合同的原件分别由基金管理人、基金托管人保管。除本协议另有规定外，基金管理人代表基金签署的与基金财产有关的重大合同包括但不限于基金年度审计合同、基金信息披露协议及基金投资业务中产生的重大合同，基金管理人应保证基金管理人和基金托管人至少各持有一份正本的原件。基金管理人应在重大合同签署后及时以加密方式或双方同意的其他方式将重大合同传真给基金托管人，并在三十个工作日内将正本送达基金托管人处。重大合同的保管期限，按照法律法规的规定执行。</w:t>
      </w:r>
    </w:p>
    <w:p w14:paraId="79B2E2FE"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对于无法取得二份以上的正本的，基金管理人应向基金托管人提供加盖授权业务章的合同复印件或传真件，未经双方协商或未在合同约定范围内，合同原件不得转移。</w:t>
      </w:r>
    </w:p>
    <w:p w14:paraId="2813FA21" w14:textId="77777777" w:rsidR="00026C1A" w:rsidRDefault="00026C1A">
      <w:pPr>
        <w:rPr>
          <w:rFonts w:ascii="宋体" w:hAnsi="宋体" w:cs="宋体"/>
          <w:sz w:val="24"/>
        </w:rPr>
      </w:pPr>
    </w:p>
    <w:p w14:paraId="07F10801" w14:textId="77777777" w:rsidR="00026C1A" w:rsidRDefault="000E111F">
      <w:pPr>
        <w:pStyle w:val="1"/>
        <w:jc w:val="center"/>
        <w:rPr>
          <w:rFonts w:ascii="宋体" w:hAnsi="宋体" w:cs="宋体"/>
          <w:sz w:val="30"/>
        </w:rPr>
      </w:pPr>
      <w:bookmarkStart w:id="49" w:name="_Toc86727357"/>
      <w:bookmarkStart w:id="50" w:name="_Toc120435785"/>
      <w:bookmarkStart w:id="51" w:name="_Toc86726441"/>
      <w:bookmarkStart w:id="52" w:name="_Toc86649724"/>
      <w:bookmarkStart w:id="53" w:name="_Toc86204790"/>
      <w:bookmarkStart w:id="54" w:name="_Toc110761798"/>
      <w:bookmarkStart w:id="55" w:name="_Toc118774805"/>
      <w:bookmarkStart w:id="56" w:name="_Toc118212952"/>
      <w:bookmarkStart w:id="57" w:name="_Toc108512360"/>
      <w:bookmarkStart w:id="58" w:name="_Toc84133787"/>
      <w:bookmarkStart w:id="59" w:name="_Toc89163370"/>
      <w:bookmarkStart w:id="60" w:name="_Toc118972650"/>
      <w:bookmarkStart w:id="61" w:name="_Toc84234436"/>
      <w:bookmarkStart w:id="62" w:name="_Toc86225293"/>
      <w:bookmarkStart w:id="63" w:name="_Toc86737931"/>
      <w:bookmarkStart w:id="64" w:name="_Toc110765662"/>
      <w:bookmarkStart w:id="65" w:name="_Toc111186470"/>
      <w:bookmarkStart w:id="66" w:name="_Toc119402712"/>
      <w:bookmarkStart w:id="67" w:name="_Toc86223244"/>
      <w:bookmarkStart w:id="68" w:name="_Toc84234389"/>
      <w:bookmarkStart w:id="69" w:name="_Toc110830494"/>
      <w:r>
        <w:rPr>
          <w:rFonts w:ascii="宋体" w:hAnsi="宋体" w:cs="宋体" w:hint="eastAsia"/>
          <w:sz w:val="30"/>
        </w:rPr>
        <w:t>六、指令的发送、确认及执行</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14:paraId="467DBD2E" w14:textId="77777777" w:rsidR="00026C1A" w:rsidRDefault="000E111F">
      <w:pPr>
        <w:adjustRightInd w:val="0"/>
        <w:snapToGrid w:val="0"/>
        <w:ind w:firstLine="480"/>
        <w:rPr>
          <w:rFonts w:ascii="宋体" w:hAnsi="宋体" w:cs="Arial"/>
          <w:sz w:val="24"/>
          <w:lang w:bidi="ar"/>
        </w:rPr>
      </w:pPr>
      <w:r>
        <w:rPr>
          <w:rFonts w:ascii="宋体" w:hAnsi="宋体" w:cs="Arial" w:hint="eastAsia"/>
          <w:sz w:val="24"/>
          <w:lang w:bidi="ar"/>
        </w:rPr>
        <w:t>基金管理人在运用基金财产时，开展场内证券交易前，基金管理人通过基金托管资金账户与证券资金账户已建立的第三方存管系统在基金托管资金账户与证券资金账户之间划款，即银证互转。</w:t>
      </w:r>
    </w:p>
    <w:p w14:paraId="79F547D3"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t>基金管理人在运用基金财产时向基金托管人发送场外资金划拨及其他款项付款指令，基金托管人执行基金管理人的指令、办理基金名下的资金往来等有关事项。</w:t>
      </w:r>
    </w:p>
    <w:p w14:paraId="0A6FE141"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t>（一）基金管理人对发送指令人员的书面授权</w:t>
      </w:r>
    </w:p>
    <w:p w14:paraId="33F19BAC" w14:textId="4E58A719" w:rsidR="00026C1A" w:rsidRDefault="000E111F">
      <w:pPr>
        <w:adjustRightInd w:val="0"/>
        <w:snapToGrid w:val="0"/>
        <w:ind w:firstLine="480"/>
        <w:rPr>
          <w:rFonts w:ascii="宋体" w:hAnsi="宋体" w:cs="Arial"/>
          <w:sz w:val="24"/>
          <w:lang w:bidi="ar"/>
        </w:rPr>
      </w:pPr>
      <w:r>
        <w:rPr>
          <w:rFonts w:ascii="宋体" w:hAnsi="宋体" w:cs="Arial" w:hint="eastAsia"/>
          <w:sz w:val="24"/>
          <w:lang w:bidi="ar"/>
        </w:rPr>
        <w:t>本协议签署生效后，基金管理人应向基金托管人提供授权代表签字与印鉴样本通知书（以下简称“授权文件”），内容包括被授权人名单、预留印鉴及被授权人签字样本，授权文件应注明被授权人相应的权限，授权文件应加盖单位公章。</w:t>
      </w:r>
    </w:p>
    <w:p w14:paraId="4C65ABCA" w14:textId="77777777" w:rsidR="00026C1A" w:rsidRDefault="000E111F">
      <w:pPr>
        <w:adjustRightInd w:val="0"/>
        <w:snapToGrid w:val="0"/>
        <w:ind w:firstLine="480"/>
        <w:rPr>
          <w:rFonts w:ascii="宋体" w:hAnsi="宋体" w:cs="Arial"/>
          <w:sz w:val="24"/>
          <w:lang w:bidi="ar"/>
        </w:rPr>
      </w:pPr>
      <w:r>
        <w:rPr>
          <w:rFonts w:ascii="宋体" w:hAnsi="宋体" w:cs="Arial" w:hint="eastAsia"/>
          <w:sz w:val="24"/>
          <w:lang w:bidi="ar"/>
        </w:rPr>
        <w:t>基金管理人应将“授权文件”原件在生效前寄送基金托管人，基金托管人在收到授权文件原件并经基金管理人确认后，授权文件即生效。如果授权文件中载明具体生效时间的，该生效时间不得早于基金托管人收到授权文件并经确认的时点。如早于，则以基金托管人收到授权文件并经确认的时点为授权文件的生效时间。</w:t>
      </w:r>
    </w:p>
    <w:p w14:paraId="22027C10" w14:textId="77777777" w:rsidR="00026C1A" w:rsidRDefault="000E111F">
      <w:pPr>
        <w:adjustRightInd w:val="0"/>
        <w:snapToGrid w:val="0"/>
        <w:ind w:firstLine="480"/>
        <w:rPr>
          <w:rFonts w:ascii="宋体" w:hAnsi="宋体" w:cs="Arial"/>
          <w:sz w:val="24"/>
          <w:lang w:bidi="ar"/>
        </w:rPr>
      </w:pPr>
      <w:r>
        <w:rPr>
          <w:rFonts w:ascii="宋体" w:hAnsi="宋体" w:cs="Arial" w:hint="eastAsia"/>
          <w:sz w:val="24"/>
          <w:lang w:bidi="ar"/>
        </w:rPr>
        <w:t>特殊情况下，经基金托管人同意，基金管理人可至少提前一个工作日将授权</w:t>
      </w:r>
      <w:r>
        <w:rPr>
          <w:rFonts w:ascii="宋体" w:hAnsi="宋体" w:cs="Arial" w:hint="eastAsia"/>
          <w:sz w:val="24"/>
          <w:lang w:bidi="ar"/>
        </w:rPr>
        <w:lastRenderedPageBreak/>
        <w:t>文件以邮件发送扫描件的方式先行通知基金托管人并确认生效。授权文件原件应在邮件发送后7个工作日内送达基金托管人。授权文件生效之后，原件送达之前，基金托管人按照新授权文件扫描件内容执行有关业务，如果授权文件原件与基金托管人收到的扫描件不同，由此产生的责任由基金管理人承担。</w:t>
      </w:r>
    </w:p>
    <w:p w14:paraId="77C1C8DF" w14:textId="77777777" w:rsidR="00026C1A" w:rsidRDefault="000E111F">
      <w:pPr>
        <w:adjustRightInd w:val="0"/>
        <w:snapToGrid w:val="0"/>
        <w:ind w:firstLine="480"/>
        <w:rPr>
          <w:rFonts w:ascii="宋体" w:hAnsi="宋体" w:cs="Arial"/>
          <w:sz w:val="24"/>
          <w:lang w:bidi="ar"/>
        </w:rPr>
      </w:pPr>
      <w:r>
        <w:rPr>
          <w:rFonts w:ascii="宋体" w:hAnsi="宋体" w:cs="Arial" w:hint="eastAsia"/>
          <w:sz w:val="24"/>
          <w:lang w:bidi="ar"/>
        </w:rPr>
        <w:t>基金管理人更换被授权人、更改或终止对被授权人的授权、变更预留印鉴应按上述要求提供新的授权文件。在授权变更生效前，基金托管人仍应按原授权文件执行指令，基金管理人不得否认其效力。</w:t>
      </w:r>
    </w:p>
    <w:p w14:paraId="503232BA" w14:textId="5AB0C668" w:rsidR="00026C1A" w:rsidRDefault="000E111F">
      <w:pPr>
        <w:adjustRightInd w:val="0"/>
        <w:snapToGrid w:val="0"/>
        <w:ind w:firstLine="480"/>
        <w:rPr>
          <w:rFonts w:ascii="宋体" w:hAnsi="宋体" w:cs="Arial"/>
          <w:sz w:val="24"/>
        </w:rPr>
      </w:pPr>
      <w:r>
        <w:rPr>
          <w:rFonts w:ascii="宋体" w:hAnsi="宋体" w:cs="Arial" w:hint="eastAsia"/>
          <w:sz w:val="24"/>
          <w:lang w:bidi="ar"/>
        </w:rPr>
        <w:t>基金托管人更换接受基金管理人指令的传真号或邮箱地址，应提前通知基金管理人。基金管理人和基金托管人对授权文件负有保密义务，其内容不得向被授权人及相关操作人员以外的任何人泄露。但法律法规规定或有权机关要求的除外。</w:t>
      </w:r>
    </w:p>
    <w:p w14:paraId="556C5A8C"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t>（二）指令的内容</w:t>
      </w:r>
    </w:p>
    <w:p w14:paraId="25E18C48"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t>1.指令包括付款指令以及其他资金划拨指令等。</w:t>
      </w:r>
    </w:p>
    <w:p w14:paraId="1AD70947"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t>2.基金管理人发给基金托管人的指令应写明款项事由、支付时间、到账时间、金额、收付款账户等，加盖预留印鉴并由被授权人签字。</w:t>
      </w:r>
    </w:p>
    <w:p w14:paraId="1D0466B9"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t>（三）指令的发送、确认及执行的时间和程序</w:t>
      </w:r>
    </w:p>
    <w:p w14:paraId="1408DFE1"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t>1.指令的发送</w:t>
      </w:r>
    </w:p>
    <w:p w14:paraId="3B98431E"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t>基金管理人发送指令应采用传真方式或双方协商一致的其他方式。</w:t>
      </w:r>
    </w:p>
    <w:p w14:paraId="520DA3AD"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t>基金管理人应按照法律法规和《基金合同》的规定，在其合法的经营权限和交易权限内发送指令；被授权人应严格按照其授权权限发送指令。对于被授权人依约定程序发出的指令，基金管理人不得否认其效力。但如果基金管理人已经撤销或更改对被授权人的授权，并且基金托管人根据本协议确认后，则对于此后该被授权人无权发送的指令，或超权限发送的指令，基金管理人不承担责任，授权已更改但未经基金托管人确认的情况除外。</w:t>
      </w:r>
    </w:p>
    <w:p w14:paraId="71AA8411"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t>指令发出后，基金管理人应及时以电话方式向基金托管人确认。</w:t>
      </w:r>
    </w:p>
    <w:p w14:paraId="7DA6BA73" w14:textId="77777777" w:rsidR="00026C1A" w:rsidRDefault="000E111F">
      <w:pPr>
        <w:adjustRightInd w:val="0"/>
        <w:snapToGrid w:val="0"/>
        <w:ind w:firstLine="480"/>
        <w:rPr>
          <w:rFonts w:ascii="宋体" w:hAnsi="宋体" w:cs="Arial"/>
          <w:sz w:val="24"/>
        </w:rPr>
      </w:pPr>
      <w:r>
        <w:rPr>
          <w:rFonts w:ascii="宋体" w:hAnsi="宋体" w:cs="宋体" w:hint="eastAsia"/>
          <w:sz w:val="24"/>
          <w:lang w:bidi="ar"/>
        </w:rPr>
        <w:t>基金管理人应在银行间交易成交后，及时将通知单、相关文件及划款指令加盖印章后发至基金托管人并电话确认，由基金托管人完成后台交易匹配及资金交收事宜。如果银行间结算系统已经生成的交易需要取消或终止，基金管理人要书面通知基金托管人。</w:t>
      </w:r>
    </w:p>
    <w:p w14:paraId="69F30331"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t>2.指令的确认</w:t>
      </w:r>
    </w:p>
    <w:p w14:paraId="05599161"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t>基金托管人应指定专人接收基金管理人的指令，预先通知基金管理人其名单，并与基金管理人商定指令发送和接收方式。指令到达基金托管人后，基金托管人应指定专人立即审慎验证指令的要素是否齐全，并将指令所载签字和印鉴与授权文件进行表面真实性及权限范围核对，复核无误后应在规定期限内执行，不得延误，如有疑问必须及时通知基金管理人。</w:t>
      </w:r>
    </w:p>
    <w:p w14:paraId="4647B641"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t>3.指令的时间和执行</w:t>
      </w:r>
    </w:p>
    <w:p w14:paraId="516CE350" w14:textId="77777777" w:rsidR="00026C1A" w:rsidRDefault="000E111F">
      <w:pPr>
        <w:pStyle w:val="a8"/>
        <w:widowControl/>
        <w:spacing w:line="240" w:lineRule="auto"/>
        <w:ind w:firstLineChars="0"/>
        <w:rPr>
          <w:rFonts w:ascii="宋体" w:eastAsia="宋体" w:hAnsi="宋体" w:cs="Arial"/>
          <w:szCs w:val="24"/>
          <w:shd w:val="pct10" w:color="auto" w:fill="FFFFFF"/>
        </w:rPr>
      </w:pPr>
      <w:r>
        <w:rPr>
          <w:rFonts w:ascii="宋体" w:eastAsia="宋体" w:hAnsi="宋体" w:cs="Arial" w:hint="eastAsia"/>
        </w:rPr>
        <w:t>基金管理人尽量于划款前1个工作日向基金托管人发送指令并确认。对于要求当天到账的指令，必须在当天15:30前向基金托管人发送，15:30之后发送的，基金托管人尽力执行，但不能保证划账成功。如果要求当天某一时点到账的指令，则指令需要提前2个工作小时发送，并确保相关付款条件已经具备。基金托管人将视付款条件具备时为指令送达时间。对新股申购网下发行业务，基金管理人应在网下申购缴款日（T日）的前一工作日下班前将指令发送给基金托管人，指令发送时间最迟不应晚于T日上午10:00。</w:t>
      </w:r>
      <w:r>
        <w:rPr>
          <w:rFonts w:ascii="宋体" w:eastAsia="宋体" w:hAnsi="宋体" w:cs="Arial" w:hint="eastAsia"/>
          <w:szCs w:val="24"/>
        </w:rPr>
        <w:t>基金管理人应确保基金托管人在执行指令时，基金托管资金账户有足够的资金余额，</w:t>
      </w:r>
      <w:r>
        <w:rPr>
          <w:rFonts w:ascii="宋体" w:eastAsia="宋体" w:hAnsi="宋体" w:cs="Arial" w:hint="eastAsia"/>
        </w:rPr>
        <w:t>在基金资金头寸充足的情况下，基</w:t>
      </w:r>
      <w:r>
        <w:rPr>
          <w:rFonts w:ascii="宋体" w:eastAsia="宋体" w:hAnsi="宋体" w:cs="Arial" w:hint="eastAsia"/>
        </w:rPr>
        <w:lastRenderedPageBreak/>
        <w:t>金托管人对基金管理人符合法律法规、《基金合同》、本协议的指令不得拖延或拒绝执行。</w:t>
      </w:r>
    </w:p>
    <w:p w14:paraId="7B256F72" w14:textId="77777777" w:rsidR="00026C1A" w:rsidRDefault="000E111F">
      <w:pPr>
        <w:pStyle w:val="a8"/>
        <w:widowControl/>
        <w:spacing w:line="240" w:lineRule="auto"/>
        <w:ind w:firstLineChars="0"/>
        <w:rPr>
          <w:rFonts w:ascii="宋体" w:eastAsia="宋体" w:hAnsi="宋体" w:cs="Arial"/>
        </w:rPr>
      </w:pPr>
      <w:r>
        <w:rPr>
          <w:rFonts w:ascii="宋体" w:eastAsia="宋体" w:hAnsi="宋体" w:cs="Arial" w:hint="eastAsia"/>
        </w:rPr>
        <w:t>（四）基金管理人发送错误指令的情形和处理程序</w:t>
      </w:r>
    </w:p>
    <w:p w14:paraId="168FD5E0"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基金管理人发送错误指令的情形包括指令违反法律法规</w:t>
      </w:r>
      <w:r>
        <w:rPr>
          <w:rFonts w:asciiTheme="minorEastAsia" w:eastAsiaTheme="minorEastAsia" w:hAnsiTheme="minorEastAsia" w:cs="Arial" w:hint="eastAsia"/>
          <w:sz w:val="24"/>
          <w:lang w:bidi="ar"/>
        </w:rPr>
        <w:t>、</w:t>
      </w:r>
      <w:r>
        <w:rPr>
          <w:rFonts w:asciiTheme="minorEastAsia" w:eastAsiaTheme="minorEastAsia" w:hAnsiTheme="minorEastAsia" w:cs="Arial" w:hint="eastAsia"/>
          <w:sz w:val="24"/>
        </w:rPr>
        <w:t>监管规定、</w:t>
      </w:r>
      <w:r>
        <w:rPr>
          <w:rFonts w:asciiTheme="minorEastAsia" w:eastAsiaTheme="minorEastAsia" w:hAnsiTheme="minorEastAsia" w:cs="Arial" w:hint="eastAsia"/>
          <w:sz w:val="24"/>
          <w:lang w:bidi="ar"/>
        </w:rPr>
        <w:t>《基金合同》</w:t>
      </w:r>
      <w:r>
        <w:rPr>
          <w:rFonts w:asciiTheme="minorEastAsia" w:eastAsiaTheme="minorEastAsia" w:hAnsiTheme="minorEastAsia" w:cs="Arial" w:hint="eastAsia"/>
          <w:sz w:val="24"/>
        </w:rPr>
        <w:t>或本协议的约定</w:t>
      </w:r>
      <w:r>
        <w:rPr>
          <w:rFonts w:ascii="宋体" w:hAnsi="宋体" w:cs="Arial" w:hint="eastAsia"/>
          <w:sz w:val="24"/>
          <w:lang w:bidi="ar"/>
        </w:rPr>
        <w:t>，或指令发送人员无权或超越权限发送指令。</w:t>
      </w:r>
    </w:p>
    <w:p w14:paraId="5BD0189B"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基金托管人发现基金管理人的指令错误时，有权拒绝执行，并及时通知基金管理人改正。</w:t>
      </w:r>
      <w:r>
        <w:rPr>
          <w:rFonts w:asciiTheme="minorEastAsia" w:eastAsiaTheme="minorEastAsia" w:hAnsiTheme="minorEastAsia" w:cs="Arial" w:hint="eastAsia"/>
          <w:sz w:val="24"/>
        </w:rPr>
        <w:t>如需基金托管人撤销尚未执行的指令，基金管理人应出具作废指令或作废说明，并电话通知基金托管人。</w:t>
      </w:r>
    </w:p>
    <w:p w14:paraId="3D66B988"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（五）基金托管人未按照基金管理人指令执行的处理方法</w:t>
      </w:r>
    </w:p>
    <w:p w14:paraId="0C518D19"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t>基金托管人由于自身过错，未按照基金管理人发送的</w:t>
      </w:r>
      <w:r>
        <w:rPr>
          <w:rFonts w:asciiTheme="minorEastAsia" w:eastAsiaTheme="minorEastAsia" w:hAnsiTheme="minorEastAsia" w:cs="Arial" w:hint="eastAsia"/>
          <w:sz w:val="24"/>
        </w:rPr>
        <w:t>符合法律法规、监管规定、《基金合同》和本协议约定的</w:t>
      </w:r>
      <w:r>
        <w:rPr>
          <w:rFonts w:ascii="宋体" w:hAnsi="宋体" w:cs="Arial" w:hint="eastAsia"/>
          <w:sz w:val="24"/>
          <w:lang w:bidi="ar"/>
        </w:rPr>
        <w:t>指令执行并对基金财产或投资人造成的直接损失，由基金托管人</w:t>
      </w:r>
      <w:r>
        <w:rPr>
          <w:rFonts w:ascii="宋体" w:hAnsi="宋体" w:cs="宋体" w:hint="eastAsia"/>
          <w:sz w:val="24"/>
          <w:lang w:bidi="ar"/>
        </w:rPr>
        <w:t>赔偿由此造成的直接损失。</w:t>
      </w:r>
    </w:p>
    <w:p w14:paraId="0CA57FF7" w14:textId="19BDF61E" w:rsidR="00026C1A" w:rsidRDefault="000E111F">
      <w:pPr>
        <w:adjustRightInd w:val="0"/>
        <w:snapToGrid w:val="0"/>
        <w:ind w:firstLine="480"/>
        <w:rPr>
          <w:rFonts w:ascii="宋体" w:hAnsi="宋体" w:cs="Arial"/>
          <w:sz w:val="24"/>
        </w:rPr>
      </w:pPr>
      <w:r>
        <w:rPr>
          <w:rFonts w:ascii="宋体" w:hAnsi="宋体" w:cs="Arial" w:hint="eastAsia"/>
          <w:sz w:val="24"/>
          <w:lang w:bidi="ar"/>
        </w:rPr>
        <w:t>（六）其他事项</w:t>
      </w:r>
    </w:p>
    <w:p w14:paraId="4FB91382"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t>基金托管人在接收指令时，应对指令的要素是否齐全、印鉴与被授权人是否与预留的授权文件内容表面相符进行检查，如发现问题，应及时报告基金管理人，基金托管人对执行基金管理人的有效指令对基金财产造成的损失不承担赔偿责任。</w:t>
      </w:r>
    </w:p>
    <w:p w14:paraId="10A365D2" w14:textId="77777777" w:rsidR="00026C1A" w:rsidRDefault="000E111F">
      <w:pPr>
        <w:adjustRightInd w:val="0"/>
        <w:snapToGrid w:val="0"/>
        <w:ind w:firstLine="480"/>
        <w:rPr>
          <w:rFonts w:ascii="宋体" w:hAnsi="宋体" w:cs="Arial"/>
          <w:sz w:val="24"/>
        </w:rPr>
      </w:pPr>
      <w:r>
        <w:rPr>
          <w:rFonts w:ascii="宋体" w:hAnsi="宋体" w:cs="Arial" w:hint="eastAsia"/>
          <w:sz w:val="24"/>
          <w:lang w:bidi="ar"/>
        </w:rPr>
        <w:t>基金参与认购未上市债券时，基金管理人应代表本基金与对手方签署相关合同或协议，明确约定债券过户具体事宜。否则，基金管理人需对所认购债券的过户事宜承担相应责任。</w:t>
      </w:r>
    </w:p>
    <w:p w14:paraId="4E8DAD21" w14:textId="77777777" w:rsidR="00026C1A" w:rsidRDefault="00026C1A">
      <w:pPr>
        <w:adjustRightInd w:val="0"/>
        <w:snapToGrid w:val="0"/>
        <w:rPr>
          <w:rFonts w:ascii="宋体" w:hAnsi="宋体" w:cs="Arial"/>
          <w:sz w:val="24"/>
        </w:rPr>
      </w:pPr>
    </w:p>
    <w:p w14:paraId="7346638C" w14:textId="77777777" w:rsidR="00026C1A" w:rsidRDefault="000E111F">
      <w:pPr>
        <w:pStyle w:val="1"/>
        <w:jc w:val="center"/>
        <w:rPr>
          <w:rFonts w:ascii="宋体" w:hAnsi="宋体" w:cs="宋体"/>
          <w:sz w:val="30"/>
        </w:rPr>
      </w:pPr>
      <w:bookmarkStart w:id="70" w:name="_Toc110830495"/>
      <w:bookmarkStart w:id="71" w:name="_Toc119402713"/>
      <w:bookmarkStart w:id="72" w:name="_Toc110761799"/>
      <w:bookmarkStart w:id="73" w:name="_Toc118972651"/>
      <w:bookmarkStart w:id="74" w:name="_Toc84133788"/>
      <w:bookmarkStart w:id="75" w:name="_Toc86726442"/>
      <w:bookmarkStart w:id="76" w:name="_Toc120435786"/>
      <w:bookmarkStart w:id="77" w:name="_Toc118774806"/>
      <w:bookmarkStart w:id="78" w:name="_Toc89163371"/>
      <w:bookmarkStart w:id="79" w:name="_Toc86649725"/>
      <w:bookmarkStart w:id="80" w:name="_Toc86737932"/>
      <w:bookmarkStart w:id="81" w:name="_Toc86204791"/>
      <w:bookmarkStart w:id="82" w:name="_Toc118212953"/>
      <w:bookmarkStart w:id="83" w:name="_Toc86225294"/>
      <w:bookmarkStart w:id="84" w:name="_Toc110765663"/>
      <w:bookmarkStart w:id="85" w:name="_Toc111186471"/>
      <w:bookmarkStart w:id="86" w:name="_Toc84234390"/>
      <w:bookmarkStart w:id="87" w:name="_Toc86727358"/>
      <w:bookmarkStart w:id="88" w:name="_Toc108512361"/>
      <w:bookmarkStart w:id="89" w:name="_Toc84234437"/>
      <w:bookmarkStart w:id="90" w:name="_Toc86223245"/>
      <w:r>
        <w:rPr>
          <w:rFonts w:ascii="宋体" w:hAnsi="宋体" w:cs="宋体" w:hint="eastAsia"/>
          <w:sz w:val="30"/>
        </w:rPr>
        <w:t>七、交易及清算交收安排</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3380CB99"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（一）选择证券、期货买卖的证券、期货经纪机构</w:t>
      </w:r>
    </w:p>
    <w:p w14:paraId="41306A22"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基金管理人应设计选择证券买卖的证券经纪机构的标准和程序。基金管理人应代表基金与被选择的证券经纪机构签订证券经纪合同或其他约定的形式。基金管理人、基金托管人和证券经纪机构就本基金参与证券交易的具体事项另行签订证券经纪服务协议，明确三方在本基金参与场内证券买卖中的各类证券交易、证券交收及相关资金交收过程中的职责和义务。基金管理人应及时将基金佣金费率等基本信息以及变更情况以书面形式通知基金托管人,并在法定信息披露公告中披露关于选择证券公司的标准和程序等信息。</w:t>
      </w:r>
    </w:p>
    <w:p w14:paraId="28DDFE52"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基金管理人负责选择代理本基金期货交易的期货经纪机构。本基金在开始进行期货投资之前，基金管理人应与基金托管人、期货公司三方一同就期货开户、清算、估值、交收等事宜另行签署《期货投资托管操作三方备忘录》。其他事宜根据法律法规、《基金合同》、《托管协议》的相关规定执行，若无明确规定的，可参照有关证券买卖、证券经营机构选择的规则执行。</w:t>
      </w:r>
    </w:p>
    <w:p w14:paraId="185EA147" w14:textId="2797ABE0"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本基金参加期权交易前，应当按照现有证券账户开立方式向中国证券登记结算有限责任公司申请新开立一个普通证券账户，基金管理人负责将该证券账户指定交易在证券公司或期货公司，由相应证券公司（或期货公司）为本基金开立衍生品合约账户后，再通过该证券公司（或期货公司）参与期权交易。</w:t>
      </w:r>
    </w:p>
    <w:p w14:paraId="566C5383"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（二）基金投资证券后的清算交收安排</w:t>
      </w:r>
    </w:p>
    <w:p w14:paraId="17338B3A"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1.清算与交割</w:t>
      </w:r>
    </w:p>
    <w:p w14:paraId="69AD4F59"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lastRenderedPageBreak/>
        <w:t>基金通过证券经纪机构进行的交易由证券经纪机构作为结算参与人代理本基金进行结算，本基金通过期货经纪机构进行的交易由期货经纪机构作为结算参与人代理本基金进行结算。本基金其它证券交易由基金托管人或相关机构负责结算，场外资金汇划由基金托管人根据基金管理人的场外交易划款指令具体办理。</w:t>
      </w:r>
    </w:p>
    <w:p w14:paraId="24D30CED" w14:textId="00A9751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证券经纪机构代理本基金财产与中国证券登记结算有限责任公司完成证券交易及非交易涉及的证券资金结算业务，并承担由证券经纪机构原因造成的正常结算、交收业务无法完成的责任；若由于基金管理人原因造成的正常结算业务无法完成，责任由基金管理人承担。</w:t>
      </w:r>
    </w:p>
    <w:p w14:paraId="31DABABC"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对于任何原因发生的证券资金交收违约事件，相关各方应当及时协商解决。 由于相关方过错在清算上造成基金财产的直接损失，应由过错方承担相应责任。</w:t>
      </w:r>
    </w:p>
    <w:p w14:paraId="77662CBF"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2.交易记录、资金和证券/期货账目核对的时间和方式</w:t>
      </w:r>
    </w:p>
    <w:p w14:paraId="0409AE45"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（1）交易记录的核对</w:t>
      </w:r>
    </w:p>
    <w:p w14:paraId="076229B0" w14:textId="7FFD961E"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基金管理人按日进行交易记录的核对。对外披露净值之前，必须保证当天所有实际交易记录与基金会计账簿上的交易记录完全一致。如果实际交易记录与会计账簿记录不一致，造成基金会计核算不完整或不真实，由此导致的损失由基金管理人承担。</w:t>
      </w:r>
    </w:p>
    <w:p w14:paraId="06E3DACF"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（2）资金账目的核对</w:t>
      </w:r>
    </w:p>
    <w:p w14:paraId="0AFDB481"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资金账目按日核实。</w:t>
      </w:r>
    </w:p>
    <w:p w14:paraId="03F62386"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（3）证券/期货账目的核对</w:t>
      </w:r>
    </w:p>
    <w:p w14:paraId="29FEAC89"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基金管理人和基金托管人每个估值日结束后核对基金证券/期货账目，确保双方账目相符。</w:t>
      </w:r>
    </w:p>
    <w:p w14:paraId="3C9316B8"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（三）基金申购和赎回业务处理的基本规定</w:t>
      </w:r>
    </w:p>
    <w:p w14:paraId="646DA6D3"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1.基金份额申购、赎回的确认、清算由基金管理人或其委托的登记机构负责。</w:t>
      </w:r>
    </w:p>
    <w:p w14:paraId="4E4F9ACC"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2.基金管理人应将每个开放日的申购、赎回、转换开放式基金的数据传送给基金托管人。基金管理人应对传递的申购、赎回、转换开放式基金的数据真实性负责。基金托管人应及时查收申购及转入资金的到账情况并根据基金管理人指令及时划付赎回及转出款项。</w:t>
      </w:r>
    </w:p>
    <w:p w14:paraId="6F7EDD83"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3.基金管理人应保证本基金（或本基金管理人委托）的登记机构每个工作日15:00前向基金托管人发送前一开放日上述有关数据，并保证相关数据的准确、完整。</w:t>
      </w:r>
    </w:p>
    <w:p w14:paraId="4948CA00"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4.登记机构应通过与基金托管人建立的加密系统发送有关数据，如因各种原因，该系统无法正常发送，双方可协商解决处理方式。基金管理人向基金托管人发送的数据，双方各自按有关规定保存。</w:t>
      </w:r>
    </w:p>
    <w:p w14:paraId="004CD173"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5.如基金管理人委托其他机构办理本基金的登记业务，应保证上述相关事宜按时进行。否则，由基金管理人承担相应的责任。</w:t>
      </w:r>
    </w:p>
    <w:p w14:paraId="0F8043A6"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6.关于清算专用账户的设立和管理</w:t>
      </w:r>
    </w:p>
    <w:p w14:paraId="4F3C61C8"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为满足申购、赎回及分红资金汇划的需要，由基金管理人开立资金清算的专用账户，该账户由登记机构管理。</w:t>
      </w:r>
    </w:p>
    <w:p w14:paraId="46F35E62"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7.对于基金申购过程中产生的应收款，应由基金管理人负责与有关当事人确定到账日期并通知基金托管人，到账日应收款没有到达基金托管资金账户的，基金托管人应及时通知基金管理人采取措施进行催收，由此造成基金损失的，基金管理人应负责向有关当事人追偿基金的损失，基金托管人应予以必要的协助与配合。</w:t>
      </w:r>
    </w:p>
    <w:p w14:paraId="3049833D"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8.赎回和分红资金划拨规定</w:t>
      </w:r>
    </w:p>
    <w:p w14:paraId="3C3CB99F" w14:textId="3E7507E4"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lastRenderedPageBreak/>
        <w:t>拨付赎回款或进行基金分红时，如基金托管资金账户有足够的资金，基金托管人应按时拨付；因基金托管资金账户没有足够的资金，导致基金托管人不能按时拨付，如系基金管理人的原因造成，责任由基金管理人承担，基金托管人不承担垫款义务。</w:t>
      </w:r>
    </w:p>
    <w:p w14:paraId="29671F69"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9.资金指令</w:t>
      </w:r>
    </w:p>
    <w:p w14:paraId="769FE5AE"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除申购款项到达基金托管资金账户需双方按约定方式对账外，回购到期付款和与投资有关的付款、赎回和分红资金划拨时，基金管理人需向基金托管人下达指令。</w:t>
      </w:r>
    </w:p>
    <w:p w14:paraId="1AA79AE0"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资金指令的格式、内容、发送、接收和确认方式等与投资指令相同。</w:t>
      </w:r>
    </w:p>
    <w:p w14:paraId="201FA1E8"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（四）申赎净额结算</w:t>
      </w:r>
    </w:p>
    <w:p w14:paraId="0B6A571D"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基金托管资金账户与“基金清算账户”间的资金结算遵循“全额清算、净额交收”的原则，每日(T日：资金交收日，下同)按照托管资金账户应收资金(T-2日申购申请对应申购金额与T-3日基金转换入申请对应金额之和)与应付资金(T-3日赎回申请对应赎回金额与T-3日基金转换出申请对应金额之和)的差额来确定托管资金账户净应收额或净应付额，以此确定资金交收额。当存在托管资金账户净应收额时，基金管理人应在T日15:00之前从基金清算账户划到基金托管资金账户；当存在托管资金账户净应付额时，基金管理人应在T-1日将划款指令发送给基金托管人，基金托管人按基金管理人的划款指令将托管资金账户净应付额在T日12:00之前划往基金清算账户。</w:t>
      </w:r>
    </w:p>
    <w:p w14:paraId="1C3A1E1B" w14:textId="35F4D7BF"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（五）基金现金分红</w:t>
      </w:r>
    </w:p>
    <w:p w14:paraId="567A6B2A"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1.基金管理人确定分红方案通知基金托管人，双方核定后依照《信息披露办法》的有关规定在中国证监会规定媒介上公告。</w:t>
      </w:r>
    </w:p>
    <w:p w14:paraId="788FCF3A"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2.基金托管人和基金管理人对基金分红进行账务处理并核对后，基金管理人向基金托管人发送现金红利的划款指令，基金托管人应及时将资金划入专用账户。</w:t>
      </w:r>
    </w:p>
    <w:p w14:paraId="426CF9C4"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3.基金管理人在下达指令时，应给基金托管人留出必需的划款时间。</w:t>
      </w:r>
    </w:p>
    <w:p w14:paraId="3993CC17" w14:textId="0D05817F"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（六）投资银行存款的特别约定</w:t>
      </w:r>
    </w:p>
    <w:p w14:paraId="7727E22C"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1.本基金投资银行存款前，基金管理人应与存款银行签订具体存款协议，包括但不限于以下内容：</w:t>
      </w:r>
    </w:p>
    <w:p w14:paraId="3E7FFE71"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（1）存款账户必须以本基金名义开立,并将基金托管人为本基金开立的基金托管资金账户指定为唯一回款账户，任何情况下，存款银行都不得将存款投资本息划往任何其他账户。</w:t>
      </w:r>
    </w:p>
    <w:p w14:paraId="5722CE8F"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（2）存款银行不得接受基金管理人或基金托管人任何一方单方面提出的对存款进行更名、转让、挂失、质押、担保、撤销、变更印鉴及回款账户信息等可能导致财产转移的操作申请。</w:t>
      </w:r>
    </w:p>
    <w:p w14:paraId="0540CA5D"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（3）约定存款证实书的具体传递交接方式及交接期限。</w:t>
      </w:r>
    </w:p>
    <w:p w14:paraId="544A59F7"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（4）资金划转过程中需要使用存款银行过渡账户的，存款银行须保证资金在过渡账户中不出现滞留，不被挪用。</w:t>
      </w:r>
    </w:p>
    <w:p w14:paraId="2EB5F82A"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2.本基金投资银行存款，必须采用双方认可的方式办理。基金托管人负责依据基金管理人提供的银行存款投资合同/协议、投资指令、支取通知等有关文件办理资金的支付以及存款证实书的接收、保管与交付，切实履行托管职责。基金托管人负责对存款开户证实书进行保管，不负责对存款开户证实书真伪的辨别，不承担存款开户证实书对应存款的本金及收益的安全。</w:t>
      </w:r>
    </w:p>
    <w:p w14:paraId="3C0C05DE" w14:textId="362757BF"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3.基金管理人投资银行存款或办理存款支取时，应提前书面通知基金托管人，以便基金托管人有足够的时间履行相应的业务操作程序。因发生逾期支取、提前</w:t>
      </w:r>
      <w:r>
        <w:rPr>
          <w:rFonts w:ascii="宋体" w:hAnsi="宋体" w:cs="Arial" w:hint="eastAsia"/>
          <w:sz w:val="24"/>
          <w:lang w:bidi="ar"/>
        </w:rPr>
        <w:lastRenderedPageBreak/>
        <w:t>支取或部分提前支取，基金托管人不承担相应利息损失及逾期支取手续费。</w:t>
      </w:r>
    </w:p>
    <w:p w14:paraId="359A76F5"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4.对于已移交基金托管人保管的存款开户证实书等实物凭证，基金托管人应安全保管；对未按约定将存款开户证实书等实物凭证移交基金托管人保管的，基金托管人应向基金管理人进行必要的催缴和风险提示；提示后仍不将相关实物凭证送达基金托管人保管的，出于托管履职和尽责，基金托管人可视情况采取必要的风险控制措施：（1）建立风险预警机制，对于实物凭证未送达集中度较高的存款银行，主动发函基金管理人尽量避免在此类银行进行存款投资；（2）在定期报告中，对未按约定送达基金托管人保管的实物凭证信息进行规定范围信息披露；（3）未送达实物凭证超过送单截止日后30个工作日，且累计超过3笔（含）以上的，部分或全部暂停配合基金管理人办理后续新增存款投资业务，直至实物凭证送达基金托管人保管后解除。实物凭证未送达但存款本息已安全划回托管资金账户的，以及因发生特殊情况由基金管理人提供相关书面说明并重新承诺送单截止时间的，可剔除不计。</w:t>
      </w:r>
    </w:p>
    <w:p w14:paraId="5AE44852" w14:textId="77777777" w:rsidR="00026C1A" w:rsidRDefault="00026C1A">
      <w:pPr>
        <w:adjustRightInd w:val="0"/>
        <w:snapToGrid w:val="0"/>
        <w:ind w:firstLineChars="200" w:firstLine="480"/>
        <w:rPr>
          <w:rFonts w:ascii="宋体" w:hAnsi="宋体" w:cs="Arial"/>
          <w:sz w:val="24"/>
        </w:rPr>
      </w:pPr>
    </w:p>
    <w:p w14:paraId="68593368" w14:textId="77777777" w:rsidR="00026C1A" w:rsidRDefault="000E111F">
      <w:pPr>
        <w:pStyle w:val="1"/>
        <w:jc w:val="center"/>
        <w:rPr>
          <w:rFonts w:ascii="宋体" w:hAnsi="宋体" w:cs="宋体"/>
          <w:sz w:val="30"/>
        </w:rPr>
      </w:pPr>
      <w:bookmarkStart w:id="91" w:name="_Toc111186472"/>
      <w:r>
        <w:rPr>
          <w:rFonts w:ascii="宋体" w:hAnsi="宋体" w:cs="宋体" w:hint="eastAsia"/>
          <w:sz w:val="30"/>
        </w:rPr>
        <w:t>八、基金资产净值计算和会计核算</w:t>
      </w:r>
      <w:bookmarkEnd w:id="91"/>
    </w:p>
    <w:p w14:paraId="352B0615" w14:textId="77777777" w:rsidR="00026C1A" w:rsidRDefault="000E111F">
      <w:pPr>
        <w:ind w:firstLineChars="200" w:firstLine="480"/>
        <w:rPr>
          <w:rFonts w:ascii="宋体" w:hAnsi="宋体" w:cs="Arial"/>
          <w:sz w:val="24"/>
        </w:rPr>
      </w:pPr>
      <w:r>
        <w:rPr>
          <w:rFonts w:ascii="宋体" w:hAnsi="宋体" w:cs="Arial" w:hint="eastAsia"/>
          <w:sz w:val="24"/>
          <w:lang w:bidi="ar"/>
        </w:rPr>
        <w:t>（一）基金资产净值的计算、复核与完成的时间及程序</w:t>
      </w:r>
    </w:p>
    <w:p w14:paraId="103A2D49" w14:textId="77777777" w:rsidR="00026C1A" w:rsidRDefault="000E111F">
      <w:pPr>
        <w:ind w:firstLineChars="200" w:firstLine="480"/>
        <w:rPr>
          <w:rFonts w:ascii="宋体" w:hAnsi="宋体" w:cs="Arial"/>
          <w:sz w:val="24"/>
        </w:rPr>
      </w:pPr>
      <w:r>
        <w:rPr>
          <w:rFonts w:ascii="宋体" w:hAnsi="宋体" w:cs="Arial" w:hint="eastAsia"/>
          <w:sz w:val="24"/>
          <w:lang w:bidi="ar"/>
        </w:rPr>
        <w:t>1、基金份额净值是按照每个估值日闭市后，基金资产净值除以当日基金份额的余额数量计算，精确到0.0001元，小数点后第5位四舍五入。基金管理人可以设立大额赎回情形下的净值精度应急调整机制。国家另有规定的，从其规定。</w:t>
      </w:r>
    </w:p>
    <w:p w14:paraId="02C4F55F" w14:textId="77777777" w:rsidR="00026C1A" w:rsidRDefault="000E111F">
      <w:pPr>
        <w:rPr>
          <w:rFonts w:ascii="宋体" w:hAnsi="宋体" w:cs="Arial"/>
          <w:sz w:val="24"/>
        </w:rPr>
      </w:pPr>
      <w:r>
        <w:rPr>
          <w:rFonts w:ascii="宋体" w:hAnsi="宋体" w:cs="Arial" w:hint="eastAsia"/>
          <w:sz w:val="24"/>
          <w:lang w:bidi="ar"/>
        </w:rPr>
        <w:t>基金管理人于每个估值日计算基金资产净值及基金份额净值，经基金托管人复核，并按规定公告。如遇特殊情况，经履行适当程序，可以适当延迟计算或公告。</w:t>
      </w:r>
    </w:p>
    <w:p w14:paraId="4EC843FB" w14:textId="77777777" w:rsidR="00026C1A" w:rsidRDefault="000E111F">
      <w:pPr>
        <w:ind w:firstLineChars="200" w:firstLine="480"/>
        <w:rPr>
          <w:rFonts w:ascii="宋体" w:hAnsi="宋体" w:cs="Arial"/>
          <w:sz w:val="24"/>
        </w:rPr>
      </w:pPr>
      <w:r>
        <w:rPr>
          <w:rFonts w:ascii="宋体" w:hAnsi="宋体" w:cs="Arial" w:hint="eastAsia"/>
          <w:sz w:val="24"/>
          <w:lang w:bidi="ar"/>
        </w:rPr>
        <w:t>2、基金管理人应每个估值日对基金资产估值。但基金管理人根据法律法规或基金合同的规定暂停估值时除外。基金管理人每个估值日对基金资产估值后，将基金份额净值结果发送基金托管人，经基金托管人复核无误后，由基金管理人按约定对外公布。</w:t>
      </w:r>
      <w:bookmarkStart w:id="92" w:name="_Hlk91438856"/>
    </w:p>
    <w:p w14:paraId="43D4E65F" w14:textId="77777777" w:rsidR="00026C1A" w:rsidRDefault="000E111F">
      <w:pPr>
        <w:ind w:firstLineChars="200" w:firstLine="480"/>
        <w:rPr>
          <w:rFonts w:ascii="宋体" w:hAnsi="宋体" w:cs="Arial"/>
          <w:sz w:val="24"/>
        </w:rPr>
      </w:pPr>
      <w:r>
        <w:rPr>
          <w:rFonts w:ascii="宋体" w:hAnsi="宋体" w:cs="Arial" w:hint="eastAsia"/>
          <w:sz w:val="24"/>
          <w:lang w:bidi="ar"/>
        </w:rPr>
        <w:t>（二）基金资产估值方法和特殊情形的处理</w:t>
      </w:r>
    </w:p>
    <w:p w14:paraId="43CFEED2" w14:textId="77777777" w:rsidR="00026C1A" w:rsidRDefault="000E111F">
      <w:pPr>
        <w:ind w:firstLineChars="200" w:firstLine="480"/>
        <w:rPr>
          <w:rFonts w:ascii="宋体" w:hAnsi="宋体" w:cs="Arial"/>
          <w:sz w:val="24"/>
        </w:rPr>
      </w:pPr>
      <w:r>
        <w:rPr>
          <w:rFonts w:ascii="宋体" w:hAnsi="宋体" w:cs="Arial" w:hint="eastAsia"/>
          <w:sz w:val="24"/>
          <w:lang w:bidi="ar"/>
        </w:rPr>
        <w:t>1、估值对象</w:t>
      </w:r>
    </w:p>
    <w:p w14:paraId="55BFF3AA" w14:textId="77777777" w:rsidR="00026C1A" w:rsidRDefault="000E111F">
      <w:pPr>
        <w:ind w:firstLineChars="200" w:firstLine="480"/>
        <w:rPr>
          <w:rFonts w:ascii="宋体" w:hAnsi="宋体" w:cs="Arial"/>
          <w:sz w:val="24"/>
          <w:lang w:bidi="ar"/>
        </w:rPr>
      </w:pPr>
      <w:r>
        <w:rPr>
          <w:rFonts w:ascii="宋体" w:hAnsi="宋体" w:cs="Arial" w:hint="eastAsia"/>
          <w:sz w:val="24"/>
          <w:lang w:bidi="ar"/>
        </w:rPr>
        <w:t>基金所拥有的股票、股指期货合约、股票期权合约、国债期货合约、债券和银行存款本息、资产支持证券、应收款项、其它投资等资产及负债。</w:t>
      </w:r>
    </w:p>
    <w:p w14:paraId="2BFAA1F4" w14:textId="77777777" w:rsidR="00026C1A" w:rsidRDefault="000E111F">
      <w:pPr>
        <w:ind w:firstLineChars="200" w:firstLine="480"/>
        <w:rPr>
          <w:rFonts w:ascii="宋体" w:hAnsi="宋体" w:cs="Arial"/>
          <w:sz w:val="24"/>
          <w:lang w:bidi="ar"/>
        </w:rPr>
      </w:pPr>
      <w:r>
        <w:rPr>
          <w:rFonts w:ascii="宋体" w:hAnsi="宋体" w:cs="Arial" w:hint="eastAsia"/>
          <w:sz w:val="24"/>
          <w:lang w:bidi="ar"/>
        </w:rPr>
        <w:t>2、估值方法</w:t>
      </w:r>
    </w:p>
    <w:p w14:paraId="667673A0" w14:textId="77777777" w:rsidR="00026C1A" w:rsidRDefault="000E111F">
      <w:pPr>
        <w:ind w:firstLineChars="200" w:firstLine="480"/>
        <w:rPr>
          <w:rFonts w:ascii="宋体" w:hAnsi="宋体" w:cs="Arial"/>
          <w:sz w:val="24"/>
          <w:lang w:bidi="ar"/>
        </w:rPr>
      </w:pPr>
      <w:r>
        <w:rPr>
          <w:rFonts w:ascii="宋体" w:hAnsi="宋体" w:cs="Arial" w:hint="eastAsia"/>
          <w:sz w:val="24"/>
          <w:lang w:bidi="ar"/>
        </w:rPr>
        <w:t>（1）证券交易所上市的有价证券的估值</w:t>
      </w:r>
    </w:p>
    <w:p w14:paraId="1F8B84E0" w14:textId="77777777" w:rsidR="00026C1A" w:rsidRDefault="000E111F">
      <w:pPr>
        <w:ind w:firstLineChars="200" w:firstLine="480"/>
        <w:rPr>
          <w:rFonts w:ascii="宋体" w:hAnsi="宋体" w:cs="Arial"/>
          <w:sz w:val="24"/>
          <w:lang w:bidi="ar"/>
        </w:rPr>
      </w:pPr>
      <w:r>
        <w:rPr>
          <w:rFonts w:ascii="宋体" w:hAnsi="宋体" w:cs="Arial" w:hint="eastAsia"/>
          <w:sz w:val="24"/>
          <w:lang w:bidi="ar"/>
        </w:rPr>
        <w:t>1）交易所上市的有价证券（包括股票等），以其估值日在证券交易所挂牌的市价（收盘价）估值；估值日无市价的，但最近交易日后经济环境未发生重大变化且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值；</w:t>
      </w:r>
    </w:p>
    <w:p w14:paraId="5524805D" w14:textId="77777777" w:rsidR="00026C1A" w:rsidRDefault="000E111F">
      <w:pPr>
        <w:ind w:firstLineChars="200" w:firstLine="480"/>
        <w:rPr>
          <w:rFonts w:ascii="宋体" w:hAnsi="宋体" w:cs="Arial"/>
          <w:sz w:val="24"/>
          <w:lang w:bidi="ar"/>
        </w:rPr>
      </w:pPr>
      <w:r>
        <w:rPr>
          <w:rFonts w:ascii="宋体" w:hAnsi="宋体" w:cs="Arial" w:hint="eastAsia"/>
          <w:sz w:val="24"/>
          <w:lang w:bidi="ar"/>
        </w:rPr>
        <w:t>2）对于已上市或已挂牌转让的不含权固定收益品种（法规另有规定的除外），选取第三方估值基准服务机构提供的相应品种当日的估值全价，基金管理人根据相关法律、法规的规定进行涉税处理(下同)。对于已上市或已挂牌转让的含权固定收益品种（法规另有规定的除外），选取第三方估值基准服务机构提供的相应</w:t>
      </w:r>
      <w:r>
        <w:rPr>
          <w:rFonts w:ascii="宋体" w:hAnsi="宋体" w:cs="Arial" w:hint="eastAsia"/>
          <w:sz w:val="24"/>
          <w:lang w:bidi="ar"/>
        </w:rPr>
        <w:lastRenderedPageBreak/>
        <w:t>品种当日的唯一估值全价或推荐估值全价。对于含投资者回售权的固定收益品种，行使回售权的，在回售登记日至实际收款日期间选取第三方估值基准服务机构提供的相应品种的唯一估值全价或推荐估值全价，同时充分考虑发行人的信用风险变化对公允价值的影响。回售登记期截止日（含当日）后未行使回售权的按照长待偿期所对应的价格进行估值。如最近交易日后经济环境发生了重大变化的，可参考类似投资品种的现行市价及重大变化因素，调整最近交易市价，确定公允价值；</w:t>
      </w:r>
    </w:p>
    <w:p w14:paraId="74070F21" w14:textId="77777777" w:rsidR="00026C1A" w:rsidRDefault="000E111F">
      <w:pPr>
        <w:ind w:firstLineChars="200" w:firstLine="480"/>
        <w:rPr>
          <w:rFonts w:ascii="宋体" w:hAnsi="宋体" w:cs="Arial"/>
          <w:sz w:val="24"/>
          <w:lang w:bidi="ar"/>
        </w:rPr>
      </w:pPr>
      <w:r>
        <w:rPr>
          <w:rFonts w:ascii="宋体" w:hAnsi="宋体" w:cs="Arial" w:hint="eastAsia"/>
          <w:sz w:val="24"/>
          <w:lang w:bidi="ar"/>
        </w:rPr>
        <w:t>3）交易所上市交易的公开发行的可转换公司债券等有活跃市场的含转股权的债券，实行全价交易的债券选取估值日收盘价作为估值全价；实行净价交易的债券选取估值日收盘价并加计每百元税前应计利息作为估值全价。估值日没有交易的，且最近交易日后经济环境未发生重大变化，按最近交易日债券收盘价并加计每百元税前应计利息作为估值全价。如最近交易日后经济环境发生了重大变化的，可参考类似投资品种的现行市价及重大变化因素，调整最近交易市价，确定公允价值；</w:t>
      </w:r>
    </w:p>
    <w:p w14:paraId="03832F0A" w14:textId="77777777" w:rsidR="00026C1A" w:rsidRDefault="000E111F">
      <w:pPr>
        <w:rPr>
          <w:rFonts w:ascii="宋体" w:hAnsi="宋体" w:cs="Arial"/>
          <w:sz w:val="24"/>
          <w:lang w:bidi="ar"/>
        </w:rPr>
      </w:pPr>
      <w:r>
        <w:rPr>
          <w:rFonts w:ascii="宋体" w:hAnsi="宋体" w:cs="Arial" w:hint="eastAsia"/>
          <w:sz w:val="24"/>
          <w:lang w:bidi="ar"/>
        </w:rPr>
        <w:t xml:space="preserve"> </w:t>
      </w:r>
      <w:r>
        <w:rPr>
          <w:rFonts w:ascii="宋体" w:hAnsi="宋体" w:cs="Arial"/>
          <w:sz w:val="24"/>
          <w:lang w:bidi="ar"/>
        </w:rPr>
        <w:t xml:space="preserve">   </w:t>
      </w:r>
      <w:r>
        <w:rPr>
          <w:rFonts w:ascii="宋体" w:hAnsi="宋体" w:cs="Arial" w:hint="eastAsia"/>
          <w:sz w:val="24"/>
          <w:lang w:bidi="ar"/>
        </w:rPr>
        <w:t>4）本基金投资存托凭证的估值核算，依照境内上市交易的股票执行。</w:t>
      </w:r>
    </w:p>
    <w:p w14:paraId="3EF83801" w14:textId="77777777" w:rsidR="00026C1A" w:rsidRDefault="000E111F">
      <w:pPr>
        <w:ind w:firstLineChars="200" w:firstLine="480"/>
        <w:rPr>
          <w:rFonts w:ascii="宋体" w:hAnsi="宋体" w:cs="Arial"/>
          <w:sz w:val="24"/>
          <w:lang w:bidi="ar"/>
        </w:rPr>
      </w:pPr>
      <w:r>
        <w:rPr>
          <w:rFonts w:ascii="宋体" w:hAnsi="宋体" w:cs="Arial" w:hint="eastAsia"/>
          <w:sz w:val="24"/>
          <w:lang w:bidi="ar"/>
        </w:rPr>
        <w:t>（2）处于未上市期间的有价证券应区分如下情况处理：</w:t>
      </w:r>
    </w:p>
    <w:p w14:paraId="1B255D58" w14:textId="77777777" w:rsidR="00026C1A" w:rsidRDefault="000E111F">
      <w:pPr>
        <w:ind w:firstLineChars="200" w:firstLine="480"/>
        <w:rPr>
          <w:rFonts w:ascii="宋体" w:hAnsi="宋体" w:cs="Arial"/>
          <w:sz w:val="24"/>
          <w:lang w:bidi="ar"/>
        </w:rPr>
      </w:pPr>
      <w:r>
        <w:rPr>
          <w:rFonts w:ascii="宋体" w:hAnsi="宋体" w:cs="Arial" w:hint="eastAsia"/>
          <w:sz w:val="24"/>
          <w:lang w:bidi="ar"/>
        </w:rPr>
        <w:t>1）送股、转增股、配股和公开增发的股票，按估值日在证券交易所挂牌的同一股票的估值方法估值；该日无交易的，以最近一日的市价（收盘价）估值；</w:t>
      </w:r>
    </w:p>
    <w:p w14:paraId="66B2D43E" w14:textId="77777777" w:rsidR="00026C1A" w:rsidRDefault="000E111F">
      <w:pPr>
        <w:ind w:firstLineChars="200" w:firstLine="480"/>
        <w:rPr>
          <w:rFonts w:ascii="宋体" w:hAnsi="宋体" w:cs="Arial"/>
          <w:sz w:val="24"/>
          <w:lang w:bidi="ar"/>
        </w:rPr>
      </w:pPr>
      <w:r>
        <w:rPr>
          <w:rFonts w:ascii="宋体" w:hAnsi="宋体" w:cs="Arial" w:hint="eastAsia"/>
          <w:sz w:val="24"/>
          <w:lang w:bidi="ar"/>
        </w:rPr>
        <w:t>2）首次公开发行未上市的股票，采用估值技术确定公允价值；</w:t>
      </w:r>
    </w:p>
    <w:p w14:paraId="5149837A" w14:textId="77777777" w:rsidR="00026C1A" w:rsidRDefault="000E111F">
      <w:pPr>
        <w:ind w:firstLineChars="200" w:firstLine="480"/>
        <w:rPr>
          <w:rFonts w:ascii="宋体" w:hAnsi="宋体" w:cs="Arial"/>
          <w:sz w:val="24"/>
          <w:lang w:bidi="ar"/>
        </w:rPr>
      </w:pPr>
      <w:r>
        <w:rPr>
          <w:rFonts w:ascii="宋体" w:hAnsi="宋体" w:cs="Arial" w:hint="eastAsia"/>
          <w:sz w:val="24"/>
          <w:lang w:bidi="ar"/>
        </w:rPr>
        <w:t>3）流通受限的股票，包括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14:paraId="1B01AC0F" w14:textId="77777777" w:rsidR="00026C1A" w:rsidRDefault="000E111F">
      <w:pPr>
        <w:rPr>
          <w:rFonts w:ascii="宋体" w:hAnsi="宋体" w:cs="Arial"/>
          <w:sz w:val="24"/>
          <w:lang w:bidi="ar"/>
        </w:rPr>
      </w:pPr>
      <w:r>
        <w:rPr>
          <w:rFonts w:ascii="宋体" w:hAnsi="宋体" w:cs="Arial"/>
          <w:sz w:val="24"/>
          <w:lang w:bidi="ar"/>
        </w:rPr>
        <w:t xml:space="preserve">   </w:t>
      </w:r>
      <w:r>
        <w:rPr>
          <w:rFonts w:ascii="宋体" w:hAnsi="宋体" w:cs="Arial" w:hint="eastAsia"/>
          <w:sz w:val="24"/>
          <w:lang w:bidi="ar"/>
        </w:rPr>
        <w:t>4）对于未上市或未挂牌转让且不存在活跃市场的固定收益品种，采用在当前情况下适用并且有足够可利用数据和其他信息支持的估值技术确定其公允价值。</w:t>
      </w:r>
    </w:p>
    <w:p w14:paraId="633DFC2B" w14:textId="77777777" w:rsidR="00026C1A" w:rsidRDefault="000E111F">
      <w:pPr>
        <w:ind w:firstLineChars="200" w:firstLine="480"/>
        <w:rPr>
          <w:rFonts w:ascii="宋体" w:hAnsi="宋体" w:cs="Arial"/>
          <w:sz w:val="24"/>
          <w:lang w:bidi="ar"/>
        </w:rPr>
      </w:pPr>
      <w:r>
        <w:rPr>
          <w:rFonts w:ascii="宋体" w:hAnsi="宋体" w:cs="Arial" w:hint="eastAsia"/>
          <w:sz w:val="24"/>
          <w:lang w:bidi="ar"/>
        </w:rPr>
        <w:t>（3）对全国银行间市场已上市或已挂牌转让的不含权固定收益品种（法规另有规定的除外），选取第三方估值基准服务机构提供的相应品种当日的估值全价，基金管理人根据相关法律、法规的规定进行涉税处理(下同)。对于已上市或已挂牌转让的含权固定收益品种（法规另有规定的除外），选取第三方估值基准服务机构提供的相应品种当日的唯一估值全价或推荐估值全价。对于含投资者回售权的固定收益品种，行使回售权的，在回售登记日至实际收款日期间选取第三方估值基准服务机构提供的相应品种的唯一估值全价或推荐估值全价，同时充分考虑发行人的信用风险变化对公允价值的影响。回售登记期截止日（含当日）后未行使回售权的按照长待偿期所对应的价格进行估值。如最近交易日后经济环境发生了重大变化的，可参考类似投资品种的现行市价及重大变化因素，调整最近交易市价，确定公允价值。</w:t>
      </w:r>
    </w:p>
    <w:p w14:paraId="4B3245B9" w14:textId="77777777" w:rsidR="00026C1A" w:rsidRPr="00AD4C16" w:rsidRDefault="000E111F">
      <w:pPr>
        <w:spacing w:line="360" w:lineRule="auto"/>
        <w:ind w:firstLineChars="200" w:firstLine="480"/>
        <w:rPr>
          <w:bCs/>
          <w:sz w:val="24"/>
        </w:rPr>
      </w:pPr>
      <w:r>
        <w:rPr>
          <w:rFonts w:hint="eastAsia"/>
          <w:bCs/>
          <w:sz w:val="24"/>
        </w:rPr>
        <w:t>对全国银行间市场未上市或未挂牌转让且不存在活跃市场的固定收益品种，应采用在当前情况下适用并且有足够可利用数据和其他信息支持的估值技术确定其公允价值。</w:t>
      </w:r>
    </w:p>
    <w:p w14:paraId="1096DCA2" w14:textId="77777777" w:rsidR="00026C1A" w:rsidRDefault="000E111F">
      <w:pPr>
        <w:ind w:firstLineChars="200" w:firstLine="480"/>
        <w:rPr>
          <w:rFonts w:ascii="宋体" w:hAnsi="宋体" w:cs="Arial"/>
          <w:sz w:val="24"/>
          <w:lang w:bidi="ar"/>
        </w:rPr>
      </w:pPr>
      <w:r>
        <w:rPr>
          <w:rFonts w:ascii="宋体" w:hAnsi="宋体" w:cs="Arial" w:hint="eastAsia"/>
          <w:sz w:val="24"/>
          <w:lang w:bidi="ar"/>
        </w:rPr>
        <w:t>（4）同一证券同时在两个或两个以上市场交易的，按其所处的市场分别估值。</w:t>
      </w:r>
    </w:p>
    <w:p w14:paraId="1C8389E2" w14:textId="77777777" w:rsidR="00026C1A" w:rsidRDefault="000E111F">
      <w:pPr>
        <w:ind w:firstLineChars="200" w:firstLine="480"/>
        <w:rPr>
          <w:rFonts w:asciiTheme="minorEastAsia" w:eastAsiaTheme="minorEastAsia" w:hAnsiTheme="minorEastAsia" w:cs="Arial"/>
          <w:sz w:val="24"/>
        </w:rPr>
      </w:pPr>
      <w:r>
        <w:rPr>
          <w:rFonts w:asciiTheme="minorEastAsia" w:eastAsiaTheme="minorEastAsia" w:hAnsiTheme="minorEastAsia" w:cs="Arial" w:hint="eastAsia"/>
          <w:sz w:val="24"/>
          <w:lang w:bidi="ar"/>
        </w:rPr>
        <w:t>（</w:t>
      </w:r>
      <w:r>
        <w:rPr>
          <w:rFonts w:asciiTheme="minorEastAsia" w:eastAsiaTheme="minorEastAsia" w:hAnsiTheme="minorEastAsia" w:cs="Arial"/>
          <w:sz w:val="24"/>
          <w:lang w:bidi="ar"/>
        </w:rPr>
        <w:t>5）</w:t>
      </w:r>
      <w:r>
        <w:rPr>
          <w:rFonts w:asciiTheme="minorEastAsia" w:eastAsiaTheme="minorEastAsia" w:hAnsiTheme="minorEastAsia" w:cs="Arial" w:hint="eastAsia"/>
          <w:sz w:val="24"/>
        </w:rPr>
        <w:t>对于发行人已破产、发行人未能按时足额偿付本金或利息，或者有其它可靠信息表明本金或利息无法按时足额偿付的债券投资品种，第三方估值基准</w:t>
      </w:r>
      <w:r>
        <w:rPr>
          <w:rFonts w:asciiTheme="minorEastAsia" w:eastAsiaTheme="minorEastAsia" w:hAnsiTheme="minorEastAsia" w:cs="Arial" w:hint="eastAsia"/>
          <w:sz w:val="24"/>
        </w:rPr>
        <w:lastRenderedPageBreak/>
        <w:t>服务机构可在提供推荐价格的同时提供价格区间作为公允价值的参考范围以及公允价值存在重大不确定性的相关提示。基金管理人在与基金托管人协商一致后，可采用价格区间中的数据作为该债券投资品种的公允价值。</w:t>
      </w:r>
    </w:p>
    <w:p w14:paraId="0528264A" w14:textId="335DB163" w:rsidR="00026C1A" w:rsidRDefault="000E111F">
      <w:pPr>
        <w:ind w:firstLineChars="200" w:firstLine="480"/>
        <w:rPr>
          <w:rFonts w:ascii="宋体" w:hAnsi="宋体" w:cs="Arial"/>
          <w:sz w:val="24"/>
          <w:lang w:bidi="ar"/>
        </w:rPr>
      </w:pPr>
      <w:r>
        <w:rPr>
          <w:rFonts w:ascii="宋体" w:hAnsi="宋体" w:cs="Arial" w:hint="eastAsia"/>
          <w:sz w:val="24"/>
          <w:lang w:bidi="ar"/>
        </w:rPr>
        <w:t>（6）本基金持有的回购以</w:t>
      </w:r>
      <w:r w:rsidR="00AF4986">
        <w:rPr>
          <w:rFonts w:ascii="宋体" w:hAnsi="宋体" w:cs="Arial" w:hint="eastAsia"/>
          <w:sz w:val="24"/>
          <w:lang w:bidi="ar"/>
        </w:rPr>
        <w:t>摊余成本</w:t>
      </w:r>
      <w:r>
        <w:rPr>
          <w:rFonts w:ascii="宋体" w:hAnsi="宋体" w:cs="Arial" w:hint="eastAsia"/>
          <w:sz w:val="24"/>
          <w:lang w:bidi="ar"/>
        </w:rPr>
        <w:t>列示，按合同利率在回购期间内逐日计提应收或应付利息。</w:t>
      </w:r>
    </w:p>
    <w:p w14:paraId="3DA02D9D" w14:textId="200C7587" w:rsidR="00026C1A" w:rsidRDefault="000E111F">
      <w:pPr>
        <w:ind w:firstLineChars="200" w:firstLine="480"/>
        <w:rPr>
          <w:rFonts w:ascii="宋体" w:hAnsi="宋体" w:cs="Arial"/>
          <w:sz w:val="24"/>
          <w:lang w:bidi="ar"/>
        </w:rPr>
      </w:pPr>
      <w:r>
        <w:rPr>
          <w:rFonts w:ascii="宋体" w:hAnsi="宋体" w:cs="Arial" w:hint="eastAsia"/>
          <w:sz w:val="24"/>
          <w:lang w:bidi="ar"/>
        </w:rPr>
        <w:t>（7）本基金持有的银行存款和备付金余额以</w:t>
      </w:r>
      <w:r w:rsidR="00AF4986">
        <w:rPr>
          <w:rFonts w:ascii="宋体" w:hAnsi="宋体" w:cs="Arial" w:hint="eastAsia"/>
          <w:sz w:val="24"/>
          <w:lang w:bidi="ar"/>
        </w:rPr>
        <w:t>摊余成本</w:t>
      </w:r>
      <w:r>
        <w:rPr>
          <w:rFonts w:ascii="宋体" w:hAnsi="宋体" w:cs="Arial" w:hint="eastAsia"/>
          <w:sz w:val="24"/>
          <w:lang w:bidi="ar"/>
        </w:rPr>
        <w:t>列示，按相应利率逐日计提利息。</w:t>
      </w:r>
    </w:p>
    <w:p w14:paraId="6816D913" w14:textId="77777777" w:rsidR="00026C1A" w:rsidRDefault="000E111F">
      <w:pPr>
        <w:ind w:firstLineChars="200" w:firstLine="480"/>
        <w:rPr>
          <w:rFonts w:ascii="宋体" w:hAnsi="宋体" w:cs="Arial"/>
          <w:sz w:val="24"/>
          <w:lang w:bidi="ar"/>
        </w:rPr>
      </w:pPr>
      <w:r>
        <w:rPr>
          <w:rFonts w:ascii="宋体" w:hAnsi="宋体" w:cs="Arial" w:hint="eastAsia"/>
          <w:sz w:val="24"/>
          <w:lang w:bidi="ar"/>
        </w:rPr>
        <w:t>（8）本基金投资股指期货合约，一般以估值当日结算价进行估值，估值当日无结算价，且最近交易日后经济环境未发生重大变化的，采用最近交易日结算价估值。</w:t>
      </w:r>
    </w:p>
    <w:p w14:paraId="605F0153" w14:textId="77777777" w:rsidR="00026C1A" w:rsidRDefault="000E111F">
      <w:pPr>
        <w:ind w:firstLineChars="200" w:firstLine="480"/>
        <w:rPr>
          <w:rFonts w:ascii="宋体" w:hAnsi="宋体" w:cs="Arial"/>
          <w:sz w:val="24"/>
          <w:lang w:bidi="ar"/>
        </w:rPr>
      </w:pPr>
      <w:r>
        <w:rPr>
          <w:rFonts w:ascii="宋体" w:hAnsi="宋体" w:cs="Arial" w:hint="eastAsia"/>
          <w:sz w:val="24"/>
          <w:lang w:bidi="ar"/>
        </w:rPr>
        <w:t>（9）本基金投资股票期权合约，</w:t>
      </w:r>
      <w:r>
        <w:rPr>
          <w:rFonts w:asciiTheme="minorEastAsia" w:eastAsiaTheme="minorEastAsia" w:hAnsiTheme="minorEastAsia" w:cs="Arial" w:hint="eastAsia"/>
          <w:sz w:val="24"/>
          <w:szCs w:val="20"/>
        </w:rPr>
        <w:t>根据相关法律法规以及监管部门的规定</w:t>
      </w:r>
      <w:r>
        <w:rPr>
          <w:rFonts w:ascii="宋体" w:hAnsi="宋体" w:cs="Arial" w:hint="eastAsia"/>
          <w:sz w:val="24"/>
          <w:lang w:bidi="ar"/>
        </w:rPr>
        <w:t>估值。</w:t>
      </w:r>
    </w:p>
    <w:p w14:paraId="1E8F54BD" w14:textId="77777777" w:rsidR="00026C1A" w:rsidRDefault="000E111F">
      <w:pPr>
        <w:ind w:firstLineChars="200" w:firstLine="480"/>
        <w:rPr>
          <w:rFonts w:ascii="宋体" w:hAnsi="宋体" w:cs="Arial"/>
          <w:sz w:val="24"/>
          <w:lang w:bidi="ar"/>
        </w:rPr>
      </w:pPr>
      <w:r>
        <w:rPr>
          <w:rFonts w:ascii="宋体" w:hAnsi="宋体" w:cs="Arial" w:hint="eastAsia"/>
          <w:sz w:val="24"/>
          <w:lang w:bidi="ar"/>
        </w:rPr>
        <w:t>（10）本基金投资国债期货合约，一般以估值当日结算价进行估值，估值当日无结算价，且最近交易日后经济环境未发生重大变化的，采用最近交易日结算价估值。</w:t>
      </w:r>
    </w:p>
    <w:p w14:paraId="486A75B5" w14:textId="77777777" w:rsidR="00026C1A" w:rsidRDefault="000E111F">
      <w:pPr>
        <w:ind w:firstLineChars="200" w:firstLine="480"/>
        <w:rPr>
          <w:rFonts w:ascii="宋体" w:hAnsi="宋体" w:cs="Arial"/>
          <w:sz w:val="24"/>
          <w:lang w:bidi="ar"/>
        </w:rPr>
      </w:pPr>
      <w:r>
        <w:rPr>
          <w:rFonts w:ascii="宋体" w:hAnsi="宋体" w:cs="Arial" w:hint="eastAsia"/>
          <w:sz w:val="24"/>
          <w:lang w:bidi="ar"/>
        </w:rPr>
        <w:t>（11）本基金参与融资和转融通证券出借业务的，按照相关法律法规和行业协会的相关规定进行估值。</w:t>
      </w:r>
    </w:p>
    <w:p w14:paraId="0EB4AA38" w14:textId="75A564A9" w:rsidR="00026C1A" w:rsidRDefault="000E111F" w:rsidP="002933E3">
      <w:pPr>
        <w:ind w:firstLineChars="200" w:firstLine="480"/>
        <w:rPr>
          <w:rFonts w:ascii="宋体" w:hAnsi="宋体" w:cs="Arial"/>
          <w:sz w:val="24"/>
          <w:lang w:bidi="ar"/>
        </w:rPr>
      </w:pPr>
      <w:r>
        <w:rPr>
          <w:rFonts w:ascii="宋体" w:hAnsi="宋体" w:cs="Arial" w:hint="eastAsia"/>
          <w:sz w:val="24"/>
          <w:lang w:bidi="ar"/>
        </w:rPr>
        <w:t>（12）本基金可以采用第三方估值机构按照上述公允价值确定原则提供的估值价格数据。如有确凿证据表明按上述方法进行估值不能客观反映其公允价值的，基金管理人可根据具体情况与基金托管人商定后，按最能反映公允价值的价格估值。</w:t>
      </w:r>
    </w:p>
    <w:p w14:paraId="65474A8B" w14:textId="77777777" w:rsidR="00026C1A" w:rsidRDefault="000E111F">
      <w:pPr>
        <w:ind w:firstLineChars="200" w:firstLine="480"/>
        <w:rPr>
          <w:rFonts w:ascii="宋体" w:hAnsi="宋体" w:cs="Arial"/>
          <w:sz w:val="24"/>
          <w:lang w:bidi="ar"/>
        </w:rPr>
      </w:pPr>
      <w:r>
        <w:rPr>
          <w:rFonts w:ascii="宋体" w:hAnsi="宋体" w:cs="Arial" w:hint="eastAsia"/>
          <w:sz w:val="24"/>
          <w:lang w:bidi="ar"/>
        </w:rPr>
        <w:t>使用模型估值的，应当审慎确定模型参数，不得随意调整。</w:t>
      </w:r>
    </w:p>
    <w:p w14:paraId="13913FC6" w14:textId="77777777" w:rsidR="00026C1A" w:rsidRDefault="000E111F">
      <w:pPr>
        <w:ind w:firstLineChars="200" w:firstLine="480"/>
        <w:rPr>
          <w:rFonts w:ascii="宋体" w:hAnsi="宋体" w:cs="Arial"/>
          <w:sz w:val="24"/>
          <w:lang w:bidi="ar"/>
        </w:rPr>
      </w:pPr>
      <w:r>
        <w:rPr>
          <w:rFonts w:ascii="宋体" w:hAnsi="宋体" w:cs="Arial" w:hint="eastAsia"/>
          <w:sz w:val="24"/>
          <w:lang w:bidi="ar"/>
        </w:rPr>
        <w:t>对于仅依赖管理人所提供数据（包括但不限于管理人自建模型定价）且无法从其他渠道获取可靠数据进行会计核算的投资品种，管理人应对该估值数据的真实性、准确性、完整性、合规性负责，因上述估值数据错误导致估值结果的不真实、不准确、不完整、不合规，托管人不承担任何责任。</w:t>
      </w:r>
    </w:p>
    <w:p w14:paraId="367884F8" w14:textId="3B14D916" w:rsidR="00026C1A" w:rsidRDefault="000E111F">
      <w:pPr>
        <w:ind w:firstLineChars="200" w:firstLine="480"/>
        <w:rPr>
          <w:rFonts w:ascii="宋体" w:hAnsi="宋体" w:cs="Arial"/>
          <w:sz w:val="24"/>
          <w:lang w:bidi="ar"/>
        </w:rPr>
      </w:pPr>
      <w:r>
        <w:rPr>
          <w:rFonts w:ascii="宋体" w:hAnsi="宋体" w:cs="Arial" w:hint="eastAsia"/>
          <w:sz w:val="24"/>
          <w:lang w:bidi="ar"/>
        </w:rPr>
        <w:t>（1</w:t>
      </w:r>
      <w:r w:rsidR="00B115A1">
        <w:rPr>
          <w:rFonts w:ascii="宋体" w:hAnsi="宋体" w:cs="Arial"/>
          <w:sz w:val="24"/>
          <w:lang w:bidi="ar"/>
        </w:rPr>
        <w:t>3</w:t>
      </w:r>
      <w:r>
        <w:rPr>
          <w:rFonts w:ascii="宋体" w:hAnsi="宋体" w:cs="Arial" w:hint="eastAsia"/>
          <w:sz w:val="24"/>
          <w:lang w:bidi="ar"/>
        </w:rPr>
        <w:t>）相关法律法规以及监管部门有强制规定的，从其规定。如有新增事项，按国家最新规定估值。</w:t>
      </w:r>
    </w:p>
    <w:p w14:paraId="13D52907" w14:textId="77777777" w:rsidR="00026C1A" w:rsidRDefault="000E111F">
      <w:pPr>
        <w:ind w:firstLineChars="200" w:firstLine="480"/>
        <w:rPr>
          <w:rFonts w:ascii="宋体" w:hAnsi="宋体" w:cs="Arial"/>
          <w:sz w:val="24"/>
          <w:lang w:bidi="ar"/>
        </w:rPr>
      </w:pPr>
      <w:r>
        <w:rPr>
          <w:rFonts w:ascii="宋体" w:hAnsi="宋体" w:cs="Arial" w:hint="eastAsia"/>
          <w:sz w:val="24"/>
          <w:lang w:bidi="ar"/>
        </w:rPr>
        <w:t>如基金管理人或基金托管人发现基金估值违反基金合同订明的估值方法、程序及相关法律法规的规定或者未能充分维护基金份额持有人利益时，应立即通知对方，共同查明原因，双方协商解决，以约定的方法、程序和相关法律法规的规定进行估值，以维护基金份额持有人的利益。</w:t>
      </w:r>
    </w:p>
    <w:p w14:paraId="3EB8F78A" w14:textId="0204E71C" w:rsidR="00026C1A" w:rsidRDefault="000E111F">
      <w:pPr>
        <w:ind w:firstLineChars="200" w:firstLine="480"/>
        <w:rPr>
          <w:rFonts w:ascii="宋体" w:hAnsi="宋体" w:cs="Arial"/>
          <w:sz w:val="24"/>
          <w:lang w:bidi="ar"/>
        </w:rPr>
      </w:pPr>
      <w:r>
        <w:rPr>
          <w:rFonts w:ascii="宋体" w:hAnsi="宋体" w:cs="Arial" w:hint="eastAsia"/>
          <w:sz w:val="24"/>
          <w:lang w:bidi="ar"/>
        </w:rPr>
        <w:t>根据有关法律法规，基金资产净值计算、基金份额净值计算和基金会计核算的义务由基金管理人承担。本基金的基金会计责任方由基金管理人担任，因此，就与本基金有关的会计问题，如经相关各方在平等基础上充分讨论后，仍无法达成一致意见的，基金管理人向基金托管人出具盖章的书面说明后，按照基金管理人对基金净值信息的计算结果按规定对外予以公布。</w:t>
      </w:r>
    </w:p>
    <w:p w14:paraId="2AD189CF" w14:textId="77777777" w:rsidR="00026C1A" w:rsidRDefault="000E111F">
      <w:pPr>
        <w:ind w:firstLineChars="200" w:firstLine="480"/>
        <w:rPr>
          <w:rFonts w:ascii="宋体" w:hAnsi="宋体" w:cs="Arial"/>
          <w:sz w:val="24"/>
        </w:rPr>
      </w:pPr>
      <w:r>
        <w:rPr>
          <w:rFonts w:ascii="宋体" w:hAnsi="宋体" w:cs="Arial" w:hint="eastAsia"/>
          <w:sz w:val="24"/>
          <w:lang w:bidi="ar"/>
        </w:rPr>
        <w:t>3、特殊情形的处理</w:t>
      </w:r>
    </w:p>
    <w:p w14:paraId="58FB6BD1" w14:textId="6E5C73E4" w:rsidR="00026C1A" w:rsidRDefault="000E111F">
      <w:pPr>
        <w:ind w:firstLineChars="200" w:firstLine="480"/>
        <w:rPr>
          <w:rFonts w:ascii="宋体" w:hAnsi="宋体" w:cs="Arial"/>
          <w:sz w:val="24"/>
        </w:rPr>
      </w:pPr>
      <w:r>
        <w:rPr>
          <w:rFonts w:ascii="宋体" w:hAnsi="宋体" w:cs="Arial" w:hint="eastAsia"/>
          <w:sz w:val="24"/>
          <w:lang w:bidi="ar"/>
        </w:rPr>
        <w:t>基金管理人、基金托管人按估值方法的第（</w:t>
      </w:r>
      <w:r w:rsidR="00B115A1">
        <w:rPr>
          <w:rFonts w:ascii="宋体" w:hAnsi="宋体" w:cs="Arial"/>
          <w:sz w:val="24"/>
          <w:lang w:bidi="ar"/>
        </w:rPr>
        <w:t>12</w:t>
      </w:r>
      <w:r>
        <w:rPr>
          <w:rFonts w:ascii="宋体" w:hAnsi="宋体" w:cs="Arial" w:hint="eastAsia"/>
          <w:sz w:val="24"/>
          <w:lang w:bidi="ar"/>
        </w:rPr>
        <w:t>）项进行估值时，所造成的误差不作为基金资产估值错误处理。</w:t>
      </w:r>
    </w:p>
    <w:p w14:paraId="20A904BA" w14:textId="77777777" w:rsidR="00026C1A" w:rsidRDefault="000E111F">
      <w:pPr>
        <w:ind w:firstLineChars="200" w:firstLine="480"/>
        <w:rPr>
          <w:rFonts w:ascii="宋体" w:hAnsi="宋体" w:cs="Arial"/>
          <w:sz w:val="24"/>
        </w:rPr>
      </w:pPr>
      <w:r>
        <w:rPr>
          <w:rFonts w:ascii="宋体" w:hAnsi="宋体" w:cs="Arial" w:hint="eastAsia"/>
          <w:sz w:val="24"/>
          <w:lang w:bidi="ar"/>
        </w:rPr>
        <w:t>（三）基金份额净值错误的处理方式</w:t>
      </w:r>
    </w:p>
    <w:p w14:paraId="512C1E36" w14:textId="77777777" w:rsidR="00026C1A" w:rsidRDefault="000E111F">
      <w:pPr>
        <w:adjustRightInd w:val="0"/>
        <w:snapToGrid w:val="0"/>
        <w:ind w:firstLineChars="200" w:firstLine="480"/>
        <w:rPr>
          <w:rFonts w:ascii="彩虹粗仿宋" w:eastAsia="彩虹粗仿宋"/>
          <w:sz w:val="24"/>
        </w:rPr>
      </w:pPr>
      <w:r>
        <w:rPr>
          <w:rFonts w:ascii="宋体" w:hAnsi="宋体" w:cs="Arial" w:hint="eastAsia"/>
          <w:sz w:val="24"/>
          <w:lang w:bidi="ar"/>
        </w:rPr>
        <w:t>1、当基金份额净值小数点后4位以内（含第4位）发生估值错误时，视为基金份额净值错误；基金份额净值出现错误时，基金管理人应当立即予以纠正，通报基金托管人，并采取合理的措施防止损失进一步扩大；错误偏差达到基金份</w:t>
      </w:r>
      <w:r>
        <w:rPr>
          <w:rFonts w:ascii="宋体" w:hAnsi="宋体" w:cs="Arial" w:hint="eastAsia"/>
          <w:sz w:val="24"/>
          <w:lang w:bidi="ar"/>
        </w:rPr>
        <w:lastRenderedPageBreak/>
        <w:t>额净值的0.25%时，基金管理人应当通报基金托管人并报中国证监会备案；错误偏差达到基金份额净值的0.5%时，基金管理人应当公告，并报中国证监会备案；当发生净值计算错误时，由基金管理人负责处理，由此给基金份额持有人和基金造成损失的，应由基金管理人先行赔付，基金管理人按差错情形，有权向其他当事人追偿。</w:t>
      </w:r>
    </w:p>
    <w:p w14:paraId="26D4D5B8" w14:textId="77777777" w:rsidR="00026C1A" w:rsidRDefault="000E111F">
      <w:pPr>
        <w:ind w:firstLineChars="200" w:firstLine="480"/>
        <w:rPr>
          <w:rFonts w:ascii="宋体" w:hAnsi="宋体" w:cs="Arial"/>
          <w:sz w:val="24"/>
        </w:rPr>
      </w:pPr>
      <w:r>
        <w:rPr>
          <w:rFonts w:ascii="宋体" w:hAnsi="宋体" w:cs="Arial" w:hint="eastAsia"/>
          <w:sz w:val="24"/>
          <w:lang w:bidi="ar"/>
        </w:rPr>
        <w:t>2、当基金份额净值计算差错给基金和基金份额持有人造成损失需要进行赔偿时，基金管理人和基金托管人应根据实际情况界定双方承担的责任，经确认后按以下条款进行赔偿：</w:t>
      </w:r>
    </w:p>
    <w:p w14:paraId="6EDB58B6" w14:textId="77777777" w:rsidR="00026C1A" w:rsidRDefault="000E111F">
      <w:pPr>
        <w:ind w:firstLineChars="200" w:firstLine="480"/>
        <w:rPr>
          <w:rFonts w:ascii="宋体" w:hAnsi="宋体" w:cs="Arial"/>
          <w:sz w:val="24"/>
        </w:rPr>
      </w:pPr>
      <w:r>
        <w:rPr>
          <w:rFonts w:ascii="宋体" w:hAnsi="宋体" w:cs="Arial" w:hint="eastAsia"/>
          <w:sz w:val="24"/>
          <w:lang w:bidi="ar"/>
        </w:rPr>
        <w:t>（1）本基金的基金会计责任方由基金管理人担任，与本基金有关的会计问题，如经双方在平等基础上充分讨论后，尚不能达成一致时，</w:t>
      </w:r>
      <w:r>
        <w:rPr>
          <w:rFonts w:hint="eastAsia"/>
          <w:sz w:val="24"/>
        </w:rPr>
        <w:t>基金管理人向基金托管人出具盖章的书面说明后，按照基金管理人对基金净值信息的计算结果对外予以公布，</w:t>
      </w:r>
      <w:r>
        <w:rPr>
          <w:rFonts w:ascii="宋体" w:hAnsi="宋体" w:cs="Arial" w:hint="eastAsia"/>
          <w:sz w:val="24"/>
          <w:lang w:bidi="ar"/>
        </w:rPr>
        <w:t>由此给基金份额持有人和基金财产造成的损失，由基金管理人负责赔付。</w:t>
      </w:r>
    </w:p>
    <w:p w14:paraId="36C25FC0" w14:textId="77777777" w:rsidR="00026C1A" w:rsidRDefault="000E111F">
      <w:pPr>
        <w:ind w:firstLineChars="200" w:firstLine="480"/>
        <w:rPr>
          <w:rFonts w:ascii="宋体" w:hAnsi="宋体" w:cs="Arial"/>
          <w:sz w:val="24"/>
        </w:rPr>
      </w:pPr>
      <w:r>
        <w:rPr>
          <w:rFonts w:ascii="宋体" w:hAnsi="宋体" w:cs="Arial" w:hint="eastAsia"/>
          <w:sz w:val="24"/>
          <w:lang w:bidi="ar"/>
        </w:rPr>
        <w:t>（2）若基金管理人计算的基金份额净值已由基金托管人复核确认后公告</w:t>
      </w:r>
      <w:r>
        <w:rPr>
          <w:rFonts w:ascii="宋体" w:hAnsi="宋体" w:cs="宋体" w:hint="eastAsia"/>
          <w:kern w:val="0"/>
          <w:sz w:val="24"/>
          <w:lang w:bidi="ar"/>
        </w:rPr>
        <w:t>，而且基金托管人未对计算过程提出合理疑义或要求基金管理人书面说明，基金份额净值出错且造成基金份额持有人损失的，应根据法律法规的规定对投资者或基金支付赔偿金就实际向投资者或基金支付的赔偿金额，基金管理人与基金托管人按照管理费和托管费的比例承担相应的责任。</w:t>
      </w:r>
    </w:p>
    <w:p w14:paraId="33335BA3" w14:textId="77777777" w:rsidR="00026C1A" w:rsidRDefault="000E111F">
      <w:pPr>
        <w:ind w:firstLineChars="200" w:firstLine="480"/>
        <w:rPr>
          <w:rFonts w:ascii="宋体" w:hAnsi="宋体" w:cs="Arial"/>
          <w:sz w:val="24"/>
        </w:rPr>
      </w:pPr>
      <w:r>
        <w:rPr>
          <w:rFonts w:ascii="宋体" w:hAnsi="宋体" w:cs="Arial" w:hint="eastAsia"/>
          <w:sz w:val="24"/>
          <w:lang w:bidi="ar"/>
        </w:rPr>
        <w:t>（3）如基金管理人和基金托管人对基金份额净值的计算结果，虽然多次重新计算和核对，尚不能达成一致时，为避免不能按时公布基金份额净值的情形，以基金管理人的计算结果对外公布，由此给基金份额持有人和基金造成的损失，由基金管理人负责赔付。</w:t>
      </w:r>
    </w:p>
    <w:p w14:paraId="29D6FD39" w14:textId="6BD6F6C0" w:rsidR="00026C1A" w:rsidRDefault="000E111F">
      <w:pPr>
        <w:ind w:firstLineChars="200" w:firstLine="480"/>
        <w:rPr>
          <w:rFonts w:ascii="宋体" w:hAnsi="宋体" w:cs="Arial"/>
          <w:sz w:val="24"/>
        </w:rPr>
      </w:pPr>
      <w:r>
        <w:rPr>
          <w:rFonts w:ascii="宋体" w:hAnsi="宋体" w:cs="Arial" w:hint="eastAsia"/>
          <w:sz w:val="24"/>
          <w:lang w:bidi="ar"/>
        </w:rPr>
        <w:t>（4）由于基金管理人提供的信息错误（包括但不限于基金申购或赎回对价等），进而导致基金份额净值计算错误而引起的基金份额持有人和基金财产的损失，由基金管理人负责赔付。</w:t>
      </w:r>
    </w:p>
    <w:p w14:paraId="552FFA41" w14:textId="77777777" w:rsidR="00026C1A" w:rsidRDefault="000E111F">
      <w:pPr>
        <w:ind w:firstLineChars="200" w:firstLine="480"/>
        <w:rPr>
          <w:rFonts w:ascii="宋体" w:hAnsi="宋体" w:cs="Arial"/>
          <w:sz w:val="24"/>
        </w:rPr>
      </w:pPr>
      <w:r>
        <w:rPr>
          <w:rFonts w:ascii="宋体" w:hAnsi="宋体" w:cs="Arial" w:hint="eastAsia"/>
          <w:sz w:val="24"/>
          <w:lang w:bidi="ar"/>
        </w:rPr>
        <w:t>3、由于不可抗力原因，或由于证券/期货交易所、登记结算公司、证券/期货经纪机构</w:t>
      </w:r>
      <w:r>
        <w:rPr>
          <w:rFonts w:ascii="宋体" w:hAnsi="宋体" w:cs="Arial" w:hint="eastAsia"/>
          <w:bCs/>
          <w:sz w:val="24"/>
          <w:lang w:bidi="ar"/>
        </w:rPr>
        <w:t>、指数编制机构、存款银行、第三方估值基准服务机构等第三方机构</w:t>
      </w:r>
      <w:r>
        <w:rPr>
          <w:rFonts w:ascii="宋体" w:hAnsi="宋体" w:cs="Arial" w:hint="eastAsia"/>
          <w:sz w:val="24"/>
          <w:lang w:bidi="ar"/>
        </w:rPr>
        <w:t>发送的数据错误、遗漏，有关会计制度、市场规则变化等非基金管理人与基金托管人原因，基金管理人和基金托管人虽然已经采取必要、适当、合理的措施进行检查，但未能发现该错误、遗漏或虽然发现但因前述原因无法及时更正的，由此造成的基金资产估值错误，基金管理人和基金托管人免除赔偿责任。但基金管理人、基金托管人应当积极采取必要的措施消除或减轻由此造成的影响。</w:t>
      </w:r>
    </w:p>
    <w:p w14:paraId="5969E5E2" w14:textId="77777777" w:rsidR="00026C1A" w:rsidRDefault="000E111F">
      <w:pPr>
        <w:ind w:firstLineChars="200" w:firstLine="480"/>
        <w:rPr>
          <w:rFonts w:ascii="宋体" w:hAnsi="宋体" w:cs="Arial"/>
          <w:sz w:val="24"/>
        </w:rPr>
      </w:pPr>
      <w:r>
        <w:rPr>
          <w:rFonts w:ascii="宋体" w:hAnsi="宋体" w:cs="Arial" w:hint="eastAsia"/>
          <w:sz w:val="24"/>
          <w:lang w:bidi="ar"/>
        </w:rPr>
        <w:t>4、基金管理人和基金托管人由于各自技术系统设置而产生的净值计算尾差，以基金管理人计算结果为准。</w:t>
      </w:r>
    </w:p>
    <w:p w14:paraId="02424221" w14:textId="30C50695" w:rsidR="00026C1A" w:rsidRDefault="000E111F">
      <w:pPr>
        <w:ind w:firstLineChars="200" w:firstLine="480"/>
        <w:rPr>
          <w:rFonts w:ascii="宋体" w:hAnsi="宋体" w:cs="Arial"/>
          <w:sz w:val="24"/>
        </w:rPr>
      </w:pPr>
      <w:r>
        <w:rPr>
          <w:rFonts w:ascii="宋体" w:hAnsi="宋体" w:cs="Arial" w:hint="eastAsia"/>
          <w:sz w:val="24"/>
          <w:lang w:bidi="ar"/>
        </w:rPr>
        <w:t>5、前述内容如法律法规或者监管机构另有规定的，从其规定。如果行业另有通行做法，双方当事人应本着平等和保护基金份额持有人利益的原则进行协商。</w:t>
      </w:r>
    </w:p>
    <w:p w14:paraId="0B4DFF18" w14:textId="77777777" w:rsidR="00026C1A" w:rsidRDefault="000E111F">
      <w:pPr>
        <w:ind w:firstLineChars="200" w:firstLine="480"/>
        <w:rPr>
          <w:rFonts w:ascii="宋体" w:hAnsi="宋体" w:cs="Arial"/>
          <w:sz w:val="24"/>
        </w:rPr>
      </w:pPr>
      <w:r>
        <w:rPr>
          <w:rFonts w:ascii="宋体" w:hAnsi="宋体" w:cs="Arial" w:hint="eastAsia"/>
          <w:sz w:val="24"/>
          <w:lang w:bidi="ar"/>
        </w:rPr>
        <w:t>（四）暂停估值的情形</w:t>
      </w:r>
    </w:p>
    <w:p w14:paraId="346A14B8" w14:textId="77777777" w:rsidR="00026C1A" w:rsidRDefault="000E111F">
      <w:pPr>
        <w:ind w:firstLineChars="200" w:firstLine="480"/>
        <w:rPr>
          <w:rFonts w:ascii="宋体" w:hAnsi="宋体" w:cs="Arial"/>
          <w:sz w:val="24"/>
        </w:rPr>
      </w:pPr>
      <w:r>
        <w:rPr>
          <w:rFonts w:ascii="宋体" w:hAnsi="宋体" w:cs="Arial" w:hint="eastAsia"/>
          <w:sz w:val="24"/>
          <w:lang w:bidi="ar"/>
        </w:rPr>
        <w:t>1、基金投资所涉及的证券、期货交易市场遇法定节假日或因其他原因暂停营业时；</w:t>
      </w:r>
    </w:p>
    <w:p w14:paraId="6D18D2F8" w14:textId="77777777" w:rsidR="00026C1A" w:rsidRDefault="000E111F">
      <w:pPr>
        <w:ind w:firstLineChars="200" w:firstLine="480"/>
        <w:rPr>
          <w:rFonts w:ascii="宋体" w:hAnsi="宋体" w:cs="Arial"/>
          <w:sz w:val="24"/>
        </w:rPr>
      </w:pPr>
      <w:r>
        <w:rPr>
          <w:rFonts w:ascii="宋体" w:hAnsi="宋体" w:cs="Arial" w:hint="eastAsia"/>
          <w:sz w:val="24"/>
          <w:lang w:bidi="ar"/>
        </w:rPr>
        <w:t>2、因不可抗力</w:t>
      </w:r>
      <w:r>
        <w:rPr>
          <w:rFonts w:ascii="宋体" w:hAnsi="宋体" w:cs="Arial" w:hint="eastAsia"/>
          <w:bCs/>
          <w:sz w:val="24"/>
          <w:lang w:bidi="ar"/>
        </w:rPr>
        <w:t>或其他情形</w:t>
      </w:r>
      <w:r>
        <w:rPr>
          <w:rFonts w:ascii="宋体" w:hAnsi="宋体" w:cs="Arial" w:hint="eastAsia"/>
          <w:sz w:val="24"/>
          <w:lang w:bidi="ar"/>
        </w:rPr>
        <w:t>致使基金管理人、基金托管人无法准确评估基金资产价值时；</w:t>
      </w:r>
    </w:p>
    <w:p w14:paraId="340C3EA1" w14:textId="77777777" w:rsidR="00026C1A" w:rsidRDefault="000E111F">
      <w:pPr>
        <w:ind w:firstLineChars="200" w:firstLine="480"/>
        <w:rPr>
          <w:rFonts w:ascii="宋体" w:hAnsi="宋体" w:cs="Arial"/>
          <w:sz w:val="24"/>
        </w:rPr>
      </w:pPr>
      <w:r>
        <w:rPr>
          <w:rFonts w:ascii="宋体" w:hAnsi="宋体" w:cs="Arial" w:hint="eastAsia"/>
          <w:sz w:val="24"/>
          <w:lang w:bidi="ar"/>
        </w:rPr>
        <w:t>3、</w:t>
      </w:r>
      <w:r>
        <w:rPr>
          <w:rFonts w:ascii="宋体" w:hAnsi="宋体" w:cs="Arial" w:hint="eastAsia"/>
          <w:bCs/>
          <w:sz w:val="24"/>
          <w:lang w:bidi="ar"/>
        </w:rPr>
        <w:t>当前一估值日基金资产净值50%以上的资产出现无可参考的活跃市场价格且采用估值技术仍导致公允价值存在重大不确定性时，经与基金托管人协商确认后，基金管理人应当暂停估值；</w:t>
      </w:r>
    </w:p>
    <w:p w14:paraId="4C33401A" w14:textId="77777777" w:rsidR="00026C1A" w:rsidRDefault="000E111F">
      <w:pPr>
        <w:ind w:firstLineChars="200" w:firstLine="480"/>
        <w:rPr>
          <w:rFonts w:ascii="宋体" w:hAnsi="宋体" w:cs="Arial"/>
          <w:sz w:val="24"/>
        </w:rPr>
      </w:pPr>
      <w:r>
        <w:rPr>
          <w:rFonts w:ascii="宋体" w:hAnsi="宋体" w:cs="Arial" w:hint="eastAsia"/>
          <w:sz w:val="24"/>
          <w:lang w:bidi="ar"/>
        </w:rPr>
        <w:lastRenderedPageBreak/>
        <w:t>4、法律法规、中国证监会和基金合同认定的其它情形。</w:t>
      </w:r>
    </w:p>
    <w:p w14:paraId="498B9A38" w14:textId="77777777" w:rsidR="00026C1A" w:rsidRDefault="000E111F">
      <w:pPr>
        <w:ind w:firstLineChars="200" w:firstLine="480"/>
        <w:rPr>
          <w:rFonts w:ascii="宋体" w:hAnsi="宋体" w:cs="Arial"/>
          <w:sz w:val="24"/>
        </w:rPr>
      </w:pPr>
      <w:r>
        <w:rPr>
          <w:rFonts w:ascii="宋体" w:hAnsi="宋体" w:cs="Arial" w:hint="eastAsia"/>
          <w:sz w:val="24"/>
          <w:lang w:bidi="ar"/>
        </w:rPr>
        <w:t>（五）基金会计制度</w:t>
      </w:r>
    </w:p>
    <w:p w14:paraId="5F27BB3D" w14:textId="77777777" w:rsidR="00026C1A" w:rsidRDefault="000E111F">
      <w:pPr>
        <w:ind w:firstLineChars="200" w:firstLine="480"/>
        <w:rPr>
          <w:rFonts w:ascii="宋体" w:hAnsi="宋体" w:cs="Arial"/>
          <w:sz w:val="24"/>
        </w:rPr>
      </w:pPr>
      <w:r>
        <w:rPr>
          <w:rFonts w:ascii="宋体" w:hAnsi="宋体" w:cs="Arial" w:hint="eastAsia"/>
          <w:sz w:val="24"/>
          <w:lang w:bidi="ar"/>
        </w:rPr>
        <w:t>按国家有关部门规定的会计制度执行。</w:t>
      </w:r>
    </w:p>
    <w:p w14:paraId="6A7F250C" w14:textId="77777777" w:rsidR="00026C1A" w:rsidRDefault="000E111F">
      <w:pPr>
        <w:ind w:firstLineChars="200" w:firstLine="480"/>
        <w:rPr>
          <w:rFonts w:ascii="宋体" w:hAnsi="宋体" w:cs="Arial"/>
          <w:sz w:val="24"/>
        </w:rPr>
      </w:pPr>
      <w:r>
        <w:rPr>
          <w:rFonts w:ascii="宋体" w:hAnsi="宋体" w:cs="Arial" w:hint="eastAsia"/>
          <w:sz w:val="24"/>
          <w:lang w:bidi="ar"/>
        </w:rPr>
        <w:t>（六）基金账册的建立</w:t>
      </w:r>
    </w:p>
    <w:p w14:paraId="7E740804" w14:textId="77777777" w:rsidR="00026C1A" w:rsidRDefault="000E111F">
      <w:pPr>
        <w:ind w:firstLineChars="200" w:firstLine="480"/>
        <w:rPr>
          <w:rFonts w:ascii="宋体" w:hAnsi="宋体" w:cs="Arial"/>
          <w:sz w:val="24"/>
        </w:rPr>
      </w:pPr>
      <w:r>
        <w:rPr>
          <w:rFonts w:ascii="宋体" w:hAnsi="宋体" w:cs="Arial" w:hint="eastAsia"/>
          <w:sz w:val="24"/>
          <w:lang w:bidi="ar"/>
        </w:rPr>
        <w:t>基金管理人进行基金会计核算并编制基金财务会计报告。基金管理人、基金托管人分别独立地设置、记录和保管本基金的全套账册。若基金管理人和基金托管人对会计处理方法存在分歧，应以基金管理人的处理方法为准。若当日核对不符，暂时无法查找到错账的原因而影响到基金净值信息的计算和公告的，以基金管理人的账册为准。</w:t>
      </w:r>
    </w:p>
    <w:p w14:paraId="28DCE0A5" w14:textId="77777777" w:rsidR="00026C1A" w:rsidRDefault="000E111F">
      <w:pPr>
        <w:ind w:firstLineChars="200" w:firstLine="480"/>
        <w:rPr>
          <w:rFonts w:ascii="宋体" w:hAnsi="宋体" w:cs="Arial"/>
          <w:sz w:val="24"/>
        </w:rPr>
      </w:pPr>
      <w:r>
        <w:rPr>
          <w:rFonts w:ascii="宋体" w:hAnsi="宋体" w:cs="Arial" w:hint="eastAsia"/>
          <w:sz w:val="24"/>
          <w:lang w:bidi="ar"/>
        </w:rPr>
        <w:t>（七）基金财务报表与报告的编制和复核</w:t>
      </w:r>
    </w:p>
    <w:p w14:paraId="79F80F8F" w14:textId="77777777" w:rsidR="00026C1A" w:rsidRDefault="000E111F">
      <w:pPr>
        <w:ind w:firstLineChars="200" w:firstLine="480"/>
        <w:rPr>
          <w:rFonts w:ascii="宋体" w:hAnsi="宋体" w:cs="Arial"/>
          <w:sz w:val="24"/>
        </w:rPr>
      </w:pPr>
      <w:r>
        <w:rPr>
          <w:rFonts w:ascii="宋体" w:hAnsi="宋体" w:cs="Arial" w:hint="eastAsia"/>
          <w:sz w:val="24"/>
          <w:lang w:bidi="ar"/>
        </w:rPr>
        <w:t>1、财务报表的编制</w:t>
      </w:r>
    </w:p>
    <w:p w14:paraId="5C053065" w14:textId="77777777" w:rsidR="00026C1A" w:rsidRDefault="000E111F">
      <w:pPr>
        <w:ind w:firstLineChars="200" w:firstLine="480"/>
        <w:rPr>
          <w:rFonts w:ascii="宋体" w:hAnsi="宋体" w:cs="Arial"/>
          <w:sz w:val="24"/>
        </w:rPr>
      </w:pPr>
      <w:r>
        <w:rPr>
          <w:rFonts w:ascii="宋体" w:hAnsi="宋体" w:cs="Arial" w:hint="eastAsia"/>
          <w:sz w:val="24"/>
          <w:lang w:bidi="ar"/>
        </w:rPr>
        <w:t>基金财务报表由基金管理人编制，基金托管人复核。</w:t>
      </w:r>
    </w:p>
    <w:p w14:paraId="7D692F14" w14:textId="77777777" w:rsidR="00026C1A" w:rsidRDefault="000E111F">
      <w:pPr>
        <w:ind w:firstLineChars="200" w:firstLine="480"/>
        <w:rPr>
          <w:rFonts w:ascii="宋体" w:hAnsi="宋体" w:cs="Arial"/>
          <w:sz w:val="24"/>
        </w:rPr>
      </w:pPr>
      <w:r>
        <w:rPr>
          <w:rFonts w:ascii="宋体" w:hAnsi="宋体" w:cs="Arial" w:hint="eastAsia"/>
          <w:sz w:val="24"/>
          <w:lang w:bidi="ar"/>
        </w:rPr>
        <w:t>2、报表复核</w:t>
      </w:r>
    </w:p>
    <w:p w14:paraId="166474EA" w14:textId="77777777" w:rsidR="00026C1A" w:rsidRDefault="000E111F">
      <w:pPr>
        <w:ind w:firstLineChars="200" w:firstLine="480"/>
        <w:rPr>
          <w:rFonts w:ascii="宋体" w:hAnsi="宋体" w:cs="Arial"/>
          <w:sz w:val="24"/>
        </w:rPr>
      </w:pPr>
      <w:r>
        <w:rPr>
          <w:rFonts w:ascii="宋体" w:hAnsi="宋体" w:cs="Arial" w:hint="eastAsia"/>
          <w:sz w:val="24"/>
          <w:lang w:bidi="ar"/>
        </w:rPr>
        <w:t>基金托管人在收到基金管理人编制的基金财务报表后，进行独立的复核。核对不符时，应及时通知基金管理人共同查出原因，进行调整，直至双方数据完全一致。</w:t>
      </w:r>
    </w:p>
    <w:p w14:paraId="58183763" w14:textId="77777777" w:rsidR="00026C1A" w:rsidRDefault="000E111F">
      <w:pPr>
        <w:ind w:firstLineChars="200" w:firstLine="480"/>
        <w:rPr>
          <w:rFonts w:ascii="宋体" w:hAnsi="宋体" w:cs="Arial"/>
          <w:sz w:val="24"/>
        </w:rPr>
      </w:pPr>
      <w:r>
        <w:rPr>
          <w:rFonts w:ascii="宋体" w:hAnsi="宋体" w:cs="Arial" w:hint="eastAsia"/>
          <w:sz w:val="24"/>
          <w:lang w:bidi="ar"/>
        </w:rPr>
        <w:t>3、财务报表的编制与复核时间安排</w:t>
      </w:r>
    </w:p>
    <w:p w14:paraId="1314B392" w14:textId="77777777" w:rsidR="00026C1A" w:rsidRDefault="000E111F">
      <w:pPr>
        <w:ind w:firstLineChars="200" w:firstLine="480"/>
        <w:rPr>
          <w:rFonts w:ascii="宋体" w:hAnsi="宋体" w:cs="Arial"/>
          <w:sz w:val="24"/>
        </w:rPr>
      </w:pPr>
      <w:r>
        <w:rPr>
          <w:rFonts w:ascii="宋体" w:hAnsi="宋体" w:cs="Arial" w:hint="eastAsia"/>
          <w:sz w:val="24"/>
          <w:lang w:bidi="ar"/>
        </w:rPr>
        <w:t>（1）报表的编制</w:t>
      </w:r>
    </w:p>
    <w:p w14:paraId="1331500D" w14:textId="77777777" w:rsidR="00026C1A" w:rsidRDefault="000E111F">
      <w:pPr>
        <w:ind w:firstLineChars="200" w:firstLine="480"/>
        <w:rPr>
          <w:rFonts w:ascii="宋体" w:hAnsi="宋体" w:cs="Arial"/>
          <w:sz w:val="24"/>
        </w:rPr>
      </w:pPr>
      <w:r>
        <w:rPr>
          <w:rFonts w:ascii="宋体" w:hAnsi="宋体" w:cs="Arial" w:hint="eastAsia"/>
          <w:sz w:val="24"/>
          <w:lang w:bidi="ar"/>
        </w:rPr>
        <w:t>基金管理人应当在每月结束后5个工作日内完成月度报表的编制；在每个季度结束之日起15个工作日内完成基金季度报告的编制；在上半年结束之日起两个月内完成基金中期报告的编制；在每年结束之日起三个月内完成基金年度报告的编制。基金年度报告中的财务会计报告应当经过符合《中华人民共和国证券法》规定的会计师事务所审计。《基金合同》生效不足两个月的，基金管理人可以不编制当期季度报告、中期报告或者年度报告。</w:t>
      </w:r>
    </w:p>
    <w:p w14:paraId="12A38052" w14:textId="77777777" w:rsidR="00026C1A" w:rsidRDefault="000E111F">
      <w:pPr>
        <w:ind w:firstLineChars="200" w:firstLine="480"/>
        <w:rPr>
          <w:rFonts w:ascii="宋体" w:hAnsi="宋体" w:cs="Arial"/>
          <w:sz w:val="24"/>
        </w:rPr>
      </w:pPr>
      <w:r>
        <w:rPr>
          <w:rFonts w:ascii="宋体" w:hAnsi="宋体" w:cs="Arial" w:hint="eastAsia"/>
          <w:sz w:val="24"/>
        </w:rPr>
        <w:t>（2）报表的复核</w:t>
      </w:r>
    </w:p>
    <w:p w14:paraId="5A5F7817" w14:textId="77777777" w:rsidR="00026C1A" w:rsidRDefault="000E111F">
      <w:pPr>
        <w:ind w:firstLineChars="200" w:firstLine="480"/>
        <w:rPr>
          <w:rFonts w:ascii="宋体" w:hAnsi="宋体" w:cs="Arial"/>
          <w:sz w:val="24"/>
        </w:rPr>
      </w:pPr>
      <w:r>
        <w:rPr>
          <w:rFonts w:ascii="宋体" w:hAnsi="宋体" w:cs="Arial" w:hint="eastAsia"/>
          <w:sz w:val="24"/>
        </w:rPr>
        <w:t>基金管理人应及时完成报表编制，将有关报表提供基金托管人复核；基金托管人在复核过程中，发现双方的报表存在不符时，基金管理人和基金托管人应共同查明原因，进行调整，调整以国家有关规定为准。</w:t>
      </w:r>
    </w:p>
    <w:p w14:paraId="4EFA83D5" w14:textId="77777777" w:rsidR="00026C1A" w:rsidRDefault="000E111F">
      <w:pPr>
        <w:pStyle w:val="a0"/>
        <w:adjustRightInd w:val="0"/>
        <w:snapToGrid w:val="0"/>
        <w:ind w:firstLine="480"/>
        <w:rPr>
          <w:rFonts w:ascii="宋体" w:hAnsi="宋体" w:cs="Arial"/>
          <w:sz w:val="24"/>
        </w:rPr>
      </w:pPr>
      <w:r>
        <w:rPr>
          <w:rFonts w:ascii="宋体" w:hAnsi="宋体" w:cs="Arial" w:hint="eastAsia"/>
          <w:sz w:val="24"/>
        </w:rPr>
        <w:t>基金管理人应留足充分的时间，便于基金托管人复核相关报表及报告。</w:t>
      </w:r>
      <w:r>
        <w:rPr>
          <w:rFonts w:asciiTheme="minorEastAsia" w:eastAsiaTheme="minorEastAsia" w:hAnsiTheme="minorEastAsia" w:cs="Arial" w:hint="eastAsia"/>
          <w:sz w:val="24"/>
        </w:rPr>
        <w:t>如果基金管理人与基金托管人不能于应当发布公告之日之前就相关报表达成一致，基金管理人按照其编制的报表对外发布公告，基金托管人有权就相关情况报中国证监会备案。</w:t>
      </w:r>
    </w:p>
    <w:p w14:paraId="20AF1E94" w14:textId="77777777" w:rsidR="00026C1A" w:rsidRDefault="000E111F">
      <w:pPr>
        <w:ind w:firstLineChars="200" w:firstLine="480"/>
        <w:rPr>
          <w:rFonts w:ascii="宋体" w:hAnsi="宋体" w:cs="Arial"/>
          <w:sz w:val="24"/>
        </w:rPr>
      </w:pPr>
      <w:r>
        <w:rPr>
          <w:rFonts w:ascii="宋体" w:hAnsi="宋体" w:cs="Arial" w:hint="eastAsia"/>
          <w:sz w:val="24"/>
        </w:rPr>
        <w:t>（八）基金管理人应在编制季度报告、中期报告或者年度报告之前及时向基金托管人提供基金业绩比较基准的基础数据和编制结果。</w:t>
      </w:r>
    </w:p>
    <w:bookmarkEnd w:id="92"/>
    <w:p w14:paraId="54F0A023" w14:textId="77777777" w:rsidR="00026C1A" w:rsidRDefault="00026C1A">
      <w:pPr>
        <w:pStyle w:val="a0"/>
        <w:widowControl/>
        <w:adjustRightInd w:val="0"/>
        <w:snapToGrid w:val="0"/>
        <w:ind w:firstLineChars="0" w:firstLine="0"/>
        <w:rPr>
          <w:rFonts w:ascii="宋体" w:hAnsi="宋体" w:cs="Arial"/>
          <w:sz w:val="24"/>
        </w:rPr>
      </w:pPr>
    </w:p>
    <w:p w14:paraId="101273FF" w14:textId="77777777" w:rsidR="00026C1A" w:rsidRDefault="000E111F">
      <w:pPr>
        <w:pStyle w:val="1"/>
        <w:jc w:val="center"/>
        <w:rPr>
          <w:rFonts w:ascii="宋体" w:hAnsi="宋体" w:cs="宋体"/>
          <w:sz w:val="30"/>
        </w:rPr>
      </w:pPr>
      <w:bookmarkStart w:id="93" w:name="_Toc111186473"/>
      <w:bookmarkStart w:id="94" w:name="_Hlk91438961"/>
      <w:r>
        <w:rPr>
          <w:rFonts w:ascii="宋体" w:hAnsi="宋体" w:cs="宋体" w:hint="eastAsia"/>
          <w:sz w:val="30"/>
        </w:rPr>
        <w:t>九、基金收益分配</w:t>
      </w:r>
      <w:bookmarkEnd w:id="93"/>
    </w:p>
    <w:p w14:paraId="77AC0989"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基金收益分配是指按规定将基金的可分配收益按基金份额进行比例分配。</w:t>
      </w:r>
    </w:p>
    <w:p w14:paraId="794202BB"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（一）基金收益分配的原则</w:t>
      </w:r>
    </w:p>
    <w:p w14:paraId="3904BC56"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基金收益分配应遵循下列原则：</w:t>
      </w:r>
    </w:p>
    <w:p w14:paraId="7FEBC91A"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1、在符合有关基金分红条件的前提下，本基金管理人可以根据实际情况进行收益分配，具体分配方案以公告为准。若《基金合同》生效不满 3 个月可不</w:t>
      </w:r>
      <w:r>
        <w:rPr>
          <w:rFonts w:ascii="宋体" w:hAnsi="宋体" w:cs="Arial" w:hint="eastAsia"/>
          <w:sz w:val="24"/>
          <w:lang w:bidi="ar"/>
        </w:rPr>
        <w:lastRenderedPageBreak/>
        <w:t>进行收益分配；</w:t>
      </w:r>
    </w:p>
    <w:p w14:paraId="69E7625C"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2、本基金收益分配采取现金分红方式；</w:t>
      </w:r>
    </w:p>
    <w:p w14:paraId="5B40AE99"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3、本基金在基金收益评价日核定的基金份额净值增长率超过标的指数同期增长率时，可进行收益分配。在收益评价日，基金管理人对基金份额净值增长率和标的指数同期增长率进行计算，计算方法详见《招募说明书》；</w:t>
      </w:r>
    </w:p>
    <w:p w14:paraId="2ECBDE85"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4、本基金可每个月对基金相对业绩比较基准的超额收益率以及基金的可供分配利润进行评价，在符合基金收益分配条件下，可安排收益分配。评估时间、分配时间、分配方案及每次基金收益分配数额等内容，基金管理人可以根据实际情况确定并按照有关规定公告；</w:t>
      </w:r>
    </w:p>
    <w:p w14:paraId="72DC55D7"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5、本基金以使收益分配后基金份额净值增长率尽可能贴近标的指数同期增长率为原则进行收益分配。基于本基金的性质和特点，本基金收益分配不须以弥补浮动亏损为前提，收益分配后有可能使除息后的基金份额净值低于面值；</w:t>
      </w:r>
    </w:p>
    <w:p w14:paraId="53E1CD22"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6、每一基金份额享有同等分配权；</w:t>
      </w:r>
    </w:p>
    <w:p w14:paraId="46CDBBAA"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7、法律法规或监管机关、登记机构、深圳证券交易所另有规定的，从其规定。</w:t>
      </w:r>
    </w:p>
    <w:p w14:paraId="1B27034C"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在不违反法律法规且对基金份额持有人利益无实质性不利影响的前提下，基金管理人在与基金托管人协商一致并履行适当程序后，可酌情调整以上基金收益分配原则和支付方式，并于变更实施日前按照《信息披露办法》的规定在规定媒介上公告。</w:t>
      </w:r>
    </w:p>
    <w:p w14:paraId="56C4877C"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（二）基金收益分配的时间和程序</w:t>
      </w:r>
    </w:p>
    <w:p w14:paraId="1BC5C923"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本基金收益分配方案由基金管理人拟定，并由基金托管人复核，基金管理人依照《信息披露办法》的有关规定在规定媒介公告。基金收益分配方案公告后（依据具体方案的规定），基金管理人就支付的现金红利向基金托管人发送划款指令，基金托管人按照基金管理人的指令及时进行分红资金的划付。</w:t>
      </w:r>
    </w:p>
    <w:p w14:paraId="46EE7D33" w14:textId="77777777" w:rsidR="00026C1A" w:rsidRDefault="000E111F">
      <w:pPr>
        <w:ind w:firstLineChars="200" w:firstLine="480"/>
        <w:rPr>
          <w:rFonts w:ascii="宋体" w:hAnsi="宋体" w:cs="Arial"/>
          <w:sz w:val="24"/>
        </w:rPr>
      </w:pPr>
      <w:r>
        <w:rPr>
          <w:rFonts w:ascii="宋体" w:hAnsi="宋体" w:cs="Arial" w:hint="eastAsia"/>
          <w:sz w:val="24"/>
          <w:lang w:bidi="ar"/>
        </w:rPr>
        <w:t>基金收益分配时所发生的银行转账或其他手续费用由投资人自行承担。</w:t>
      </w:r>
    </w:p>
    <w:bookmarkEnd w:id="94"/>
    <w:p w14:paraId="292C6A0F" w14:textId="77777777" w:rsidR="00026C1A" w:rsidRDefault="00026C1A">
      <w:pPr>
        <w:adjustRightInd w:val="0"/>
        <w:snapToGrid w:val="0"/>
        <w:rPr>
          <w:rFonts w:ascii="宋体" w:hAnsi="宋体" w:cs="Arial"/>
          <w:sz w:val="24"/>
        </w:rPr>
      </w:pPr>
    </w:p>
    <w:p w14:paraId="49EE0EA1" w14:textId="77777777" w:rsidR="00026C1A" w:rsidRDefault="000E111F">
      <w:pPr>
        <w:pStyle w:val="1"/>
        <w:jc w:val="center"/>
        <w:rPr>
          <w:rFonts w:ascii="宋体" w:hAnsi="宋体" w:cs="宋体"/>
          <w:sz w:val="30"/>
        </w:rPr>
      </w:pPr>
      <w:bookmarkStart w:id="95" w:name="_Toc111186474"/>
      <w:r>
        <w:rPr>
          <w:rFonts w:ascii="宋体" w:hAnsi="宋体" w:cs="宋体" w:hint="eastAsia"/>
          <w:sz w:val="30"/>
        </w:rPr>
        <w:t>十、基金信息披露</w:t>
      </w:r>
      <w:bookmarkEnd w:id="95"/>
    </w:p>
    <w:p w14:paraId="7A94F8F6" w14:textId="77777777" w:rsidR="00026C1A" w:rsidRDefault="000E111F">
      <w:pPr>
        <w:rPr>
          <w:rFonts w:ascii="宋体" w:hAnsi="宋体" w:cs="Arial"/>
          <w:sz w:val="24"/>
        </w:rPr>
      </w:pPr>
      <w:r>
        <w:rPr>
          <w:rFonts w:ascii="宋体" w:hAnsi="宋体" w:cs="Arial" w:hint="eastAsia"/>
          <w:sz w:val="24"/>
          <w:lang w:bidi="ar"/>
        </w:rPr>
        <w:t>（一）保密义务</w:t>
      </w:r>
    </w:p>
    <w:p w14:paraId="0A181944" w14:textId="77777777" w:rsidR="00026C1A" w:rsidRDefault="000E111F">
      <w:pPr>
        <w:ind w:firstLineChars="200" w:firstLine="480"/>
        <w:rPr>
          <w:rFonts w:ascii="宋体" w:hAnsi="宋体" w:cs="Arial"/>
          <w:sz w:val="24"/>
        </w:rPr>
      </w:pPr>
      <w:r>
        <w:rPr>
          <w:rFonts w:ascii="宋体" w:hAnsi="宋体" w:cs="Arial" w:hint="eastAsia"/>
          <w:sz w:val="24"/>
          <w:lang w:bidi="ar"/>
        </w:rPr>
        <w:t>基金托管人和基金管理人应按法律法规、《基金合同》的有关规定进行信息披露，拟公开披露的信息在公开披露之前应予保密。除按《基金法》、《运作办法》、《基金合同》、《信息披露办法》、《流动性风险管理规定》及其他有关规定进行信息披露外，基金管理人和基金托管人对基金运作中产生的信息以及从对方获得的业务信息应予保密。但是，如下情况不应视为基金管理人或基金托管人违反保密义务：</w:t>
      </w:r>
    </w:p>
    <w:p w14:paraId="6CDCFB18" w14:textId="77777777" w:rsidR="00026C1A" w:rsidRDefault="000E111F">
      <w:pPr>
        <w:ind w:firstLineChars="200" w:firstLine="480"/>
        <w:rPr>
          <w:rFonts w:ascii="宋体" w:hAnsi="宋体" w:cs="Arial"/>
          <w:sz w:val="24"/>
        </w:rPr>
      </w:pPr>
      <w:r>
        <w:rPr>
          <w:rFonts w:ascii="宋体" w:hAnsi="宋体" w:cs="Arial" w:hint="eastAsia"/>
          <w:sz w:val="24"/>
          <w:lang w:bidi="ar"/>
        </w:rPr>
        <w:t>1.非因基金管理人和基金托管人的原因导致保密信息被披露、泄露或公开；</w:t>
      </w:r>
    </w:p>
    <w:p w14:paraId="2F3278B5" w14:textId="77777777" w:rsidR="00026C1A" w:rsidRDefault="000E111F">
      <w:pPr>
        <w:ind w:firstLineChars="200" w:firstLine="480"/>
        <w:rPr>
          <w:rFonts w:ascii="宋体" w:hAnsi="宋体" w:cs="Arial"/>
          <w:sz w:val="24"/>
        </w:rPr>
      </w:pPr>
      <w:r>
        <w:rPr>
          <w:rFonts w:ascii="宋体" w:hAnsi="宋体" w:cs="Arial" w:hint="eastAsia"/>
          <w:sz w:val="24"/>
          <w:lang w:bidi="ar"/>
        </w:rPr>
        <w:t>2.基金管理人和基金托管人为遵守和服从法院判决或裁定、仲裁裁决或中国证监会等监管机构的命令、决定所做出的信息披露或公开。</w:t>
      </w:r>
    </w:p>
    <w:p w14:paraId="5AFFCE74" w14:textId="77777777" w:rsidR="00026C1A" w:rsidRDefault="000E111F">
      <w:pPr>
        <w:rPr>
          <w:rFonts w:ascii="宋体" w:hAnsi="宋体" w:cs="Arial"/>
          <w:sz w:val="24"/>
        </w:rPr>
      </w:pPr>
      <w:r>
        <w:rPr>
          <w:rFonts w:ascii="宋体" w:hAnsi="宋体" w:cs="Arial" w:hint="eastAsia"/>
          <w:sz w:val="24"/>
          <w:lang w:bidi="ar"/>
        </w:rPr>
        <w:t>（二）信息披露的内容</w:t>
      </w:r>
    </w:p>
    <w:p w14:paraId="4F7C8AF6" w14:textId="154DDE76" w:rsidR="00026C1A" w:rsidRDefault="000E111F">
      <w:pPr>
        <w:ind w:firstLineChars="200" w:firstLine="480"/>
        <w:rPr>
          <w:rFonts w:ascii="宋体" w:hAnsi="宋体" w:cs="Arial"/>
          <w:sz w:val="24"/>
        </w:rPr>
      </w:pPr>
      <w:r>
        <w:rPr>
          <w:rFonts w:ascii="宋体" w:hAnsi="宋体" w:cs="Arial" w:hint="eastAsia"/>
          <w:sz w:val="24"/>
          <w:lang w:bidi="ar"/>
        </w:rPr>
        <w:t>基金的信息披露内容主要包括基金招募说明书、《基金合同》、托管协议、基金产品资料概要、基金份额发售公告、基金合同生效公告、基金净值信息、</w:t>
      </w:r>
      <w:r>
        <w:rPr>
          <w:rFonts w:ascii="宋体" w:hAnsi="宋体" w:cs="宋体" w:hint="eastAsia"/>
          <w:sz w:val="24"/>
          <w:lang w:bidi="ar"/>
        </w:rPr>
        <w:t>基金份额上市交易公告书及其提示性公告、基金份额申购、赎回对价公告、申购赎回</w:t>
      </w:r>
      <w:r>
        <w:rPr>
          <w:rFonts w:ascii="宋体" w:hAnsi="宋体" w:cs="宋体" w:hint="eastAsia"/>
          <w:sz w:val="24"/>
          <w:lang w:bidi="ar"/>
        </w:rPr>
        <w:lastRenderedPageBreak/>
        <w:t>清单、基金定期报告（包括基金年度报告、基金中期报告、基金季度报告）、基金份额折算日和折算结果公告、临时报告、澄清公告、基金份额持有人大会决议、清算报告、</w:t>
      </w:r>
      <w:r>
        <w:rPr>
          <w:rFonts w:ascii="宋体" w:hAnsi="宋体" w:cs="宋体" w:hint="eastAsia"/>
          <w:bCs/>
          <w:sz w:val="24"/>
          <w:lang w:bidi="ar"/>
        </w:rPr>
        <w:t>投资股指期货相关公告、投资国债期货相关公告、投资资产支持证券相关公告、投资股票期权相关公告、参与融资、转融通证券出借业务的信息披露、投资非公开发行股票的相关公告</w:t>
      </w:r>
      <w:r>
        <w:rPr>
          <w:rFonts w:ascii="宋体" w:hAnsi="宋体" w:cs="Arial" w:hint="eastAsia"/>
          <w:sz w:val="24"/>
          <w:lang w:bidi="ar"/>
        </w:rPr>
        <w:t>及中国证监会规定的其他信息。基金年度报告中的财务会计报告需经符合《中华人民共和国证券法》规定的会计师事务所审计后，方可披露。</w:t>
      </w:r>
    </w:p>
    <w:p w14:paraId="47ACBD00" w14:textId="77777777" w:rsidR="00026C1A" w:rsidRDefault="000E111F">
      <w:pPr>
        <w:rPr>
          <w:rFonts w:ascii="宋体" w:hAnsi="宋体" w:cs="Arial"/>
          <w:sz w:val="24"/>
        </w:rPr>
      </w:pPr>
      <w:r>
        <w:rPr>
          <w:rFonts w:ascii="宋体" w:hAnsi="宋体" w:cs="Arial" w:hint="eastAsia"/>
          <w:sz w:val="24"/>
          <w:lang w:bidi="ar"/>
        </w:rPr>
        <w:t>（三）基金托管人和基金管理人在信息披露中的职责和信息披露程序</w:t>
      </w:r>
    </w:p>
    <w:p w14:paraId="338F87D5" w14:textId="77777777" w:rsidR="00026C1A" w:rsidRDefault="000E111F">
      <w:pPr>
        <w:rPr>
          <w:rFonts w:ascii="宋体" w:hAnsi="宋体" w:cs="Arial"/>
          <w:sz w:val="24"/>
        </w:rPr>
      </w:pPr>
      <w:r>
        <w:rPr>
          <w:rFonts w:ascii="宋体" w:hAnsi="宋体" w:cs="Arial" w:hint="eastAsia"/>
          <w:sz w:val="24"/>
          <w:lang w:bidi="ar"/>
        </w:rPr>
        <w:t>1.职责</w:t>
      </w:r>
    </w:p>
    <w:p w14:paraId="6026C71D" w14:textId="77777777" w:rsidR="00026C1A" w:rsidRDefault="000E111F">
      <w:pPr>
        <w:ind w:firstLineChars="200" w:firstLine="480"/>
        <w:rPr>
          <w:rFonts w:ascii="宋体" w:hAnsi="宋体" w:cs="Arial"/>
          <w:sz w:val="24"/>
        </w:rPr>
      </w:pPr>
      <w:r>
        <w:rPr>
          <w:rFonts w:ascii="宋体" w:hAnsi="宋体" w:cs="Arial" w:hint="eastAsia"/>
          <w:sz w:val="24"/>
          <w:lang w:bidi="ar"/>
        </w:rPr>
        <w:t>基金托管人和基金管理人在信息披露过程中应以保护基金份额持有人利益为宗旨，诚实信用，严守秘密。基金管理人负责办理与基金有关的信息披露事宜，基金托管人应当按照相关法律法规和《基金合同》的约定，对于上一款规定的应由基金托管人复核的事项进行复核，基金托管人复核无误后，由基金管理人予以公布。基金管理人在信息披露时，应说明基金托管人所复核的数据和信息。对于基金托管人复核结果与管理人无法达成一致的，基金管理人应按照有关法律法规进行信息披露。</w:t>
      </w:r>
    </w:p>
    <w:p w14:paraId="0515FEAA" w14:textId="77777777" w:rsidR="00026C1A" w:rsidRDefault="000E111F">
      <w:pPr>
        <w:ind w:firstLineChars="200" w:firstLine="480"/>
        <w:rPr>
          <w:rFonts w:ascii="宋体" w:hAnsi="宋体" w:cs="Arial"/>
          <w:sz w:val="24"/>
        </w:rPr>
      </w:pPr>
      <w:r>
        <w:rPr>
          <w:rFonts w:ascii="宋体" w:hAnsi="宋体" w:cs="Arial" w:hint="eastAsia"/>
          <w:sz w:val="24"/>
          <w:lang w:bidi="ar"/>
        </w:rPr>
        <w:t>对于不需要基金托管人（或基金管理人）复核的信息，基金管理人（或基金托管人）在公告前应告知基金托管人（或基金管理人）。</w:t>
      </w:r>
    </w:p>
    <w:p w14:paraId="3A767028" w14:textId="77777777" w:rsidR="00026C1A" w:rsidRDefault="000E111F">
      <w:pPr>
        <w:ind w:firstLineChars="200" w:firstLine="480"/>
        <w:rPr>
          <w:rFonts w:ascii="宋体" w:hAnsi="宋体" w:cs="Arial"/>
          <w:sz w:val="24"/>
        </w:rPr>
      </w:pPr>
      <w:r>
        <w:rPr>
          <w:rFonts w:ascii="宋体" w:hAnsi="宋体" w:cs="Arial" w:hint="eastAsia"/>
          <w:sz w:val="24"/>
          <w:lang w:bidi="ar"/>
        </w:rPr>
        <w:t>基金管理人和基金托管人应积极配合、互相监督，保证其履行按照法定方式和限时披露的义务。</w:t>
      </w:r>
    </w:p>
    <w:p w14:paraId="2EEE7869" w14:textId="77777777" w:rsidR="00026C1A" w:rsidRDefault="000E111F">
      <w:pPr>
        <w:ind w:firstLineChars="200" w:firstLine="480"/>
        <w:rPr>
          <w:rFonts w:ascii="宋体" w:hAnsi="宋体" w:cs="Arial"/>
          <w:sz w:val="24"/>
        </w:rPr>
      </w:pPr>
      <w:r>
        <w:rPr>
          <w:rFonts w:ascii="宋体" w:hAnsi="宋体" w:cs="Arial" w:hint="eastAsia"/>
          <w:sz w:val="24"/>
          <w:lang w:bidi="ar"/>
        </w:rPr>
        <w:t>基金管理人应当在中国证监会规定的时间内，将应予披露的基金信息通过规定媒介披露。根据法律法规应由基金托管人公开披露的信息，基金托管人将通过规定媒介公开披露。</w:t>
      </w:r>
    </w:p>
    <w:p w14:paraId="20F59CB1" w14:textId="77777777" w:rsidR="00026C1A" w:rsidRDefault="000E111F">
      <w:pPr>
        <w:ind w:firstLineChars="200" w:firstLine="480"/>
        <w:rPr>
          <w:rFonts w:ascii="宋体" w:hAnsi="宋体" w:cs="Arial"/>
          <w:sz w:val="24"/>
        </w:rPr>
      </w:pPr>
      <w:r>
        <w:rPr>
          <w:rFonts w:ascii="宋体" w:hAnsi="宋体" w:cs="Arial" w:hint="eastAsia"/>
          <w:sz w:val="24"/>
          <w:lang w:bidi="ar"/>
        </w:rPr>
        <w:t>当出现下述情况时，基金管理人和基金托管人可暂停或延迟披露基金相关信息：</w:t>
      </w:r>
    </w:p>
    <w:p w14:paraId="6DC8EDD1" w14:textId="77777777" w:rsidR="00026C1A" w:rsidRDefault="000E111F">
      <w:pPr>
        <w:ind w:firstLineChars="200" w:firstLine="480"/>
        <w:rPr>
          <w:rFonts w:ascii="宋体" w:hAnsi="宋体" w:cs="Arial"/>
          <w:sz w:val="24"/>
          <w:lang w:bidi="ar"/>
        </w:rPr>
      </w:pPr>
      <w:r>
        <w:rPr>
          <w:rFonts w:ascii="宋体" w:hAnsi="宋体" w:cs="Arial" w:hint="eastAsia"/>
          <w:sz w:val="24"/>
          <w:lang w:bidi="ar"/>
        </w:rPr>
        <w:t>（1）基金投资所涉及的证券、期货交易市场遇法定节假日或因其他原因暂停营业时；</w:t>
      </w:r>
    </w:p>
    <w:p w14:paraId="3B21AA91" w14:textId="77777777" w:rsidR="00026C1A" w:rsidRDefault="000E111F">
      <w:pPr>
        <w:ind w:firstLineChars="200" w:firstLine="480"/>
        <w:rPr>
          <w:rFonts w:ascii="宋体" w:hAnsi="宋体" w:cs="Arial"/>
          <w:sz w:val="24"/>
          <w:lang w:bidi="ar"/>
        </w:rPr>
      </w:pPr>
      <w:r>
        <w:rPr>
          <w:rFonts w:ascii="宋体" w:hAnsi="宋体" w:cs="Arial" w:hint="eastAsia"/>
          <w:sz w:val="24"/>
          <w:lang w:bidi="ar"/>
        </w:rPr>
        <w:t>（2）不可抗力；</w:t>
      </w:r>
    </w:p>
    <w:p w14:paraId="09932D04" w14:textId="77777777" w:rsidR="00026C1A" w:rsidRDefault="000E111F">
      <w:pPr>
        <w:ind w:firstLineChars="200" w:firstLine="480"/>
        <w:rPr>
          <w:rFonts w:ascii="宋体" w:hAnsi="宋体" w:cs="Arial"/>
          <w:sz w:val="24"/>
          <w:lang w:bidi="ar"/>
        </w:rPr>
      </w:pPr>
      <w:r>
        <w:rPr>
          <w:rFonts w:ascii="宋体" w:hAnsi="宋体" w:cs="Arial" w:hint="eastAsia"/>
          <w:sz w:val="24"/>
          <w:lang w:bidi="ar"/>
        </w:rPr>
        <w:t>（3）发生暂停估值的情形；</w:t>
      </w:r>
    </w:p>
    <w:p w14:paraId="405CDADD" w14:textId="77777777" w:rsidR="00026C1A" w:rsidRDefault="000E111F">
      <w:pPr>
        <w:rPr>
          <w:rFonts w:ascii="宋体" w:hAnsi="宋体" w:cs="Arial"/>
          <w:sz w:val="24"/>
          <w:lang w:bidi="ar"/>
        </w:rPr>
      </w:pPr>
      <w:r>
        <w:rPr>
          <w:rFonts w:ascii="宋体" w:hAnsi="宋体" w:cs="Arial" w:hint="eastAsia"/>
          <w:sz w:val="24"/>
          <w:lang w:bidi="ar"/>
        </w:rPr>
        <w:t>（4）法律法规规定、中国证监会或基金合同认定的其他情形。</w:t>
      </w:r>
    </w:p>
    <w:p w14:paraId="12D83D92" w14:textId="77777777" w:rsidR="00026C1A" w:rsidRDefault="000E111F">
      <w:pPr>
        <w:rPr>
          <w:rFonts w:ascii="宋体" w:hAnsi="宋体" w:cs="Arial"/>
          <w:sz w:val="24"/>
        </w:rPr>
      </w:pPr>
      <w:r>
        <w:rPr>
          <w:rFonts w:ascii="宋体" w:hAnsi="宋体" w:cs="Arial" w:hint="eastAsia"/>
          <w:sz w:val="24"/>
          <w:lang w:bidi="ar"/>
        </w:rPr>
        <w:t>2.程序</w:t>
      </w:r>
    </w:p>
    <w:p w14:paraId="162388CA" w14:textId="77777777" w:rsidR="00026C1A" w:rsidRDefault="000E111F">
      <w:pPr>
        <w:ind w:firstLineChars="200" w:firstLine="480"/>
        <w:rPr>
          <w:rFonts w:ascii="宋体" w:hAnsi="宋体" w:cs="Arial"/>
          <w:sz w:val="24"/>
        </w:rPr>
      </w:pPr>
      <w:r>
        <w:rPr>
          <w:rFonts w:ascii="宋体" w:hAnsi="宋体" w:cs="Arial" w:hint="eastAsia"/>
          <w:sz w:val="24"/>
          <w:lang w:bidi="ar"/>
        </w:rPr>
        <w:t>按有关规定须经基金托管人复核的信息披露文件，由基金管理人起草、并经基金托管人复核后由基金管理人公告。发生《基金合同》中规定需要披露的事项时，按《基金合同》规定公布。</w:t>
      </w:r>
    </w:p>
    <w:p w14:paraId="72A86218" w14:textId="77777777" w:rsidR="00026C1A" w:rsidRDefault="000E111F">
      <w:pPr>
        <w:rPr>
          <w:rFonts w:ascii="宋体" w:hAnsi="宋体" w:cs="Arial"/>
          <w:sz w:val="24"/>
        </w:rPr>
      </w:pPr>
      <w:r>
        <w:rPr>
          <w:rFonts w:ascii="宋体" w:hAnsi="宋体" w:cs="Arial" w:hint="eastAsia"/>
          <w:sz w:val="24"/>
          <w:lang w:bidi="ar"/>
        </w:rPr>
        <w:t>3.信息文本的存放与查阅</w:t>
      </w:r>
    </w:p>
    <w:p w14:paraId="230D9945" w14:textId="675BFF59" w:rsidR="00026C1A" w:rsidRDefault="000E111F">
      <w:pPr>
        <w:ind w:firstLineChars="200" w:firstLine="480"/>
        <w:rPr>
          <w:rFonts w:ascii="宋体" w:hAnsi="宋体" w:cs="Arial"/>
          <w:sz w:val="24"/>
        </w:rPr>
      </w:pPr>
      <w:r>
        <w:rPr>
          <w:rFonts w:ascii="宋体" w:hAnsi="宋体" w:cs="Arial" w:hint="eastAsia"/>
          <w:sz w:val="24"/>
          <w:lang w:bidi="ar"/>
        </w:rPr>
        <w:t>依法必须披露的信息发布后，基金管理人、基金托管人应当按照相关法律法规规定将信息置备于各自住所、深圳证券交易所，供社会公众查阅、复制。基金管理人和基金托管人应保证文本的内容与所公告的内容完全一致。</w:t>
      </w:r>
    </w:p>
    <w:p w14:paraId="4C322C9B" w14:textId="77777777" w:rsidR="00026C1A" w:rsidRDefault="000E111F">
      <w:pPr>
        <w:pStyle w:val="a0"/>
        <w:ind w:firstLine="480"/>
        <w:rPr>
          <w:rFonts w:asciiTheme="minorEastAsia" w:eastAsiaTheme="minorEastAsia" w:hAnsiTheme="minorEastAsia" w:cs="Arial"/>
          <w:sz w:val="24"/>
        </w:rPr>
      </w:pPr>
      <w:r>
        <w:rPr>
          <w:rFonts w:asciiTheme="minorEastAsia" w:eastAsiaTheme="minorEastAsia" w:hAnsiTheme="minorEastAsia" w:cs="Arial" w:hint="eastAsia"/>
          <w:sz w:val="24"/>
        </w:rPr>
        <w:t>（四）法律法规或监管部门对适用于本基金的信息披露另有规定的，从其规定。如规定发生变化的，从其最新规定。</w:t>
      </w:r>
    </w:p>
    <w:p w14:paraId="6D5B48D0" w14:textId="77777777" w:rsidR="00026C1A" w:rsidRDefault="00026C1A">
      <w:pPr>
        <w:rPr>
          <w:rFonts w:ascii="宋体" w:hAnsi="宋体" w:cs="Arial"/>
          <w:sz w:val="24"/>
        </w:rPr>
      </w:pPr>
    </w:p>
    <w:p w14:paraId="56DCB3CC" w14:textId="77777777" w:rsidR="00026C1A" w:rsidRDefault="000E111F">
      <w:pPr>
        <w:pStyle w:val="1"/>
        <w:jc w:val="center"/>
        <w:rPr>
          <w:rFonts w:ascii="宋体" w:hAnsi="宋体" w:cs="宋体"/>
          <w:sz w:val="30"/>
        </w:rPr>
      </w:pPr>
      <w:bookmarkStart w:id="96" w:name="_Toc111186475"/>
      <w:r>
        <w:rPr>
          <w:rFonts w:ascii="宋体" w:hAnsi="宋体" w:cs="宋体" w:hint="eastAsia"/>
          <w:sz w:val="30"/>
        </w:rPr>
        <w:lastRenderedPageBreak/>
        <w:t>十一、基金费用</w:t>
      </w:r>
      <w:bookmarkEnd w:id="96"/>
    </w:p>
    <w:p w14:paraId="1CDEBC72"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（一）基金管理费的计提比例和计提方法</w:t>
      </w:r>
    </w:p>
    <w:p w14:paraId="624D0405"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本基金的管理费按前一日基金资产净值的0.50%年费率计提。管理费的计算方法如下：</w:t>
      </w:r>
    </w:p>
    <w:p w14:paraId="0B2C4A20"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H＝E×0.50%÷当年天数</w:t>
      </w:r>
    </w:p>
    <w:p w14:paraId="6A0B7160"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H为每日应计提的基金管理费</w:t>
      </w:r>
    </w:p>
    <w:p w14:paraId="1C430238"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E为前一日的基金资产净值</w:t>
      </w:r>
    </w:p>
    <w:p w14:paraId="00949B74"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（二）基金托管费的计提比例和计提方法</w:t>
      </w:r>
    </w:p>
    <w:p w14:paraId="0006EA77"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本基金的托管费按前一日基金资产净值的</w:t>
      </w:r>
      <w:r>
        <w:rPr>
          <w:rFonts w:ascii="宋体" w:hAnsi="宋体" w:cs="宋体" w:hint="eastAsia"/>
          <w:sz w:val="24"/>
          <w:lang w:val="zh-CN" w:bidi="ar"/>
        </w:rPr>
        <w:t>0.10</w:t>
      </w:r>
      <w:r>
        <w:rPr>
          <w:rFonts w:ascii="宋体" w:hAnsi="宋体" w:cs="宋体" w:hint="eastAsia"/>
          <w:bCs/>
          <w:sz w:val="24"/>
          <w:lang w:bidi="ar"/>
        </w:rPr>
        <w:t>%</w:t>
      </w:r>
      <w:r>
        <w:rPr>
          <w:rFonts w:ascii="宋体" w:hAnsi="宋体" w:cs="Arial" w:hint="eastAsia"/>
          <w:sz w:val="24"/>
          <w:lang w:bidi="ar"/>
        </w:rPr>
        <w:t>年费率计提。托管费的计算方法如下：</w:t>
      </w:r>
    </w:p>
    <w:p w14:paraId="40764DAC"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H＝E×</w:t>
      </w:r>
      <w:r>
        <w:rPr>
          <w:rFonts w:ascii="宋体" w:hAnsi="宋体" w:cs="宋体" w:hint="eastAsia"/>
          <w:sz w:val="24"/>
          <w:lang w:val="zh-CN" w:bidi="ar"/>
        </w:rPr>
        <w:t>0.10</w:t>
      </w:r>
      <w:r>
        <w:rPr>
          <w:rFonts w:ascii="宋体" w:hAnsi="宋体" w:cs="宋体" w:hint="eastAsia"/>
          <w:bCs/>
          <w:sz w:val="24"/>
          <w:lang w:bidi="ar"/>
        </w:rPr>
        <w:t>%</w:t>
      </w:r>
      <w:r>
        <w:rPr>
          <w:rFonts w:ascii="宋体" w:hAnsi="宋体" w:cs="Arial" w:hint="eastAsia"/>
          <w:sz w:val="24"/>
          <w:lang w:bidi="ar"/>
        </w:rPr>
        <w:t>÷当年天数</w:t>
      </w:r>
    </w:p>
    <w:p w14:paraId="5A28244F"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H为每日应计提的基金托管费</w:t>
      </w:r>
    </w:p>
    <w:p w14:paraId="3D73F534"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E为前一日的基金资产净值</w:t>
      </w:r>
    </w:p>
    <w:p w14:paraId="3FCAEB21" w14:textId="656D9243" w:rsidR="00026C1A" w:rsidRDefault="000E111F">
      <w:pPr>
        <w:adjustRightInd w:val="0"/>
        <w:snapToGrid w:val="0"/>
        <w:ind w:firstLineChars="200" w:firstLine="480"/>
        <w:rPr>
          <w:rFonts w:ascii="宋体" w:hAnsi="宋体" w:cs="宋体"/>
          <w:bCs/>
          <w:sz w:val="24"/>
        </w:rPr>
      </w:pPr>
      <w:r>
        <w:rPr>
          <w:rFonts w:ascii="宋体" w:hAnsi="宋体" w:cs="Arial" w:hint="eastAsia"/>
          <w:sz w:val="24"/>
          <w:lang w:bidi="ar"/>
        </w:rPr>
        <w:t>（三）</w:t>
      </w:r>
      <w:r>
        <w:rPr>
          <w:rFonts w:ascii="宋体" w:hAnsi="宋体" w:cs="宋体" w:hint="eastAsia"/>
          <w:bCs/>
          <w:sz w:val="24"/>
          <w:lang w:bidi="ar"/>
        </w:rPr>
        <w:t>基金合同生效后与基金相关的信息披露费用、基金合同生效后与基金相关的会计师费、审计费、律师费和诉讼费、仲裁费等费用、基金份额持有人大会费用、基金的证券、期货、股票期权等投资标的交易结算费用、基金的银行汇划费用、基金上市初费及年费、IOPV计算与发布费用、证券、期货账户开户费、银行账户维护费、按照国家有关规定和《基金合同》约定，可以在基金财产中列支的其他费用，列入当期基金费用。</w:t>
      </w:r>
    </w:p>
    <w:p w14:paraId="297B14DE" w14:textId="77777777" w:rsidR="00026C1A" w:rsidRDefault="000E111F">
      <w:pPr>
        <w:adjustRightInd w:val="0"/>
        <w:snapToGrid w:val="0"/>
        <w:ind w:firstLineChars="200" w:firstLine="480"/>
        <w:rPr>
          <w:rFonts w:ascii="宋体" w:hAnsi="宋体" w:cs="宋体"/>
          <w:bCs/>
          <w:sz w:val="24"/>
        </w:rPr>
      </w:pPr>
      <w:r>
        <w:rPr>
          <w:rFonts w:ascii="宋体" w:hAnsi="宋体" w:cs="宋体" w:hint="eastAsia"/>
          <w:bCs/>
          <w:sz w:val="24"/>
          <w:lang w:bidi="ar"/>
        </w:rPr>
        <w:t>（四）不列入基金费用的项目</w:t>
      </w:r>
    </w:p>
    <w:p w14:paraId="17FF8D20" w14:textId="77777777" w:rsidR="00026C1A" w:rsidRDefault="000E111F">
      <w:pPr>
        <w:adjustRightInd w:val="0"/>
        <w:snapToGrid w:val="0"/>
        <w:ind w:firstLineChars="200" w:firstLine="480"/>
        <w:rPr>
          <w:rFonts w:ascii="宋体" w:hAnsi="宋体" w:cs="宋体"/>
          <w:bCs/>
          <w:sz w:val="24"/>
        </w:rPr>
      </w:pPr>
      <w:r>
        <w:rPr>
          <w:rFonts w:ascii="宋体" w:hAnsi="宋体" w:cs="宋体" w:hint="eastAsia"/>
          <w:bCs/>
          <w:sz w:val="24"/>
          <w:lang w:bidi="ar"/>
        </w:rPr>
        <w:t>基金管理人和基金托管人因未履行或未完全履行义务导致的费用支出或基金财产的损失；基金管理人和基金托管人处理与基金运作无关的事项发生的费用；《基金合同》生效前的相关费用；标的指数许可使用费；其他根据相关法律法规及中国证监会的有关规定不得列入基金费用的项目。其中，标的指数许可使用费由基金管理人承担，不得从基金财产中列支。</w:t>
      </w:r>
    </w:p>
    <w:p w14:paraId="50D33F79" w14:textId="77777777" w:rsidR="00026C1A" w:rsidRDefault="000E111F">
      <w:pPr>
        <w:adjustRightInd w:val="0"/>
        <w:snapToGrid w:val="0"/>
        <w:ind w:firstLineChars="200" w:firstLine="480"/>
        <w:rPr>
          <w:rFonts w:ascii="宋体" w:hAnsi="宋体" w:cs="宋体"/>
          <w:bCs/>
          <w:sz w:val="24"/>
        </w:rPr>
      </w:pPr>
      <w:r>
        <w:rPr>
          <w:rFonts w:ascii="宋体" w:hAnsi="宋体" w:cs="宋体" w:hint="eastAsia"/>
          <w:bCs/>
          <w:sz w:val="24"/>
          <w:lang w:bidi="ar"/>
        </w:rPr>
        <w:t>（五）基金管理费、基金托管费的复核程序、支付方式和时间</w:t>
      </w:r>
    </w:p>
    <w:p w14:paraId="4EBEAA9B" w14:textId="77777777" w:rsidR="00026C1A" w:rsidRDefault="000E111F">
      <w:pPr>
        <w:adjustRightInd w:val="0"/>
        <w:snapToGrid w:val="0"/>
        <w:ind w:firstLineChars="200" w:firstLine="480"/>
        <w:rPr>
          <w:rFonts w:ascii="宋体" w:hAnsi="宋体" w:cs="宋体"/>
          <w:bCs/>
          <w:sz w:val="24"/>
        </w:rPr>
      </w:pPr>
      <w:r>
        <w:rPr>
          <w:rFonts w:ascii="宋体" w:hAnsi="宋体" w:cs="宋体" w:hint="eastAsia"/>
          <w:bCs/>
          <w:sz w:val="24"/>
          <w:lang w:bidi="ar"/>
        </w:rPr>
        <w:t>1.复核程序</w:t>
      </w:r>
    </w:p>
    <w:p w14:paraId="0393E560" w14:textId="77777777" w:rsidR="00026C1A" w:rsidRDefault="000E111F">
      <w:pPr>
        <w:adjustRightInd w:val="0"/>
        <w:snapToGrid w:val="0"/>
        <w:ind w:firstLineChars="200" w:firstLine="480"/>
        <w:rPr>
          <w:rFonts w:ascii="宋体" w:hAnsi="宋体" w:cs="Arial"/>
          <w:sz w:val="24"/>
        </w:rPr>
      </w:pPr>
      <w:r>
        <w:rPr>
          <w:rFonts w:ascii="宋体" w:hAnsi="宋体" w:cs="宋体" w:hint="eastAsia"/>
          <w:bCs/>
          <w:sz w:val="24"/>
          <w:lang w:bidi="ar"/>
        </w:rPr>
        <w:t>基金托管人对基金管理人计</w:t>
      </w:r>
      <w:r>
        <w:rPr>
          <w:rFonts w:ascii="宋体" w:hAnsi="宋体" w:cs="Arial" w:hint="eastAsia"/>
          <w:sz w:val="24"/>
          <w:lang w:bidi="ar"/>
        </w:rPr>
        <w:t>提的基金管理费、基金托管费等，根据本托管协议和《基金合同》的有关规定进行复核。</w:t>
      </w:r>
    </w:p>
    <w:p w14:paraId="47DAADEC"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2.支付方式和时间</w:t>
      </w:r>
    </w:p>
    <w:p w14:paraId="28B1D08B"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基金管理费、基金托管费每日计提，逐日累计至每月月末，按月支付。由基金托管人根据与基金管理人核对一致的财务数据，自动在月初5个工作日内、按照指定的账户路径进行资金支付，基金管理人无需再出具资金划拨指令。若遇法定节假日、休息日或不可抗力等致使无法按时支付的，顺延至最近可支付日支付。费用自动扣划后，基金管理人应进行核对，如发现数据不符，及时联系基金托管人协商解决。</w:t>
      </w:r>
    </w:p>
    <w:p w14:paraId="729DD17D"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在首期支付基金管理费前，基金管理人应向基金托管人出具正式函件指定基金管理费的收款账户。基金管理人如需要变更此账户，应提前5个工作日向基金托管人出具书面的收款账户变更通知。</w:t>
      </w:r>
    </w:p>
    <w:p w14:paraId="3AF8DBCC"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（六）违规处理方式</w:t>
      </w:r>
    </w:p>
    <w:p w14:paraId="0F236620"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基金托管人发现基金管理人违反《基金法》、《基金合同》、《运作办法》及其他有关规定从基金财产中列支费用时，基金托管人可要求基金管理人予以说明解</w:t>
      </w:r>
      <w:r>
        <w:rPr>
          <w:rFonts w:ascii="宋体" w:hAnsi="宋体" w:cs="Arial" w:hint="eastAsia"/>
          <w:sz w:val="24"/>
          <w:lang w:bidi="ar"/>
        </w:rPr>
        <w:lastRenderedPageBreak/>
        <w:t>释，如基金管理人无正当理由，基金托管人可拒绝支付。</w:t>
      </w:r>
    </w:p>
    <w:p w14:paraId="7D7A5229" w14:textId="77777777" w:rsidR="00026C1A" w:rsidRDefault="00026C1A">
      <w:pPr>
        <w:adjustRightInd w:val="0"/>
        <w:snapToGrid w:val="0"/>
        <w:rPr>
          <w:rFonts w:ascii="宋体" w:hAnsi="宋体" w:cs="Arial"/>
          <w:sz w:val="24"/>
        </w:rPr>
      </w:pPr>
    </w:p>
    <w:p w14:paraId="746AC97D" w14:textId="77777777" w:rsidR="00026C1A" w:rsidRDefault="000E111F">
      <w:pPr>
        <w:pStyle w:val="1"/>
        <w:jc w:val="center"/>
        <w:rPr>
          <w:rFonts w:ascii="宋体" w:hAnsi="宋体" w:cs="宋体"/>
          <w:sz w:val="30"/>
        </w:rPr>
      </w:pPr>
      <w:bookmarkStart w:id="97" w:name="_Toc111186476"/>
      <w:r>
        <w:rPr>
          <w:rFonts w:ascii="宋体" w:hAnsi="宋体" w:cs="宋体" w:hint="eastAsia"/>
          <w:sz w:val="30"/>
        </w:rPr>
        <w:t>十二、基金份额持有人名册的保管</w:t>
      </w:r>
      <w:bookmarkEnd w:id="97"/>
    </w:p>
    <w:p w14:paraId="7B34558A" w14:textId="3790F1B4"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基金份额持有人名册至少应包括基金份额持有人的名称和持有的基金份额。基金份额持有人名册由基金登记机构根据基金管理人的指令编制和保管。基金管理人和基金托管人应分别保管基金份额持有人名册，保存期限按照法律法规的规定执行。如不能妥善保管，则按相关法规承担责任。</w:t>
      </w:r>
    </w:p>
    <w:p w14:paraId="76CB6B25"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在基金托管人要求或编制中期报告和年度报告前，基金管理人应将有关资料送交基金托管人，不得无故拒绝或延误提供，并保证其真实性、准确性和完整性。</w:t>
      </w:r>
      <w:r>
        <w:rPr>
          <w:rFonts w:ascii="宋体" w:hAnsi="宋体" w:cs="宋体" w:hint="eastAsia"/>
          <w:kern w:val="0"/>
          <w:sz w:val="24"/>
          <w:lang w:bidi="ar"/>
        </w:rPr>
        <w:t>基金托管人不得将所保管的基金份额持有人名册用于基金托管业务以外的其他用途，并应遵守保密义务，法律法规另有规定或有关机关另有要求的除外。</w:t>
      </w:r>
    </w:p>
    <w:p w14:paraId="3BDD0741" w14:textId="77777777" w:rsidR="00026C1A" w:rsidRDefault="00026C1A">
      <w:pPr>
        <w:adjustRightInd w:val="0"/>
        <w:snapToGrid w:val="0"/>
        <w:rPr>
          <w:rFonts w:ascii="宋体" w:hAnsi="宋体" w:cs="Arial"/>
          <w:sz w:val="24"/>
        </w:rPr>
      </w:pPr>
    </w:p>
    <w:p w14:paraId="4CD279E3" w14:textId="77777777" w:rsidR="00026C1A" w:rsidRDefault="000E111F">
      <w:pPr>
        <w:pStyle w:val="1"/>
        <w:jc w:val="center"/>
        <w:rPr>
          <w:rFonts w:ascii="宋体" w:hAnsi="宋体" w:cs="宋体"/>
          <w:sz w:val="30"/>
        </w:rPr>
      </w:pPr>
      <w:bookmarkStart w:id="98" w:name="_Toc111186477"/>
      <w:r>
        <w:rPr>
          <w:rFonts w:ascii="宋体" w:hAnsi="宋体" w:cs="宋体" w:hint="eastAsia"/>
          <w:sz w:val="30"/>
        </w:rPr>
        <w:t>十三、基金有关文件档案的保存</w:t>
      </w:r>
      <w:bookmarkEnd w:id="98"/>
    </w:p>
    <w:p w14:paraId="070E73FC" w14:textId="77777777" w:rsidR="00026C1A" w:rsidRDefault="000E111F">
      <w:pPr>
        <w:ind w:firstLineChars="200" w:firstLine="480"/>
        <w:rPr>
          <w:rFonts w:ascii="宋体" w:hAnsi="宋体" w:cs="Arial"/>
          <w:sz w:val="24"/>
        </w:rPr>
      </w:pPr>
      <w:r>
        <w:rPr>
          <w:rFonts w:ascii="宋体" w:hAnsi="宋体" w:cs="Arial" w:hint="eastAsia"/>
          <w:sz w:val="24"/>
          <w:lang w:bidi="ar"/>
        </w:rPr>
        <w:t>（一）档案保存</w:t>
      </w:r>
    </w:p>
    <w:p w14:paraId="3FD21253" w14:textId="4E95464E" w:rsidR="00026C1A" w:rsidRDefault="000E111F">
      <w:pPr>
        <w:ind w:firstLineChars="200" w:firstLine="480"/>
        <w:rPr>
          <w:rFonts w:ascii="宋体" w:hAnsi="宋体" w:cs="Arial"/>
          <w:sz w:val="24"/>
        </w:rPr>
      </w:pPr>
      <w:r>
        <w:rPr>
          <w:rFonts w:ascii="宋体" w:hAnsi="宋体" w:cs="Arial" w:hint="eastAsia"/>
          <w:sz w:val="24"/>
          <w:lang w:bidi="ar"/>
        </w:rPr>
        <w:t>基金管理人应保存基金财产管理业务活动的记录、账册、报表和其他相关资料。基金托管人应保存基金托管业务活动的记录、账册、报表和其他相关资料。基金管理人和基金托管人都应当按法律法规规定的期限保管。</w:t>
      </w:r>
    </w:p>
    <w:p w14:paraId="19892FB4" w14:textId="77777777" w:rsidR="00026C1A" w:rsidRDefault="000E111F">
      <w:pPr>
        <w:ind w:firstLineChars="200" w:firstLine="480"/>
        <w:rPr>
          <w:rFonts w:ascii="宋体" w:hAnsi="宋体" w:cs="Arial"/>
          <w:sz w:val="24"/>
        </w:rPr>
      </w:pPr>
      <w:r>
        <w:rPr>
          <w:rFonts w:ascii="宋体" w:hAnsi="宋体" w:cs="Arial" w:hint="eastAsia"/>
          <w:sz w:val="24"/>
          <w:lang w:bidi="ar"/>
        </w:rPr>
        <w:t>（二）合同档案的建立</w:t>
      </w:r>
    </w:p>
    <w:p w14:paraId="75320473" w14:textId="77777777" w:rsidR="00026C1A" w:rsidRDefault="000E111F">
      <w:pPr>
        <w:ind w:firstLineChars="200" w:firstLine="480"/>
        <w:rPr>
          <w:rFonts w:ascii="宋体" w:hAnsi="宋体" w:cs="Arial"/>
          <w:sz w:val="24"/>
        </w:rPr>
      </w:pPr>
      <w:r>
        <w:rPr>
          <w:rFonts w:ascii="宋体" w:hAnsi="宋体" w:cs="Arial" w:hint="eastAsia"/>
          <w:sz w:val="24"/>
          <w:lang w:bidi="ar"/>
        </w:rPr>
        <w:t>1.基金管理人签署重大合同文本后，应及时将合同文本正本送达基金托管人处。</w:t>
      </w:r>
    </w:p>
    <w:p w14:paraId="7C2E346E" w14:textId="77777777" w:rsidR="00026C1A" w:rsidRDefault="000E111F">
      <w:pPr>
        <w:ind w:firstLineChars="200" w:firstLine="480"/>
        <w:rPr>
          <w:rFonts w:ascii="宋体" w:hAnsi="宋体" w:cs="Arial"/>
          <w:sz w:val="24"/>
        </w:rPr>
      </w:pPr>
      <w:r>
        <w:rPr>
          <w:rFonts w:ascii="宋体" w:hAnsi="宋体" w:cs="Arial" w:hint="eastAsia"/>
          <w:sz w:val="24"/>
          <w:lang w:bidi="ar"/>
        </w:rPr>
        <w:t>2.基金管理人应及时将与本基金账务处理、资金划拨等有关的合同、协议传真基金托管人。</w:t>
      </w:r>
    </w:p>
    <w:p w14:paraId="4A2DD869" w14:textId="77777777" w:rsidR="00026C1A" w:rsidRDefault="000E111F">
      <w:pPr>
        <w:ind w:firstLineChars="200" w:firstLine="480"/>
        <w:rPr>
          <w:rFonts w:ascii="宋体" w:hAnsi="宋体" w:cs="Arial"/>
          <w:sz w:val="24"/>
        </w:rPr>
      </w:pPr>
      <w:r>
        <w:rPr>
          <w:rFonts w:ascii="宋体" w:hAnsi="宋体" w:cs="Arial" w:hint="eastAsia"/>
          <w:sz w:val="24"/>
          <w:lang w:bidi="ar"/>
        </w:rPr>
        <w:t>（三）变更与协助</w:t>
      </w:r>
    </w:p>
    <w:p w14:paraId="3B314B95" w14:textId="77777777" w:rsidR="00026C1A" w:rsidRDefault="000E111F">
      <w:pPr>
        <w:ind w:firstLineChars="200" w:firstLine="480"/>
        <w:rPr>
          <w:rFonts w:ascii="宋体" w:hAnsi="宋体" w:cs="宋体"/>
          <w:b/>
          <w:sz w:val="30"/>
          <w:szCs w:val="30"/>
        </w:rPr>
      </w:pPr>
      <w:r>
        <w:rPr>
          <w:rFonts w:ascii="宋体" w:hAnsi="宋体" w:cs="Arial" w:hint="eastAsia"/>
          <w:sz w:val="24"/>
          <w:lang w:bidi="ar"/>
        </w:rPr>
        <w:t>若基金管理人/基金托管人发生变更，未变更的一方有义务协助变更后的接任人接收相应文件。</w:t>
      </w:r>
    </w:p>
    <w:p w14:paraId="2E7417FB" w14:textId="39028C08" w:rsidR="00026C1A" w:rsidRDefault="00026C1A">
      <w:pPr>
        <w:rPr>
          <w:rFonts w:ascii="宋体" w:hAnsi="宋体" w:cs="宋体"/>
          <w:sz w:val="30"/>
          <w:szCs w:val="30"/>
        </w:rPr>
      </w:pPr>
    </w:p>
    <w:p w14:paraId="289FCD70" w14:textId="77777777" w:rsidR="00026C1A" w:rsidRDefault="000E111F">
      <w:pPr>
        <w:pStyle w:val="1"/>
        <w:jc w:val="center"/>
        <w:rPr>
          <w:rFonts w:ascii="宋体" w:hAnsi="宋体" w:cs="宋体"/>
          <w:sz w:val="30"/>
        </w:rPr>
      </w:pPr>
      <w:bookmarkStart w:id="99" w:name="_Toc111186478"/>
      <w:r>
        <w:rPr>
          <w:rFonts w:ascii="宋体" w:hAnsi="宋体" w:cs="宋体" w:hint="eastAsia"/>
          <w:sz w:val="30"/>
        </w:rPr>
        <w:t>十四、基金管理人和基金托管人的更换</w:t>
      </w:r>
      <w:bookmarkEnd w:id="99"/>
    </w:p>
    <w:p w14:paraId="497F42C6"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（一）基金管理人职责终止的情形</w:t>
      </w:r>
    </w:p>
    <w:p w14:paraId="09BD4CB7"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1.基金管理人职责终止的情形</w:t>
      </w:r>
    </w:p>
    <w:p w14:paraId="6A7C36EB"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有下列情形之一的，基金管理人职责终止：</w:t>
      </w:r>
    </w:p>
    <w:p w14:paraId="64E31B2A"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（1）被依法取消基金管理资格；</w:t>
      </w:r>
    </w:p>
    <w:p w14:paraId="51A44114"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（2）被基金份额持有人大会解任；</w:t>
      </w:r>
    </w:p>
    <w:p w14:paraId="22BE3398"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（3）依法解散、被依法撤销或被依法宣告破产；</w:t>
      </w:r>
    </w:p>
    <w:p w14:paraId="41787700"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lastRenderedPageBreak/>
        <w:t>（4）法律法规及中国证监会规定的和《基金合同》约定的其他情形。</w:t>
      </w:r>
    </w:p>
    <w:p w14:paraId="0676AE5B"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2.基金管理人的更换程序</w:t>
      </w:r>
    </w:p>
    <w:p w14:paraId="3C0390FD"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更换基金管理人必须依照如下程序进行：</w:t>
      </w:r>
    </w:p>
    <w:p w14:paraId="42487BA7"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（1）提名：新任基金管理人由基金托管人或由单独或合计持有</w:t>
      </w:r>
      <w:r>
        <w:rPr>
          <w:rFonts w:ascii="宋体" w:hAnsi="宋体" w:cs="Arial" w:hint="eastAsia"/>
          <w:bCs/>
          <w:sz w:val="24"/>
          <w:lang w:bidi="ar"/>
        </w:rPr>
        <w:t>10%</w:t>
      </w:r>
      <w:r>
        <w:rPr>
          <w:rFonts w:ascii="宋体" w:hAnsi="宋体" w:cs="Arial" w:hint="eastAsia"/>
          <w:sz w:val="24"/>
          <w:lang w:bidi="ar"/>
        </w:rPr>
        <w:t>以上（含</w:t>
      </w:r>
      <w:r>
        <w:rPr>
          <w:rFonts w:ascii="宋体" w:hAnsi="宋体" w:cs="Arial" w:hint="eastAsia"/>
          <w:bCs/>
          <w:sz w:val="24"/>
          <w:lang w:bidi="ar"/>
        </w:rPr>
        <w:t>10%</w:t>
      </w:r>
      <w:r>
        <w:rPr>
          <w:rFonts w:ascii="宋体" w:hAnsi="宋体" w:cs="Arial" w:hint="eastAsia"/>
          <w:sz w:val="24"/>
          <w:lang w:bidi="ar"/>
        </w:rPr>
        <w:t>）基金份额的基金份额持有人提名；</w:t>
      </w:r>
    </w:p>
    <w:p w14:paraId="134D3DC5"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（2）决议：基金份额持有人大会在基金管理人职责终止后</w:t>
      </w:r>
      <w:r>
        <w:rPr>
          <w:rFonts w:ascii="宋体" w:hAnsi="宋体" w:cs="Arial" w:hint="eastAsia"/>
          <w:bCs/>
          <w:sz w:val="24"/>
          <w:lang w:bidi="ar"/>
        </w:rPr>
        <w:t>6个月内</w:t>
      </w:r>
      <w:r>
        <w:rPr>
          <w:rFonts w:ascii="宋体" w:hAnsi="宋体" w:cs="Arial" w:hint="eastAsia"/>
          <w:sz w:val="24"/>
          <w:lang w:bidi="ar"/>
        </w:rPr>
        <w:t>对被提名的基金管理人形成决议，该决议需经参加大会的基金份额持有人所持表决权的</w:t>
      </w:r>
      <w:r>
        <w:rPr>
          <w:rFonts w:ascii="宋体" w:hAnsi="宋体" w:cs="Arial" w:hint="eastAsia"/>
          <w:bCs/>
          <w:sz w:val="24"/>
          <w:lang w:bidi="ar"/>
        </w:rPr>
        <w:t>三分之二</w:t>
      </w:r>
      <w:r>
        <w:rPr>
          <w:rFonts w:ascii="宋体" w:hAnsi="宋体" w:cs="Arial" w:hint="eastAsia"/>
          <w:sz w:val="24"/>
          <w:lang w:bidi="ar"/>
        </w:rPr>
        <w:t>以上（含</w:t>
      </w:r>
      <w:r>
        <w:rPr>
          <w:rFonts w:ascii="宋体" w:hAnsi="宋体" w:cs="Arial" w:hint="eastAsia"/>
          <w:bCs/>
          <w:sz w:val="24"/>
          <w:lang w:bidi="ar"/>
        </w:rPr>
        <w:t>三分之二</w:t>
      </w:r>
      <w:r>
        <w:rPr>
          <w:rFonts w:ascii="宋体" w:hAnsi="宋体" w:cs="Arial" w:hint="eastAsia"/>
          <w:sz w:val="24"/>
          <w:lang w:bidi="ar"/>
        </w:rPr>
        <w:t>）表决通过</w:t>
      </w:r>
      <w:r>
        <w:rPr>
          <w:rFonts w:ascii="宋体" w:hAnsi="宋体" w:cs="Arial" w:hint="eastAsia"/>
          <w:bCs/>
          <w:sz w:val="24"/>
          <w:lang w:bidi="ar"/>
        </w:rPr>
        <w:t>，决议自表决通过之日起生效</w:t>
      </w:r>
      <w:r>
        <w:rPr>
          <w:rFonts w:ascii="宋体" w:hAnsi="宋体" w:cs="Arial" w:hint="eastAsia"/>
          <w:sz w:val="24"/>
          <w:lang w:bidi="ar"/>
        </w:rPr>
        <w:t>；</w:t>
      </w:r>
    </w:p>
    <w:p w14:paraId="7F544C01"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（3）临时基金管理人：新任基金管理人产生之前，由中国证监会指定临时基金管理人；</w:t>
      </w:r>
    </w:p>
    <w:p w14:paraId="30C30D52"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（4）</w:t>
      </w:r>
      <w:r>
        <w:rPr>
          <w:rFonts w:ascii="宋体" w:hAnsi="宋体" w:cs="Arial" w:hint="eastAsia"/>
          <w:bCs/>
          <w:sz w:val="24"/>
          <w:lang w:bidi="ar"/>
        </w:rPr>
        <w:t>备案</w:t>
      </w:r>
      <w:r>
        <w:rPr>
          <w:rFonts w:ascii="宋体" w:hAnsi="宋体" w:cs="Arial" w:hint="eastAsia"/>
          <w:sz w:val="24"/>
          <w:lang w:bidi="ar"/>
        </w:rPr>
        <w:t>：基金份额持有人大会更换基金管理人的决议须</w:t>
      </w:r>
      <w:r>
        <w:rPr>
          <w:rFonts w:ascii="宋体" w:hAnsi="宋体" w:cs="Arial" w:hint="eastAsia"/>
          <w:bCs/>
          <w:sz w:val="24"/>
          <w:lang w:bidi="ar"/>
        </w:rPr>
        <w:t>报</w:t>
      </w:r>
      <w:r>
        <w:rPr>
          <w:rFonts w:ascii="宋体" w:hAnsi="宋体" w:cs="Arial" w:hint="eastAsia"/>
          <w:sz w:val="24"/>
          <w:lang w:bidi="ar"/>
        </w:rPr>
        <w:t>中国证监会</w:t>
      </w:r>
      <w:r>
        <w:rPr>
          <w:rFonts w:ascii="宋体" w:hAnsi="宋体" w:cs="Arial" w:hint="eastAsia"/>
          <w:bCs/>
          <w:sz w:val="24"/>
          <w:lang w:bidi="ar"/>
        </w:rPr>
        <w:t>备案</w:t>
      </w:r>
      <w:r>
        <w:rPr>
          <w:rFonts w:ascii="宋体" w:hAnsi="宋体" w:cs="Arial" w:hint="eastAsia"/>
          <w:sz w:val="24"/>
          <w:lang w:bidi="ar"/>
        </w:rPr>
        <w:t>；</w:t>
      </w:r>
    </w:p>
    <w:p w14:paraId="08FC6BC4"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（5）公告：基金管理人更换后，由基金托管人在</w:t>
      </w:r>
      <w:r>
        <w:rPr>
          <w:rFonts w:ascii="宋体" w:hAnsi="宋体" w:cs="Arial" w:hint="eastAsia"/>
          <w:bCs/>
          <w:sz w:val="24"/>
          <w:lang w:bidi="ar"/>
        </w:rPr>
        <w:t>更换基金管理人的基金份额持有人大会决议生效</w:t>
      </w:r>
      <w:r>
        <w:rPr>
          <w:rFonts w:ascii="宋体" w:hAnsi="宋体" w:cs="Arial" w:hint="eastAsia"/>
          <w:sz w:val="24"/>
          <w:lang w:bidi="ar"/>
        </w:rPr>
        <w:t>后</w:t>
      </w:r>
      <w:r>
        <w:rPr>
          <w:rFonts w:ascii="宋体" w:hAnsi="宋体" w:cs="Arial" w:hint="eastAsia"/>
          <w:bCs/>
          <w:sz w:val="24"/>
          <w:lang w:bidi="ar"/>
        </w:rPr>
        <w:t>依照《信息披露办法》的有关规定</w:t>
      </w:r>
      <w:r>
        <w:rPr>
          <w:rFonts w:ascii="宋体" w:hAnsi="宋体" w:cs="Arial" w:hint="eastAsia"/>
          <w:sz w:val="24"/>
          <w:lang w:bidi="ar"/>
        </w:rPr>
        <w:t>在规定媒介公告</w:t>
      </w:r>
      <w:r>
        <w:rPr>
          <w:rFonts w:ascii="宋体" w:hAnsi="宋体" w:cs="Arial" w:hint="eastAsia"/>
          <w:bCs/>
          <w:sz w:val="24"/>
          <w:lang w:bidi="ar"/>
        </w:rPr>
        <w:t>；</w:t>
      </w:r>
    </w:p>
    <w:p w14:paraId="5FBD9905"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（6）交接：基金管理人职责终止的，基金管理人应妥善保管基金管理业务资料，及时向临时基金管理人或新任基金管理人办理基金管理业务的移交手续，临时基金管理人或新任基金管理人应及时接收。</w:t>
      </w:r>
      <w:r>
        <w:rPr>
          <w:rFonts w:ascii="宋体" w:hAnsi="宋体" w:cs="Arial" w:hint="eastAsia"/>
          <w:bCs/>
          <w:sz w:val="24"/>
          <w:lang w:bidi="ar"/>
        </w:rPr>
        <w:t>临时基金管理人或</w:t>
      </w:r>
      <w:r>
        <w:rPr>
          <w:rFonts w:ascii="宋体" w:hAnsi="宋体" w:cs="Arial" w:hint="eastAsia"/>
          <w:sz w:val="24"/>
          <w:lang w:bidi="ar"/>
        </w:rPr>
        <w:t>新任基金管理人应与基金托管人核对基金资产总值</w:t>
      </w:r>
      <w:r>
        <w:rPr>
          <w:rFonts w:ascii="宋体" w:hAnsi="宋体" w:cs="Arial" w:hint="eastAsia"/>
          <w:bCs/>
          <w:sz w:val="24"/>
          <w:lang w:bidi="ar"/>
        </w:rPr>
        <w:t>和净值</w:t>
      </w:r>
      <w:r>
        <w:rPr>
          <w:rFonts w:ascii="宋体" w:hAnsi="宋体" w:cs="Arial" w:hint="eastAsia"/>
          <w:sz w:val="24"/>
          <w:lang w:bidi="ar"/>
        </w:rPr>
        <w:t>；</w:t>
      </w:r>
    </w:p>
    <w:p w14:paraId="1D69474D"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（7）审计：基金管理人职责终止的，应当按照法律法规规定聘请会计师事务所对基金财产进行审计，并将审计结果予以公告，同时报中国证监会备案；</w:t>
      </w:r>
      <w:r>
        <w:rPr>
          <w:rFonts w:ascii="宋体" w:hAnsi="宋体" w:cs="Arial" w:hint="eastAsia"/>
          <w:bCs/>
          <w:sz w:val="24"/>
          <w:lang w:bidi="ar"/>
        </w:rPr>
        <w:t>审计费用由基金资产承担；</w:t>
      </w:r>
    </w:p>
    <w:p w14:paraId="14A1C09D"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（8）基金名称变更：基金管理人更换后，如果原任或新任基金管理人要求，应按其要求替换或删除基金名称中与原任基金管理人有关的名称字样。</w:t>
      </w:r>
    </w:p>
    <w:p w14:paraId="1E04D9A1"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（二）基金托管人职责终止的情形</w:t>
      </w:r>
    </w:p>
    <w:p w14:paraId="3C14DECD"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1.基金托管人职责终止的情形</w:t>
      </w:r>
    </w:p>
    <w:p w14:paraId="5EB6480F"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有下列情形之一的，基金托管人职责终止：</w:t>
      </w:r>
    </w:p>
    <w:p w14:paraId="3BB70694"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（1）被依法取消基金托管资格；</w:t>
      </w:r>
    </w:p>
    <w:p w14:paraId="7C9C38F9"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（2）被基金份额持有人大会解任；</w:t>
      </w:r>
    </w:p>
    <w:p w14:paraId="3AAADE88"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（3）依法解散、被依法撤销或被依法宣告破产；</w:t>
      </w:r>
    </w:p>
    <w:p w14:paraId="40340259"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（4）法律法规及中国证监会规定的和《基金合同》约定的其他情形。</w:t>
      </w:r>
    </w:p>
    <w:p w14:paraId="66DB3575"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2.基金托管人的更换程序</w:t>
      </w:r>
    </w:p>
    <w:p w14:paraId="22862751"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（1）提名：新任基金托管人由基金管理人或由单独或合计持有</w:t>
      </w:r>
      <w:r>
        <w:rPr>
          <w:rFonts w:ascii="宋体" w:hAnsi="宋体" w:cs="Arial" w:hint="eastAsia"/>
          <w:bCs/>
          <w:sz w:val="24"/>
          <w:lang w:bidi="ar"/>
        </w:rPr>
        <w:t>10%</w:t>
      </w:r>
      <w:r>
        <w:rPr>
          <w:rFonts w:ascii="宋体" w:hAnsi="宋体" w:cs="Arial" w:hint="eastAsia"/>
          <w:sz w:val="24"/>
          <w:lang w:bidi="ar"/>
        </w:rPr>
        <w:t>以上（含</w:t>
      </w:r>
      <w:r>
        <w:rPr>
          <w:rFonts w:ascii="宋体" w:hAnsi="宋体" w:cs="Arial" w:hint="eastAsia"/>
          <w:bCs/>
          <w:sz w:val="24"/>
          <w:lang w:bidi="ar"/>
        </w:rPr>
        <w:t>10%</w:t>
      </w:r>
      <w:r>
        <w:rPr>
          <w:rFonts w:ascii="宋体" w:hAnsi="宋体" w:cs="Arial" w:hint="eastAsia"/>
          <w:sz w:val="24"/>
          <w:lang w:bidi="ar"/>
        </w:rPr>
        <w:t>）基金份额的基金</w:t>
      </w:r>
      <w:r>
        <w:rPr>
          <w:rFonts w:ascii="宋体" w:hAnsi="宋体" w:cs="Arial" w:hint="eastAsia"/>
          <w:bCs/>
          <w:sz w:val="24"/>
          <w:lang w:bidi="ar"/>
        </w:rPr>
        <w:t>份额</w:t>
      </w:r>
      <w:r>
        <w:rPr>
          <w:rFonts w:ascii="宋体" w:hAnsi="宋体" w:cs="Arial" w:hint="eastAsia"/>
          <w:sz w:val="24"/>
          <w:lang w:bidi="ar"/>
        </w:rPr>
        <w:t>持有人提名；</w:t>
      </w:r>
    </w:p>
    <w:p w14:paraId="6F982CEE"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（2）决议：基金份额持有人大会在基金托管人职责终止后</w:t>
      </w:r>
      <w:r>
        <w:rPr>
          <w:rFonts w:ascii="宋体" w:hAnsi="宋体" w:cs="Arial" w:hint="eastAsia"/>
          <w:bCs/>
          <w:sz w:val="24"/>
          <w:lang w:bidi="ar"/>
        </w:rPr>
        <w:t>6个月内</w:t>
      </w:r>
      <w:r>
        <w:rPr>
          <w:rFonts w:ascii="宋体" w:hAnsi="宋体" w:cs="Arial" w:hint="eastAsia"/>
          <w:sz w:val="24"/>
          <w:lang w:bidi="ar"/>
        </w:rPr>
        <w:t>对被提名的基金托管人形成决议，该决议需经参加大会的基金份额持有人所持表决权的</w:t>
      </w:r>
      <w:r>
        <w:rPr>
          <w:rFonts w:ascii="宋体" w:hAnsi="宋体" w:cs="Arial" w:hint="eastAsia"/>
          <w:bCs/>
          <w:sz w:val="24"/>
          <w:lang w:bidi="ar"/>
        </w:rPr>
        <w:t>三分之二</w:t>
      </w:r>
      <w:r>
        <w:rPr>
          <w:rFonts w:ascii="宋体" w:hAnsi="宋体" w:cs="Arial" w:hint="eastAsia"/>
          <w:sz w:val="24"/>
          <w:lang w:bidi="ar"/>
        </w:rPr>
        <w:t>以上（含</w:t>
      </w:r>
      <w:r>
        <w:rPr>
          <w:rFonts w:ascii="宋体" w:hAnsi="宋体" w:cs="Arial" w:hint="eastAsia"/>
          <w:bCs/>
          <w:sz w:val="24"/>
          <w:lang w:bidi="ar"/>
        </w:rPr>
        <w:t>三分之二</w:t>
      </w:r>
      <w:r>
        <w:rPr>
          <w:rFonts w:ascii="宋体" w:hAnsi="宋体" w:cs="Arial" w:hint="eastAsia"/>
          <w:sz w:val="24"/>
          <w:lang w:bidi="ar"/>
        </w:rPr>
        <w:t>）表决通过</w:t>
      </w:r>
      <w:r>
        <w:rPr>
          <w:rFonts w:ascii="宋体" w:hAnsi="宋体" w:cs="Arial" w:hint="eastAsia"/>
          <w:bCs/>
          <w:sz w:val="24"/>
          <w:lang w:bidi="ar"/>
        </w:rPr>
        <w:t>，决议自表决通过之日起生效</w:t>
      </w:r>
      <w:r>
        <w:rPr>
          <w:rFonts w:ascii="宋体" w:hAnsi="宋体" w:cs="Arial" w:hint="eastAsia"/>
          <w:sz w:val="24"/>
          <w:lang w:bidi="ar"/>
        </w:rPr>
        <w:t>；</w:t>
      </w:r>
    </w:p>
    <w:p w14:paraId="77D9B199"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（3）临时基金托管人：新任基金托管人产生之前，由中国证监会指定临时基金托管人；</w:t>
      </w:r>
    </w:p>
    <w:p w14:paraId="3B48CB5F"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（4）</w:t>
      </w:r>
      <w:r>
        <w:rPr>
          <w:rFonts w:ascii="宋体" w:hAnsi="宋体" w:cs="Arial" w:hint="eastAsia"/>
          <w:bCs/>
          <w:sz w:val="24"/>
          <w:lang w:bidi="ar"/>
        </w:rPr>
        <w:t>备案</w:t>
      </w:r>
      <w:r>
        <w:rPr>
          <w:rFonts w:ascii="宋体" w:hAnsi="宋体" w:cs="Arial" w:hint="eastAsia"/>
          <w:sz w:val="24"/>
          <w:lang w:bidi="ar"/>
        </w:rPr>
        <w:t>：基金份额持有人大会</w:t>
      </w:r>
      <w:r>
        <w:rPr>
          <w:rFonts w:ascii="宋体" w:hAnsi="宋体" w:cs="Arial" w:hint="eastAsia"/>
          <w:bCs/>
          <w:sz w:val="24"/>
          <w:lang w:bidi="ar"/>
        </w:rPr>
        <w:t>更换</w:t>
      </w:r>
      <w:r>
        <w:rPr>
          <w:rFonts w:ascii="宋体" w:hAnsi="宋体" w:cs="Arial" w:hint="eastAsia"/>
          <w:sz w:val="24"/>
          <w:lang w:bidi="ar"/>
        </w:rPr>
        <w:t>基金托管人的决议须</w:t>
      </w:r>
      <w:r>
        <w:rPr>
          <w:rFonts w:ascii="宋体" w:hAnsi="宋体" w:cs="Arial" w:hint="eastAsia"/>
          <w:bCs/>
          <w:sz w:val="24"/>
          <w:lang w:bidi="ar"/>
        </w:rPr>
        <w:t>报</w:t>
      </w:r>
      <w:r>
        <w:rPr>
          <w:rFonts w:ascii="宋体" w:hAnsi="宋体" w:cs="Arial" w:hint="eastAsia"/>
          <w:sz w:val="24"/>
          <w:lang w:bidi="ar"/>
        </w:rPr>
        <w:t>中国证监会</w:t>
      </w:r>
      <w:r>
        <w:rPr>
          <w:rFonts w:ascii="宋体" w:hAnsi="宋体" w:cs="Arial" w:hint="eastAsia"/>
          <w:bCs/>
          <w:sz w:val="24"/>
          <w:lang w:bidi="ar"/>
        </w:rPr>
        <w:t>备案</w:t>
      </w:r>
      <w:r>
        <w:rPr>
          <w:rFonts w:ascii="宋体" w:hAnsi="宋体" w:cs="Arial" w:hint="eastAsia"/>
          <w:sz w:val="24"/>
          <w:lang w:bidi="ar"/>
        </w:rPr>
        <w:t>；</w:t>
      </w:r>
    </w:p>
    <w:p w14:paraId="463E5364"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（5）公告：基金托管人更换后，由基金管理人在</w:t>
      </w:r>
      <w:r>
        <w:rPr>
          <w:rFonts w:ascii="宋体" w:hAnsi="宋体" w:cs="Arial" w:hint="eastAsia"/>
          <w:bCs/>
          <w:sz w:val="24"/>
          <w:lang w:bidi="ar"/>
        </w:rPr>
        <w:t>更换基金托管人的基金份额持有人大会决议生效</w:t>
      </w:r>
      <w:r>
        <w:rPr>
          <w:rFonts w:ascii="宋体" w:hAnsi="宋体" w:cs="Arial" w:hint="eastAsia"/>
          <w:sz w:val="24"/>
          <w:lang w:bidi="ar"/>
        </w:rPr>
        <w:t>后</w:t>
      </w:r>
      <w:r>
        <w:rPr>
          <w:rFonts w:ascii="宋体" w:hAnsi="宋体" w:cs="Arial" w:hint="eastAsia"/>
          <w:bCs/>
          <w:sz w:val="24"/>
          <w:lang w:bidi="ar"/>
        </w:rPr>
        <w:t>依照《信息披露办法》的有关规定</w:t>
      </w:r>
      <w:r>
        <w:rPr>
          <w:rFonts w:ascii="宋体" w:hAnsi="宋体" w:cs="Arial" w:hint="eastAsia"/>
          <w:sz w:val="24"/>
          <w:lang w:bidi="ar"/>
        </w:rPr>
        <w:t>在规定媒介公告</w:t>
      </w:r>
      <w:r>
        <w:rPr>
          <w:rFonts w:ascii="宋体" w:hAnsi="宋体" w:cs="Arial" w:hint="eastAsia"/>
          <w:bCs/>
          <w:sz w:val="24"/>
          <w:lang w:bidi="ar"/>
        </w:rPr>
        <w:t>；</w:t>
      </w:r>
    </w:p>
    <w:p w14:paraId="2AB7BC23"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（6）交接：基金托管人职责终止的，应当妥善保管基金财产和基金托管业务资料，及时办理基金财产和基金托管业务的移交手续，新任基金托管人或者临</w:t>
      </w:r>
      <w:r>
        <w:rPr>
          <w:rFonts w:ascii="宋体" w:hAnsi="宋体" w:cs="Arial" w:hint="eastAsia"/>
          <w:sz w:val="24"/>
          <w:lang w:bidi="ar"/>
        </w:rPr>
        <w:lastRenderedPageBreak/>
        <w:t>时基金托管人应当及时接收。</w:t>
      </w:r>
      <w:r>
        <w:rPr>
          <w:rFonts w:ascii="宋体" w:hAnsi="宋体" w:cs="Arial" w:hint="eastAsia"/>
          <w:bCs/>
          <w:sz w:val="24"/>
          <w:lang w:bidi="ar"/>
        </w:rPr>
        <w:t>临时基金托管人或</w:t>
      </w:r>
      <w:r>
        <w:rPr>
          <w:rFonts w:ascii="宋体" w:hAnsi="宋体" w:cs="Arial" w:hint="eastAsia"/>
          <w:sz w:val="24"/>
          <w:lang w:bidi="ar"/>
        </w:rPr>
        <w:t>新任基金托管人应与基金管理人核对基金资产总值</w:t>
      </w:r>
      <w:r>
        <w:rPr>
          <w:rFonts w:ascii="宋体" w:hAnsi="宋体" w:cs="Arial" w:hint="eastAsia"/>
          <w:bCs/>
          <w:sz w:val="24"/>
          <w:lang w:bidi="ar"/>
        </w:rPr>
        <w:t>和净值；</w:t>
      </w:r>
    </w:p>
    <w:p w14:paraId="1C8543C3"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（7）审计：基金托管人职责终止的，应当按照法律法规规定聘请会计师事务所对基金财产进行审计，并将审计结果予以公告，同时报中国证监会备案。</w:t>
      </w:r>
      <w:r>
        <w:rPr>
          <w:rFonts w:ascii="宋体" w:hAnsi="宋体" w:cs="Arial" w:hint="eastAsia"/>
          <w:bCs/>
          <w:sz w:val="24"/>
          <w:lang w:bidi="ar"/>
        </w:rPr>
        <w:t>审计费用由基金资产承担。</w:t>
      </w:r>
    </w:p>
    <w:p w14:paraId="7F69C0AE"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（三）基金管理人与基金托管人同时更换的条件和程序</w:t>
      </w:r>
    </w:p>
    <w:p w14:paraId="697247F1"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（1）提名：如果基金管理人和基金托管人同时更换，由单独或合计持有基金总份额</w:t>
      </w:r>
      <w:r>
        <w:rPr>
          <w:rFonts w:ascii="宋体" w:hAnsi="宋体" w:cs="Arial" w:hint="eastAsia"/>
          <w:bCs/>
          <w:sz w:val="24"/>
          <w:lang w:bidi="ar"/>
        </w:rPr>
        <w:t>10%</w:t>
      </w:r>
      <w:r>
        <w:rPr>
          <w:rFonts w:ascii="宋体" w:hAnsi="宋体" w:cs="Arial" w:hint="eastAsia"/>
          <w:sz w:val="24"/>
          <w:lang w:bidi="ar"/>
        </w:rPr>
        <w:t>以上（含</w:t>
      </w:r>
      <w:r>
        <w:rPr>
          <w:rFonts w:ascii="宋体" w:hAnsi="宋体" w:cs="Arial" w:hint="eastAsia"/>
          <w:bCs/>
          <w:sz w:val="24"/>
          <w:lang w:bidi="ar"/>
        </w:rPr>
        <w:t>10%</w:t>
      </w:r>
      <w:r>
        <w:rPr>
          <w:rFonts w:ascii="宋体" w:hAnsi="宋体" w:cs="Arial" w:hint="eastAsia"/>
          <w:sz w:val="24"/>
          <w:lang w:bidi="ar"/>
        </w:rPr>
        <w:t>）的基金份额持有人提名新任基金管理人和基金托管人；</w:t>
      </w:r>
    </w:p>
    <w:p w14:paraId="04C75AD4"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（2）基金管理人和基金托管人的更换分别按上述程序进行；</w:t>
      </w:r>
    </w:p>
    <w:p w14:paraId="7FEE08CF"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（3）公告：新任基金管理人和新任基金托管人应在更换基金管理人和基金托管人的基金份额持有人大会决议</w:t>
      </w:r>
      <w:r>
        <w:rPr>
          <w:rFonts w:ascii="宋体" w:hAnsi="宋体" w:cs="Arial" w:hint="eastAsia"/>
          <w:bCs/>
          <w:sz w:val="24"/>
          <w:lang w:bidi="ar"/>
        </w:rPr>
        <w:t>生效</w:t>
      </w:r>
      <w:r>
        <w:rPr>
          <w:rFonts w:ascii="宋体" w:hAnsi="宋体" w:cs="Arial" w:hint="eastAsia"/>
          <w:sz w:val="24"/>
          <w:lang w:bidi="ar"/>
        </w:rPr>
        <w:t>后</w:t>
      </w:r>
      <w:r>
        <w:rPr>
          <w:rFonts w:ascii="宋体" w:hAnsi="宋体" w:cs="Arial" w:hint="eastAsia"/>
          <w:bCs/>
          <w:sz w:val="24"/>
          <w:lang w:bidi="ar"/>
        </w:rPr>
        <w:t>依照《信息披露办法》的有关规定</w:t>
      </w:r>
      <w:r>
        <w:rPr>
          <w:rFonts w:ascii="宋体" w:hAnsi="宋体" w:cs="Arial" w:hint="eastAsia"/>
          <w:sz w:val="24"/>
          <w:lang w:bidi="ar"/>
        </w:rPr>
        <w:t>在规定媒介上联合公告。</w:t>
      </w:r>
    </w:p>
    <w:p w14:paraId="17B8BB73"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四）新任或临时基金管理人接收基金管理业务或新任或临时基金托管人接收基金财产和基金托管业务前，原任基金管理人或原任基金托管人应依据法律法规和基金合同的规定继续履行相关职责，并保证不做出对基金份额持有人的利益造成损害的行为。原任基金管理人或原任基金托管人在继续履行相关职责期间，仍有权按照基金合同的规定收取基金管理费或基金托管费。</w:t>
      </w:r>
    </w:p>
    <w:p w14:paraId="79BA54A3" w14:textId="77777777" w:rsidR="00026C1A" w:rsidRDefault="00026C1A">
      <w:pPr>
        <w:adjustRightInd w:val="0"/>
        <w:snapToGrid w:val="0"/>
        <w:rPr>
          <w:rFonts w:ascii="宋体" w:hAnsi="宋体" w:cs="Arial"/>
          <w:sz w:val="24"/>
        </w:rPr>
      </w:pPr>
    </w:p>
    <w:p w14:paraId="1229007B" w14:textId="77777777" w:rsidR="00026C1A" w:rsidRDefault="000E111F">
      <w:pPr>
        <w:pStyle w:val="1"/>
        <w:jc w:val="center"/>
        <w:rPr>
          <w:rFonts w:ascii="宋体" w:hAnsi="宋体" w:cs="宋体"/>
          <w:sz w:val="30"/>
        </w:rPr>
      </w:pPr>
      <w:bookmarkStart w:id="100" w:name="_Toc111186479"/>
      <w:r>
        <w:rPr>
          <w:rFonts w:ascii="宋体" w:hAnsi="宋体" w:cs="宋体" w:hint="eastAsia"/>
          <w:sz w:val="30"/>
        </w:rPr>
        <w:t>十五、禁止行为</w:t>
      </w:r>
      <w:bookmarkEnd w:id="100"/>
    </w:p>
    <w:p w14:paraId="4B8C2D40" w14:textId="77777777" w:rsidR="00026C1A" w:rsidRDefault="000E111F">
      <w:pPr>
        <w:ind w:firstLineChars="200" w:firstLine="480"/>
        <w:rPr>
          <w:rFonts w:ascii="宋体" w:hAnsi="宋体" w:cs="Arial"/>
          <w:sz w:val="24"/>
        </w:rPr>
      </w:pPr>
      <w:r>
        <w:rPr>
          <w:rFonts w:ascii="宋体" w:hAnsi="宋体" w:cs="Arial" w:hint="eastAsia"/>
          <w:sz w:val="24"/>
          <w:lang w:bidi="ar"/>
        </w:rPr>
        <w:t>本协议当事人禁止从事的行为，包括但不限于：</w:t>
      </w:r>
    </w:p>
    <w:p w14:paraId="4C00508A" w14:textId="77777777" w:rsidR="00026C1A" w:rsidRDefault="000E111F">
      <w:pPr>
        <w:ind w:firstLineChars="200" w:firstLine="480"/>
        <w:rPr>
          <w:rFonts w:ascii="宋体" w:hAnsi="宋体" w:cs="宋体"/>
          <w:sz w:val="24"/>
        </w:rPr>
      </w:pPr>
      <w:r>
        <w:rPr>
          <w:rFonts w:ascii="宋体" w:hAnsi="宋体" w:cs="宋体" w:hint="eastAsia"/>
          <w:sz w:val="24"/>
          <w:lang w:bidi="ar"/>
        </w:rPr>
        <w:t>（一）基金管理人、基金托管人将其固有财产或者他人财产混同于基金财产从事证券投资。</w:t>
      </w:r>
    </w:p>
    <w:p w14:paraId="5108151E" w14:textId="77777777" w:rsidR="00026C1A" w:rsidRDefault="000E111F">
      <w:pPr>
        <w:ind w:firstLineChars="200" w:firstLine="480"/>
        <w:rPr>
          <w:rFonts w:ascii="宋体" w:hAnsi="宋体" w:cs="宋体"/>
        </w:rPr>
      </w:pPr>
      <w:r>
        <w:rPr>
          <w:rFonts w:ascii="宋体" w:hAnsi="宋体" w:cs="宋体" w:hint="eastAsia"/>
          <w:sz w:val="24"/>
          <w:lang w:bidi="ar"/>
        </w:rPr>
        <w:t>（二）基金管理人不公平地对待其管理的不同基金财产，基金托管人不公平地对待其托管的不同基金财产。</w:t>
      </w:r>
    </w:p>
    <w:p w14:paraId="10AEE088" w14:textId="77777777" w:rsidR="00026C1A" w:rsidRDefault="000E111F">
      <w:pPr>
        <w:ind w:firstLineChars="200" w:firstLine="480"/>
        <w:rPr>
          <w:rFonts w:ascii="宋体" w:hAnsi="宋体" w:cs="宋体"/>
          <w:sz w:val="24"/>
        </w:rPr>
      </w:pPr>
      <w:r>
        <w:rPr>
          <w:rFonts w:ascii="宋体" w:hAnsi="宋体" w:cs="宋体" w:hint="eastAsia"/>
          <w:sz w:val="24"/>
          <w:lang w:bidi="ar"/>
        </w:rPr>
        <w:t>（三）基金管理人、基金托管人利用基金财产或职务之便为基金份额持有人以外的人牟取利益。</w:t>
      </w:r>
    </w:p>
    <w:p w14:paraId="782E4F3A" w14:textId="77777777" w:rsidR="00026C1A" w:rsidRDefault="000E111F">
      <w:pPr>
        <w:ind w:firstLineChars="200" w:firstLine="480"/>
        <w:rPr>
          <w:rFonts w:ascii="宋体" w:hAnsi="宋体" w:cs="宋体"/>
          <w:sz w:val="24"/>
        </w:rPr>
      </w:pPr>
      <w:r>
        <w:rPr>
          <w:rFonts w:ascii="宋体" w:hAnsi="宋体" w:cs="宋体" w:hint="eastAsia"/>
          <w:sz w:val="24"/>
          <w:lang w:bidi="ar"/>
        </w:rPr>
        <w:t>（四）基金管理人、基金托管人向基金份额持有人违规承诺收益或者承担损失。</w:t>
      </w:r>
    </w:p>
    <w:p w14:paraId="0BCDBC3E" w14:textId="77777777" w:rsidR="00026C1A" w:rsidRDefault="000E111F">
      <w:pPr>
        <w:ind w:firstLineChars="200" w:firstLine="480"/>
        <w:rPr>
          <w:rFonts w:ascii="宋体" w:hAnsi="宋体" w:cs="Arial"/>
          <w:sz w:val="24"/>
        </w:rPr>
      </w:pPr>
      <w:r>
        <w:rPr>
          <w:rFonts w:ascii="宋体" w:hAnsi="宋体" w:cs="Arial" w:hint="eastAsia"/>
          <w:sz w:val="24"/>
          <w:lang w:bidi="ar"/>
        </w:rPr>
        <w:t>（五）基金管理人、基金托管人对他人泄露基金运作和管理过程中任何尚未按法律法规规定的方式公开披露的信息。</w:t>
      </w:r>
    </w:p>
    <w:p w14:paraId="63ED2E4A" w14:textId="77777777" w:rsidR="00026C1A" w:rsidRDefault="000E111F">
      <w:pPr>
        <w:ind w:firstLineChars="200" w:firstLine="420"/>
        <w:rPr>
          <w:rFonts w:ascii="宋体" w:hAnsi="宋体" w:cs="Arial"/>
        </w:rPr>
      </w:pPr>
      <w:r>
        <w:rPr>
          <w:rFonts w:ascii="宋体" w:hAnsi="宋体" w:cs="Arial" w:hint="eastAsia"/>
        </w:rPr>
        <w:t>（六）基金管理人在没有充足资金的情况下向基金托管人发出投资指令和赎回、分红资金的划拨指令，或违规向基金托管人发出指令。</w:t>
      </w:r>
    </w:p>
    <w:p w14:paraId="3432C167" w14:textId="77777777" w:rsidR="00026C1A" w:rsidRDefault="000E111F">
      <w:pPr>
        <w:ind w:firstLineChars="200" w:firstLine="480"/>
        <w:rPr>
          <w:rFonts w:ascii="宋体" w:hAnsi="宋体" w:cs="Arial"/>
          <w:sz w:val="24"/>
        </w:rPr>
      </w:pPr>
      <w:r>
        <w:rPr>
          <w:rFonts w:ascii="宋体" w:hAnsi="宋体" w:cs="Arial" w:hint="eastAsia"/>
          <w:sz w:val="24"/>
          <w:lang w:bidi="ar"/>
        </w:rPr>
        <w:t>（七）基金管理人、基金托管人在行政上、财务上不独立，其高级管理人员和其他从业人员相互兼职。</w:t>
      </w:r>
    </w:p>
    <w:p w14:paraId="497ABD89" w14:textId="77777777" w:rsidR="00026C1A" w:rsidRDefault="000E111F">
      <w:pPr>
        <w:ind w:firstLineChars="200" w:firstLine="480"/>
        <w:rPr>
          <w:rFonts w:ascii="宋体" w:hAnsi="宋体" w:cs="Arial"/>
          <w:sz w:val="24"/>
        </w:rPr>
      </w:pPr>
      <w:r>
        <w:rPr>
          <w:rFonts w:ascii="宋体" w:hAnsi="宋体" w:cs="Arial" w:hint="eastAsia"/>
          <w:sz w:val="24"/>
          <w:lang w:bidi="ar"/>
        </w:rPr>
        <w:t>（八）基金托管人私自动用或处分基金财产，根据基金管理人的合法指令、《基金合同》或托管协议的规定进行处分的除外。</w:t>
      </w:r>
    </w:p>
    <w:p w14:paraId="3F7786A7" w14:textId="77777777" w:rsidR="00026C1A" w:rsidRDefault="000E111F">
      <w:pPr>
        <w:ind w:firstLineChars="200" w:firstLine="480"/>
        <w:rPr>
          <w:rFonts w:ascii="宋体" w:hAnsi="宋体" w:cs="Arial"/>
          <w:sz w:val="24"/>
        </w:rPr>
      </w:pPr>
      <w:r>
        <w:rPr>
          <w:rFonts w:ascii="宋体" w:hAnsi="宋体" w:cs="宋体" w:hint="eastAsia"/>
          <w:sz w:val="24"/>
          <w:lang w:bidi="ar"/>
        </w:rPr>
        <w:t>（九）</w:t>
      </w:r>
      <w:r>
        <w:rPr>
          <w:rFonts w:ascii="宋体" w:hAnsi="宋体" w:cs="Arial" w:hint="eastAsia"/>
          <w:sz w:val="24"/>
          <w:lang w:bidi="ar"/>
        </w:rPr>
        <w:t>基金财产</w:t>
      </w:r>
      <w:r>
        <w:rPr>
          <w:rFonts w:ascii="宋体" w:hAnsi="宋体" w:cs="宋体" w:hint="eastAsia"/>
          <w:sz w:val="24"/>
          <w:lang w:bidi="ar"/>
        </w:rPr>
        <w:t>用于下列投资或者活动：1.承销证券；2.违反规定向他人贷款或者提供担保；3.从事承担无限责任的投资；4.买卖其他基金份额，但是</w:t>
      </w:r>
      <w:r>
        <w:rPr>
          <w:rFonts w:ascii="宋体" w:hAnsi="宋体" w:cs="Arial" w:hint="eastAsia"/>
          <w:sz w:val="24"/>
          <w:lang w:bidi="ar"/>
        </w:rPr>
        <w:t>中国证监会</w:t>
      </w:r>
      <w:r>
        <w:rPr>
          <w:rFonts w:ascii="宋体" w:hAnsi="宋体" w:cs="宋体" w:hint="eastAsia"/>
          <w:sz w:val="24"/>
          <w:lang w:bidi="ar"/>
        </w:rPr>
        <w:t>另有规定的除外；5.向其基金管理人、基金托管人出资；6.从事内幕交易、操纵证券交易价格及其他不正当的证券交易活动；7.法律、行政法规和</w:t>
      </w:r>
      <w:r>
        <w:rPr>
          <w:rFonts w:ascii="宋体" w:hAnsi="宋体" w:cs="Arial" w:hint="eastAsia"/>
          <w:sz w:val="24"/>
          <w:lang w:bidi="ar"/>
        </w:rPr>
        <w:t>中国证监</w:t>
      </w:r>
      <w:r>
        <w:rPr>
          <w:rFonts w:ascii="宋体" w:hAnsi="宋体" w:cs="Arial" w:hint="eastAsia"/>
          <w:sz w:val="24"/>
          <w:lang w:bidi="ar"/>
        </w:rPr>
        <w:lastRenderedPageBreak/>
        <w:t>会规定</w:t>
      </w:r>
      <w:r>
        <w:rPr>
          <w:rFonts w:ascii="宋体" w:hAnsi="宋体" w:cs="Arial" w:hint="eastAsia"/>
          <w:bCs/>
          <w:sz w:val="24"/>
          <w:lang w:bidi="ar"/>
        </w:rPr>
        <w:t>禁止的其他活动。</w:t>
      </w:r>
    </w:p>
    <w:p w14:paraId="3A6E10C2" w14:textId="77777777" w:rsidR="00026C1A" w:rsidRDefault="000E111F">
      <w:pPr>
        <w:ind w:firstLineChars="200" w:firstLine="480"/>
        <w:rPr>
          <w:rFonts w:ascii="宋体" w:hAnsi="宋体" w:cs="Arial"/>
          <w:sz w:val="24"/>
        </w:rPr>
      </w:pPr>
      <w:r>
        <w:rPr>
          <w:rFonts w:ascii="宋体" w:hAnsi="宋体" w:cs="Arial" w:hint="eastAsia"/>
          <w:sz w:val="24"/>
          <w:lang w:bidi="ar"/>
        </w:rPr>
        <w:t>（十）法律、行政法规或监管部门取消或变更上述限制，如适用于本基金，基金管理人在履行适当程序后，则本基金投资不再受相关限制或以变更后的规则为准</w:t>
      </w:r>
      <w:r>
        <w:rPr>
          <w:rFonts w:ascii="宋体" w:hAnsi="宋体" w:cs="宋体" w:hint="eastAsia"/>
          <w:sz w:val="24"/>
          <w:lang w:bidi="ar"/>
        </w:rPr>
        <w:t>。</w:t>
      </w:r>
    </w:p>
    <w:p w14:paraId="4EEB3298" w14:textId="77777777" w:rsidR="00026C1A" w:rsidRDefault="000E111F">
      <w:pPr>
        <w:ind w:firstLineChars="200" w:firstLine="480"/>
        <w:rPr>
          <w:rFonts w:ascii="宋体" w:hAnsi="宋体" w:cs="Arial"/>
          <w:sz w:val="24"/>
        </w:rPr>
      </w:pPr>
      <w:r>
        <w:rPr>
          <w:rFonts w:ascii="宋体" w:hAnsi="宋体" w:cs="Arial" w:hint="eastAsia"/>
          <w:sz w:val="24"/>
          <w:lang w:bidi="ar"/>
        </w:rPr>
        <w:t>（十一）法律法规和《基金合同》禁止的其他行为，以及</w:t>
      </w:r>
      <w:r>
        <w:rPr>
          <w:rFonts w:ascii="宋体" w:hAnsi="宋体" w:cs="宋体" w:hint="eastAsia"/>
          <w:sz w:val="24"/>
          <w:lang w:bidi="ar"/>
        </w:rPr>
        <w:t>依照法律、行政法规有关规定，由</w:t>
      </w:r>
      <w:r>
        <w:rPr>
          <w:rFonts w:ascii="宋体" w:hAnsi="宋体" w:cs="Arial" w:hint="eastAsia"/>
          <w:sz w:val="24"/>
          <w:lang w:bidi="ar"/>
        </w:rPr>
        <w:t>中国证监会</w:t>
      </w:r>
      <w:r>
        <w:rPr>
          <w:rFonts w:ascii="宋体" w:hAnsi="宋体" w:cs="宋体" w:hint="eastAsia"/>
          <w:sz w:val="24"/>
          <w:lang w:bidi="ar"/>
        </w:rPr>
        <w:t>规定禁止基金管理人、基金托管人从事的其他行为。</w:t>
      </w:r>
    </w:p>
    <w:p w14:paraId="0E01381A" w14:textId="77777777" w:rsidR="00026C1A" w:rsidRDefault="00026C1A">
      <w:pPr>
        <w:rPr>
          <w:rFonts w:ascii="宋体" w:hAnsi="宋体" w:cs="宋体"/>
          <w:sz w:val="30"/>
          <w:szCs w:val="30"/>
        </w:rPr>
      </w:pPr>
    </w:p>
    <w:p w14:paraId="444FDF52" w14:textId="77777777" w:rsidR="00026C1A" w:rsidRDefault="000E111F">
      <w:pPr>
        <w:pStyle w:val="1"/>
        <w:jc w:val="center"/>
        <w:rPr>
          <w:rFonts w:ascii="宋体" w:hAnsi="宋体" w:cs="宋体"/>
          <w:sz w:val="30"/>
        </w:rPr>
      </w:pPr>
      <w:bookmarkStart w:id="101" w:name="_Toc111186480"/>
      <w:r>
        <w:rPr>
          <w:rFonts w:ascii="宋体" w:hAnsi="宋体" w:cs="宋体" w:hint="eastAsia"/>
          <w:sz w:val="30"/>
        </w:rPr>
        <w:t>十六、托管协议的变更、终止与基金财产的清算</w:t>
      </w:r>
      <w:bookmarkEnd w:id="101"/>
    </w:p>
    <w:p w14:paraId="18C8FA53" w14:textId="77777777" w:rsidR="00026C1A" w:rsidRDefault="000E111F">
      <w:pPr>
        <w:adjustRightInd w:val="0"/>
        <w:snapToGrid w:val="0"/>
        <w:ind w:firstLineChars="200" w:firstLine="480"/>
        <w:rPr>
          <w:rFonts w:ascii="宋体" w:hAnsi="宋体" w:cs="Arial"/>
          <w:sz w:val="24"/>
        </w:rPr>
      </w:pPr>
      <w:bookmarkStart w:id="102" w:name="_Hlk209711803"/>
      <w:r>
        <w:rPr>
          <w:rFonts w:ascii="宋体" w:hAnsi="宋体" w:cs="Arial" w:hint="eastAsia"/>
          <w:sz w:val="24"/>
          <w:lang w:bidi="ar"/>
        </w:rPr>
        <w:t>（一）托管协议的变更程序</w:t>
      </w:r>
    </w:p>
    <w:p w14:paraId="207B3460" w14:textId="77777777" w:rsidR="00026C1A" w:rsidRDefault="000E111F">
      <w:pPr>
        <w:adjustRightInd w:val="0"/>
        <w:snapToGrid w:val="0"/>
        <w:ind w:firstLineChars="200" w:firstLine="480"/>
        <w:rPr>
          <w:rFonts w:ascii="宋体" w:hAnsi="宋体" w:cs="宋体"/>
          <w:sz w:val="30"/>
          <w:szCs w:val="30"/>
        </w:rPr>
      </w:pPr>
      <w:r>
        <w:rPr>
          <w:rFonts w:ascii="宋体" w:hAnsi="宋体" w:cs="Arial" w:hint="eastAsia"/>
          <w:sz w:val="24"/>
          <w:lang w:bidi="ar"/>
        </w:rPr>
        <w:t>本协议双方当事人经协商一致，可以对协议进行修改。修改后的新协议，其内容不得与《基金合同》的规定有任何冲突。</w:t>
      </w:r>
    </w:p>
    <w:p w14:paraId="5B83737D"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（二）托管协议终止的情形</w:t>
      </w:r>
    </w:p>
    <w:p w14:paraId="12508747"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1、《基金合同》终止；</w:t>
      </w:r>
    </w:p>
    <w:p w14:paraId="1BF2AA89"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2、基金托管人解散、依法被撤销、破产或由其他基金托管人接管基金资产；</w:t>
      </w:r>
    </w:p>
    <w:p w14:paraId="6C4E8B88"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3、基金管理人解散、依法被撤销、破产或由其他基金管理人接管基金管理权；</w:t>
      </w:r>
    </w:p>
    <w:p w14:paraId="46C86FDF"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4、发生法律法规或《基金合同》规定的终止事项。</w:t>
      </w:r>
    </w:p>
    <w:p w14:paraId="06FB86B7"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（三）基金财产的清算</w:t>
      </w:r>
    </w:p>
    <w:p w14:paraId="42BFB433"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1、基金财产清算小组：基金合同终止事由出现后，基金管理人组织基金财产清算小组并在中国证监会的监督下进行基金清算。</w:t>
      </w:r>
    </w:p>
    <w:p w14:paraId="1172D11C"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2、基金财产清算小组组成：基金财产清算小组成员由基金管理人、基金托管人、符合《中华人民共和国证券法》规定的注册会计师、律师以及中国证监会指定的人员组成。基金财产清算小组可以聘用必要的工作人员。</w:t>
      </w:r>
    </w:p>
    <w:p w14:paraId="52284F3C"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3、基金财产清算小组职责：基金财产清算小组负责基金财产的保管、清理、估价、变现和分配。基金财产清算小组可以依法进行必要的民事活动。</w:t>
      </w:r>
    </w:p>
    <w:p w14:paraId="68E943E8"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4、基金财产清算程序：</w:t>
      </w:r>
    </w:p>
    <w:p w14:paraId="76728E32"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（1）基金合同终止情形出现时，由基金财产清算小组统一接管基金；</w:t>
      </w:r>
    </w:p>
    <w:p w14:paraId="4FB9065D"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（2）对基金财产和债权债务进行清理和确认；</w:t>
      </w:r>
    </w:p>
    <w:p w14:paraId="4A96BC20"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（3）对基金财产进行估值和变现；</w:t>
      </w:r>
    </w:p>
    <w:p w14:paraId="3105F92B"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（4）制作清算报告；</w:t>
      </w:r>
    </w:p>
    <w:p w14:paraId="7ECE7A0F"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（5）聘请会计师事务所对清算报告进行外部审计，聘请律师事务所对清算报告出具法律意见书；</w:t>
      </w:r>
    </w:p>
    <w:p w14:paraId="2326D14C"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（6）将清算报告报中国证监会备案并公告；</w:t>
      </w:r>
    </w:p>
    <w:p w14:paraId="114F1D7B"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（7）对基金剩余财产进行分配。</w:t>
      </w:r>
    </w:p>
    <w:p w14:paraId="3B704C58" w14:textId="77777777" w:rsidR="00026C1A" w:rsidRDefault="000E111F">
      <w:pPr>
        <w:adjustRightInd w:val="0"/>
        <w:snapToGrid w:val="0"/>
        <w:ind w:firstLineChars="200" w:firstLine="480"/>
        <w:rPr>
          <w:rFonts w:ascii="宋体" w:hAnsi="宋体" w:cs="Arial"/>
          <w:bCs/>
          <w:sz w:val="24"/>
        </w:rPr>
      </w:pPr>
      <w:r>
        <w:rPr>
          <w:rFonts w:ascii="宋体" w:hAnsi="宋体" w:cs="Arial" w:hint="eastAsia"/>
          <w:sz w:val="24"/>
          <w:lang w:bidi="ar"/>
        </w:rPr>
        <w:t>5、基金财产清算的期限为6个月，但因本基金所持证券的流动性受到限制而不能及时变现的，清算期限相应顺延。</w:t>
      </w:r>
    </w:p>
    <w:p w14:paraId="181D4176"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6、清算费用</w:t>
      </w:r>
    </w:p>
    <w:p w14:paraId="053963F5" w14:textId="77777777" w:rsidR="00026C1A" w:rsidRDefault="000E111F">
      <w:pPr>
        <w:adjustRightInd w:val="0"/>
        <w:snapToGrid w:val="0"/>
        <w:ind w:firstLineChars="200" w:firstLine="480"/>
        <w:rPr>
          <w:rFonts w:ascii="宋体" w:hAnsi="宋体" w:cs="Arial"/>
          <w:sz w:val="24"/>
        </w:rPr>
      </w:pPr>
      <w:r>
        <w:rPr>
          <w:rFonts w:ascii="宋体" w:hAnsi="宋体" w:cs="宋体" w:hint="eastAsia"/>
          <w:sz w:val="24"/>
          <w:lang w:bidi="ar"/>
        </w:rPr>
        <w:t>清算费用是指基金财产清算小组在进行基金财产清算过程中发生的所有合理费用，清算费用由基金财产清算小组优先从基金剩余财产中支付。</w:t>
      </w:r>
    </w:p>
    <w:p w14:paraId="5462BB17"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7、基金财产清算剩余资产的分配：</w:t>
      </w:r>
    </w:p>
    <w:p w14:paraId="598AC3E7" w14:textId="77777777" w:rsidR="00026C1A" w:rsidRDefault="000E111F">
      <w:pPr>
        <w:adjustRightInd w:val="0"/>
        <w:snapToGrid w:val="0"/>
        <w:ind w:firstLineChars="200" w:firstLine="480"/>
        <w:rPr>
          <w:rFonts w:ascii="宋体" w:hAnsi="宋体" w:cs="Arial"/>
          <w:sz w:val="24"/>
        </w:rPr>
      </w:pPr>
      <w:r>
        <w:rPr>
          <w:rFonts w:ascii="宋体" w:hAnsi="宋体" w:cs="宋体" w:hint="eastAsia"/>
          <w:sz w:val="24"/>
          <w:lang w:bidi="ar"/>
        </w:rPr>
        <w:lastRenderedPageBreak/>
        <w:t>依据基金财产清算的分配方案，将基金财产清算后的全部剩余资产扣除基金财产清算费用、交纳所欠税款并清偿基金债务后，按基金份额持有人持有的基金份额比例进行分配。</w:t>
      </w:r>
    </w:p>
    <w:p w14:paraId="054B84B1"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8、基金财产清算的公告</w:t>
      </w:r>
    </w:p>
    <w:p w14:paraId="29D57646" w14:textId="77777777" w:rsidR="00026C1A" w:rsidRDefault="000E111F">
      <w:pPr>
        <w:adjustRightInd w:val="0"/>
        <w:snapToGrid w:val="0"/>
        <w:ind w:firstLineChars="200" w:firstLine="480"/>
        <w:rPr>
          <w:rFonts w:ascii="宋体" w:hAnsi="宋体" w:cs="Arial"/>
          <w:sz w:val="24"/>
        </w:rPr>
      </w:pPr>
      <w:r>
        <w:rPr>
          <w:rFonts w:ascii="宋体" w:hAnsi="宋体" w:cs="宋体" w:hint="eastAsia"/>
          <w:sz w:val="24"/>
          <w:lang w:bidi="ar"/>
        </w:rPr>
        <w:t>清算过程中的有关重大事项须及时公告；基金财产清算报告经符合《中华人民共和国证券法》规定的会计师事务所审计，律师事务所出具法律意见书后，由基金财产清算小组报中国证监会备案并公告</w:t>
      </w:r>
      <w:r>
        <w:rPr>
          <w:rFonts w:ascii="宋体" w:hAnsi="宋体" w:cs="宋体" w:hint="eastAsia"/>
          <w:bCs/>
          <w:sz w:val="24"/>
          <w:lang w:bidi="ar"/>
        </w:rPr>
        <w:t>，</w:t>
      </w:r>
      <w:r>
        <w:rPr>
          <w:rFonts w:ascii="宋体" w:hAnsi="宋体" w:cs="宋体" w:hint="eastAsia"/>
          <w:sz w:val="24"/>
          <w:lang w:bidi="ar"/>
        </w:rPr>
        <w:t>基金财产清算小组应当将清算报告登载在规定网站上，并将清算报告提示性公告登载在规定报刊上。</w:t>
      </w:r>
    </w:p>
    <w:p w14:paraId="51B39384"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9、基金财产清算账册及文件的保存</w:t>
      </w:r>
    </w:p>
    <w:p w14:paraId="5ABB4707" w14:textId="31C2CE99"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基金财产清算账册及有关文件由基金托管人保存，保存期限按照法律法规的规定执行。</w:t>
      </w:r>
    </w:p>
    <w:p w14:paraId="461BF43E" w14:textId="77777777" w:rsidR="00026C1A" w:rsidRDefault="00026C1A">
      <w:pPr>
        <w:adjustRightInd w:val="0"/>
        <w:snapToGrid w:val="0"/>
        <w:rPr>
          <w:rFonts w:ascii="宋体" w:hAnsi="宋体" w:cs="Arial"/>
          <w:sz w:val="24"/>
        </w:rPr>
      </w:pPr>
    </w:p>
    <w:p w14:paraId="3A885D74" w14:textId="77777777" w:rsidR="00026C1A" w:rsidRDefault="000E111F">
      <w:pPr>
        <w:pStyle w:val="1"/>
        <w:jc w:val="center"/>
        <w:rPr>
          <w:rFonts w:ascii="宋体" w:hAnsi="宋体" w:cs="宋体"/>
          <w:sz w:val="30"/>
        </w:rPr>
      </w:pPr>
      <w:bookmarkStart w:id="103" w:name="_Toc111186481"/>
      <w:bookmarkEnd w:id="102"/>
      <w:r>
        <w:rPr>
          <w:rFonts w:ascii="宋体" w:hAnsi="宋体" w:cs="宋体" w:hint="eastAsia"/>
          <w:sz w:val="30"/>
        </w:rPr>
        <w:t>十七、违约责任</w:t>
      </w:r>
      <w:bookmarkEnd w:id="103"/>
    </w:p>
    <w:p w14:paraId="19767BE1" w14:textId="77777777" w:rsidR="00026C1A" w:rsidRDefault="000E111F">
      <w:pPr>
        <w:rPr>
          <w:rFonts w:ascii="宋体" w:hAnsi="宋体" w:cs="Arial"/>
          <w:sz w:val="24"/>
        </w:rPr>
      </w:pPr>
      <w:r>
        <w:rPr>
          <w:rFonts w:ascii="宋体" w:hAnsi="宋体" w:cs="Arial" w:hint="eastAsia"/>
          <w:sz w:val="24"/>
          <w:lang w:bidi="ar"/>
        </w:rPr>
        <w:t>（一）基金管理人、基金托管人不履行本协议或履行本协议不符合约定的，应当承担违约责任。</w:t>
      </w:r>
    </w:p>
    <w:p w14:paraId="72A0C70D" w14:textId="77777777" w:rsidR="00026C1A" w:rsidRDefault="000E111F">
      <w:pPr>
        <w:adjustRightInd w:val="0"/>
        <w:snapToGrid w:val="0"/>
        <w:spacing w:line="360" w:lineRule="auto"/>
        <w:ind w:firstLineChars="200" w:firstLine="480"/>
        <w:outlineLvl w:val="0"/>
        <w:rPr>
          <w:rFonts w:ascii="宋体" w:hAnsi="宋体" w:cs="Arial"/>
          <w:sz w:val="24"/>
        </w:rPr>
      </w:pPr>
      <w:r>
        <w:rPr>
          <w:rFonts w:ascii="宋体" w:hAnsi="宋体" w:cs="Arial" w:hint="eastAsia"/>
          <w:sz w:val="24"/>
          <w:lang w:bidi="ar"/>
        </w:rPr>
        <w:t>（二）基金管理人、基金托管人在履行各自职责的过程中，违反《基金法》等法律法规的规定或者《基金合同》和本托管协议约定，给基金财产或者基金份额持有人造成损害的，应当分别对各自的行为依法承担赔偿责任；因共同行为给基金财产或者基金份额持有人造成损害的，应当承担连带赔偿责任。</w:t>
      </w:r>
      <w:r>
        <w:rPr>
          <w:rFonts w:ascii="宋体" w:hAnsi="宋体" w:cs="Arial" w:hint="eastAsia"/>
          <w:sz w:val="24"/>
        </w:rPr>
        <w:t>对损失的赔偿，仅限于直接损失。</w:t>
      </w:r>
    </w:p>
    <w:p w14:paraId="1198DECC" w14:textId="77777777" w:rsidR="00026C1A" w:rsidRDefault="000E111F">
      <w:pPr>
        <w:rPr>
          <w:rFonts w:ascii="宋体" w:hAnsi="宋体" w:cs="Arial"/>
          <w:sz w:val="24"/>
        </w:rPr>
      </w:pPr>
      <w:r>
        <w:rPr>
          <w:rFonts w:ascii="宋体" w:hAnsi="宋体" w:cs="Arial" w:hint="eastAsia"/>
          <w:sz w:val="24"/>
          <w:lang w:bidi="ar"/>
        </w:rPr>
        <w:t>（三）一方当事人违约，给另一方当事人造成损失的，应就直接损失进行赔偿；给基金财产造成损失的，应就直接损失进行赔偿，另一方当事人有权利及义务代表基金向违约方追偿。但是如发生下列情况，相应的当事人免责：</w:t>
      </w:r>
    </w:p>
    <w:p w14:paraId="589C0852" w14:textId="77777777" w:rsidR="00026C1A" w:rsidRDefault="000E111F">
      <w:pPr>
        <w:rPr>
          <w:rFonts w:ascii="宋体" w:hAnsi="宋体" w:cs="Arial"/>
          <w:sz w:val="24"/>
        </w:rPr>
      </w:pPr>
      <w:r>
        <w:rPr>
          <w:rFonts w:ascii="宋体" w:hAnsi="宋体" w:cs="Arial" w:hint="eastAsia"/>
          <w:sz w:val="24"/>
          <w:lang w:bidi="ar"/>
        </w:rPr>
        <w:t>1.不可抗力；</w:t>
      </w:r>
    </w:p>
    <w:p w14:paraId="610A933E" w14:textId="77777777" w:rsidR="00026C1A" w:rsidRDefault="000E111F">
      <w:pPr>
        <w:rPr>
          <w:rFonts w:ascii="宋体" w:hAnsi="宋体" w:cs="Arial"/>
          <w:sz w:val="24"/>
        </w:rPr>
      </w:pPr>
      <w:r>
        <w:rPr>
          <w:rFonts w:ascii="宋体" w:hAnsi="宋体" w:cs="Arial" w:hint="eastAsia"/>
          <w:sz w:val="24"/>
          <w:lang w:bidi="ar"/>
        </w:rPr>
        <w:t>2.基金管理人</w:t>
      </w:r>
      <w:r>
        <w:rPr>
          <w:rFonts w:ascii="宋体" w:hAnsi="宋体" w:cs="宋体" w:hint="eastAsia"/>
          <w:bCs/>
          <w:sz w:val="24"/>
          <w:lang w:bidi="ar"/>
        </w:rPr>
        <w:t>和/</w:t>
      </w:r>
      <w:r>
        <w:rPr>
          <w:rFonts w:ascii="宋体" w:hAnsi="宋体" w:cs="Arial" w:hint="eastAsia"/>
          <w:sz w:val="24"/>
          <w:lang w:bidi="ar"/>
        </w:rPr>
        <w:t>或基金托管人按照当时有效的法律法规或中国证监会等监管机构的规定作为或不作为而造成的损失等；</w:t>
      </w:r>
    </w:p>
    <w:p w14:paraId="29D5F49A" w14:textId="26BB9C74" w:rsidR="00026C1A" w:rsidRDefault="000E111F">
      <w:pPr>
        <w:rPr>
          <w:rFonts w:ascii="宋体" w:hAnsi="宋体" w:cs="Arial"/>
          <w:sz w:val="24"/>
        </w:rPr>
      </w:pPr>
      <w:r>
        <w:rPr>
          <w:rFonts w:ascii="宋体" w:hAnsi="宋体" w:cs="Arial" w:hint="eastAsia"/>
          <w:sz w:val="24"/>
          <w:lang w:bidi="ar"/>
        </w:rPr>
        <w:t>3.在没有过错的情况下，基金管理人由于按照《基金合同》约定的投资原则行使或不行使其投资权而造成的损失等。</w:t>
      </w:r>
    </w:p>
    <w:p w14:paraId="32CEECA7" w14:textId="77777777" w:rsidR="00026C1A" w:rsidRDefault="000E111F">
      <w:pPr>
        <w:rPr>
          <w:rFonts w:ascii="宋体" w:hAnsi="宋体" w:cs="Arial"/>
          <w:sz w:val="24"/>
          <w:lang w:bidi="ar"/>
        </w:rPr>
      </w:pPr>
      <w:r>
        <w:rPr>
          <w:rFonts w:ascii="宋体" w:hAnsi="宋体" w:cs="Arial" w:hint="eastAsia"/>
          <w:sz w:val="24"/>
          <w:lang w:bidi="ar"/>
        </w:rPr>
        <w:t>4</w:t>
      </w:r>
      <w:r>
        <w:rPr>
          <w:rFonts w:ascii="宋体" w:hAnsi="宋体" w:cs="Arial"/>
          <w:sz w:val="24"/>
          <w:lang w:bidi="ar"/>
        </w:rPr>
        <w:t>.</w:t>
      </w:r>
      <w:r>
        <w:rPr>
          <w:rFonts w:ascii="宋体" w:hAnsi="宋体" w:cs="Arial" w:hint="eastAsia"/>
          <w:sz w:val="24"/>
          <w:lang w:bidi="ar"/>
        </w:rPr>
        <w:t>非因基金管理人、基金托管人的故意或重大过失造成的计算机系统故障、网络故障、通讯故障、电力故障、计算机病毒攻击及其它意外事故所导致的损失等。</w:t>
      </w:r>
    </w:p>
    <w:p w14:paraId="298A9810" w14:textId="77777777" w:rsidR="00026C1A" w:rsidRDefault="000E111F">
      <w:pPr>
        <w:rPr>
          <w:rFonts w:ascii="宋体" w:hAnsi="宋体" w:cs="Arial"/>
          <w:sz w:val="24"/>
        </w:rPr>
      </w:pPr>
      <w:r>
        <w:rPr>
          <w:rFonts w:ascii="宋体" w:hAnsi="宋体" w:cs="Arial" w:hint="eastAsia"/>
          <w:sz w:val="24"/>
          <w:lang w:bidi="ar"/>
        </w:rPr>
        <w:t>（四）一方当事人违约，另一方当事人在职责范围内有义务及时采取必要的措施，尽力防止损失的扩大。没有采取适当措施致使损失进一步扩大的，不得就扩大的损失要求赔偿。非违约方因防止损失扩大而支出的合理费用由违约方承担。</w:t>
      </w:r>
    </w:p>
    <w:p w14:paraId="184B03EB" w14:textId="77777777" w:rsidR="00026C1A" w:rsidRDefault="000E111F">
      <w:pPr>
        <w:rPr>
          <w:rFonts w:ascii="宋体" w:hAnsi="宋体" w:cs="Arial"/>
          <w:sz w:val="24"/>
        </w:rPr>
      </w:pPr>
      <w:r>
        <w:rPr>
          <w:rFonts w:ascii="宋体" w:hAnsi="宋体" w:cs="Arial" w:hint="eastAsia"/>
          <w:sz w:val="24"/>
          <w:lang w:bidi="ar"/>
        </w:rPr>
        <w:t>（五）违约行为虽已发生，但本托管协议能够继续履行的，在最大限度地保护基金份额持有人利益的前提下，基金管理人和基金托管人应当继续履行本协议。</w:t>
      </w:r>
    </w:p>
    <w:p w14:paraId="02FE6322" w14:textId="77777777" w:rsidR="00026C1A" w:rsidRDefault="000E111F">
      <w:pPr>
        <w:rPr>
          <w:rFonts w:ascii="宋体" w:hAnsi="宋体" w:cs="Arial"/>
          <w:sz w:val="24"/>
        </w:rPr>
      </w:pPr>
      <w:r>
        <w:rPr>
          <w:rFonts w:ascii="宋体" w:hAnsi="宋体" w:cs="Arial" w:hint="eastAsia"/>
          <w:sz w:val="24"/>
          <w:lang w:bidi="ar"/>
        </w:rPr>
        <w:t>（六）由于基金管理人、基金托管人不可控制的因素导致业务出现差错，基金管理人和基金托管人虽然已经采取必要、适当、合理的措施进行检查，但是未能发现错误或虽然发现错误但无法及时更正的，由此造成基金财产或投资人损失，基</w:t>
      </w:r>
      <w:r>
        <w:rPr>
          <w:rFonts w:ascii="宋体" w:hAnsi="宋体" w:cs="Arial" w:hint="eastAsia"/>
          <w:sz w:val="24"/>
          <w:lang w:bidi="ar"/>
        </w:rPr>
        <w:lastRenderedPageBreak/>
        <w:t>金管理人和基金托管人免除赔偿责任。但是基金管理人和基金托管人应积极采取必要的措施减轻或消除由此造成的影响。</w:t>
      </w:r>
    </w:p>
    <w:p w14:paraId="19C1B015" w14:textId="77777777" w:rsidR="00026C1A" w:rsidRDefault="000E111F">
      <w:pPr>
        <w:pStyle w:val="1"/>
        <w:jc w:val="center"/>
        <w:rPr>
          <w:rFonts w:ascii="宋体" w:hAnsi="宋体" w:cs="宋体"/>
          <w:sz w:val="30"/>
        </w:rPr>
      </w:pPr>
      <w:bookmarkStart w:id="104" w:name="_Toc111186482"/>
      <w:r>
        <w:rPr>
          <w:rFonts w:ascii="宋体" w:hAnsi="宋体" w:cs="宋体" w:hint="eastAsia"/>
          <w:sz w:val="30"/>
        </w:rPr>
        <w:t>十八、争议解决方式</w:t>
      </w:r>
      <w:bookmarkEnd w:id="104"/>
    </w:p>
    <w:p w14:paraId="75AD8FA3" w14:textId="066DE549"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因本协议产生或与之相关的争议，双方当事人应尽量通过协商、调解解决，协商、调解不能解决的，任何一方均有权将争议提交中国国际经济贸易仲裁委员会，仲裁地点为北京市，按照中国国际经济贸易仲裁委员会届时有效的仲裁规则进行仲裁。仲裁裁决是终局的，对双方当事人均有约束力，仲裁费用由败诉方承担，除非仲裁裁决另有决定。</w:t>
      </w:r>
    </w:p>
    <w:p w14:paraId="4F533093"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争议处理期间，双方当事人应恪守基金管理人和基金托管人职责，各自继续忠实、勤勉、尽责地履行《基金合同》和本托管协议规定的义务，维护基金份额持有人的合法权益。</w:t>
      </w:r>
    </w:p>
    <w:p w14:paraId="13ABA77A"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本协议受中国法律</w:t>
      </w:r>
      <w:r>
        <w:rPr>
          <w:rFonts w:ascii="宋体" w:hAnsi="宋体" w:cs="Arial" w:hint="eastAsia"/>
          <w:bCs/>
          <w:sz w:val="24"/>
          <w:lang w:bidi="ar"/>
        </w:rPr>
        <w:t>（为本托管协议之目的，不包括香港特别行政区、澳门特别行政区和台湾地区法律）</w:t>
      </w:r>
      <w:r>
        <w:rPr>
          <w:rFonts w:ascii="宋体" w:hAnsi="宋体" w:cs="Arial" w:hint="eastAsia"/>
          <w:sz w:val="24"/>
          <w:lang w:bidi="ar"/>
        </w:rPr>
        <w:t>管辖，并按其解释。</w:t>
      </w:r>
    </w:p>
    <w:p w14:paraId="38603908" w14:textId="77777777" w:rsidR="00026C1A" w:rsidRDefault="00026C1A">
      <w:pPr>
        <w:adjustRightInd w:val="0"/>
        <w:snapToGrid w:val="0"/>
        <w:rPr>
          <w:rFonts w:ascii="宋体" w:hAnsi="宋体" w:cs="Arial"/>
          <w:sz w:val="24"/>
        </w:rPr>
      </w:pPr>
    </w:p>
    <w:p w14:paraId="463A1A76" w14:textId="77777777" w:rsidR="00026C1A" w:rsidRDefault="000E111F">
      <w:pPr>
        <w:pStyle w:val="1"/>
        <w:jc w:val="center"/>
        <w:rPr>
          <w:rFonts w:ascii="宋体" w:hAnsi="宋体" w:cs="宋体"/>
          <w:sz w:val="30"/>
        </w:rPr>
      </w:pPr>
      <w:bookmarkStart w:id="105" w:name="_Toc111186483"/>
      <w:r>
        <w:rPr>
          <w:rFonts w:ascii="宋体" w:hAnsi="宋体" w:cs="宋体" w:hint="eastAsia"/>
          <w:sz w:val="30"/>
        </w:rPr>
        <w:t>十九、托管协议的效力</w:t>
      </w:r>
      <w:bookmarkEnd w:id="105"/>
    </w:p>
    <w:p w14:paraId="09EA3E94"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双方对托管协议的效力约定如下：</w:t>
      </w:r>
    </w:p>
    <w:p w14:paraId="2F6ECF34"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一）基金管理人在向中国证监会申请募集注册基金份额时提交的托管协议草案，应经托管协议当事人双方加盖公章或合同专用章以及双方法定代表人或授权代表签字（或盖章），协议当事人双方根据中国证监会的意见修改托管协议草案。托管协议以中国证监会注册的文本为正式文本。</w:t>
      </w:r>
    </w:p>
    <w:p w14:paraId="6A9BB9B7"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（二）托管协议自《基金合同》成立之日起成立，自《基金合同》生效之日起生效。托管协议的有效期自其生效之日起至基金财产清算结果报中国证监会备案并公告之日止。</w:t>
      </w:r>
    </w:p>
    <w:p w14:paraId="2F744F36"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（三）托管协议自生效之日起对托管协议当事人具有同等的法律约束力。</w:t>
      </w:r>
    </w:p>
    <w:p w14:paraId="7DAA83A8" w14:textId="54B49434" w:rsidR="00026C1A" w:rsidRDefault="000E111F">
      <w:pPr>
        <w:adjustRightInd w:val="0"/>
        <w:snapToGrid w:val="0"/>
        <w:ind w:firstLineChars="200" w:firstLine="480"/>
        <w:rPr>
          <w:rFonts w:ascii="宋体" w:hAnsi="宋体" w:cs="宋体"/>
          <w:sz w:val="30"/>
          <w:szCs w:val="30"/>
        </w:rPr>
      </w:pPr>
      <w:r>
        <w:rPr>
          <w:rFonts w:ascii="宋体" w:hAnsi="宋体" w:cs="Arial" w:hint="eastAsia"/>
          <w:sz w:val="24"/>
          <w:lang w:bidi="ar"/>
        </w:rPr>
        <w:t>（四）本协议一式三份，协议双方各持一份，上报监管机构一份，每份具有同等的法律效力。</w:t>
      </w:r>
    </w:p>
    <w:p w14:paraId="0BE5E02D" w14:textId="77777777" w:rsidR="00026C1A" w:rsidRDefault="00026C1A">
      <w:pPr>
        <w:adjustRightInd w:val="0"/>
        <w:snapToGrid w:val="0"/>
        <w:rPr>
          <w:rFonts w:ascii="宋体" w:hAnsi="宋体" w:cs="Arial"/>
          <w:sz w:val="24"/>
        </w:rPr>
      </w:pPr>
    </w:p>
    <w:p w14:paraId="24DF2DA4" w14:textId="77777777" w:rsidR="00026C1A" w:rsidRDefault="000E111F">
      <w:pPr>
        <w:pStyle w:val="1"/>
        <w:jc w:val="center"/>
        <w:rPr>
          <w:rFonts w:ascii="宋体" w:hAnsi="宋体" w:cs="宋体"/>
          <w:sz w:val="30"/>
        </w:rPr>
      </w:pPr>
      <w:bookmarkStart w:id="106" w:name="_Toc111186484"/>
      <w:r>
        <w:rPr>
          <w:rFonts w:ascii="宋体" w:hAnsi="宋体" w:cs="宋体" w:hint="eastAsia"/>
          <w:sz w:val="30"/>
        </w:rPr>
        <w:t>二十、其他事项</w:t>
      </w:r>
      <w:bookmarkEnd w:id="106"/>
    </w:p>
    <w:p w14:paraId="38AC862C"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如发生有权司法机关依法冻结基金份额持有人的基金份额时，基金管理人应予以配合，承担司法协助义务。</w:t>
      </w:r>
    </w:p>
    <w:p w14:paraId="3580A205" w14:textId="77777777" w:rsidR="00026C1A" w:rsidRDefault="000E111F">
      <w:pPr>
        <w:adjustRightInd w:val="0"/>
        <w:snapToGrid w:val="0"/>
        <w:ind w:firstLineChars="200" w:firstLine="480"/>
        <w:rPr>
          <w:rFonts w:ascii="宋体" w:hAnsi="宋体" w:cs="Arial"/>
          <w:sz w:val="24"/>
        </w:rPr>
      </w:pPr>
      <w:r>
        <w:rPr>
          <w:rFonts w:ascii="宋体" w:hAnsi="宋体" w:cs="Arial" w:hint="eastAsia"/>
          <w:sz w:val="24"/>
          <w:lang w:bidi="ar"/>
        </w:rPr>
        <w:t>除本协议有明确定义外，本协议的用语定义适用《基金合同》的约定。本协议未尽事宜，当事人依据《基金合同》、有关法律法规等规定协商办理。</w:t>
      </w:r>
    </w:p>
    <w:p w14:paraId="561EDFB2" w14:textId="77777777" w:rsidR="00026C1A" w:rsidRDefault="00026C1A">
      <w:pPr>
        <w:adjustRightInd w:val="0"/>
        <w:snapToGrid w:val="0"/>
        <w:rPr>
          <w:rFonts w:ascii="宋体" w:hAnsi="宋体" w:cs="宋体"/>
          <w:b/>
        </w:rPr>
      </w:pPr>
    </w:p>
    <w:p w14:paraId="0811EB38" w14:textId="77777777" w:rsidR="00026C1A" w:rsidRDefault="000E111F">
      <w:pPr>
        <w:pStyle w:val="1"/>
        <w:jc w:val="center"/>
        <w:rPr>
          <w:rFonts w:ascii="宋体" w:hAnsi="宋体" w:cs="宋体"/>
          <w:sz w:val="30"/>
        </w:rPr>
      </w:pPr>
      <w:bookmarkStart w:id="107" w:name="_Toc111186485"/>
      <w:r>
        <w:rPr>
          <w:rFonts w:ascii="宋体" w:hAnsi="宋体" w:cs="宋体" w:hint="eastAsia"/>
          <w:sz w:val="30"/>
        </w:rPr>
        <w:lastRenderedPageBreak/>
        <w:t>二十一、托管协议的签订</w:t>
      </w:r>
      <w:bookmarkEnd w:id="107"/>
    </w:p>
    <w:p w14:paraId="083E3FF7" w14:textId="77777777" w:rsidR="00026C1A" w:rsidRDefault="000E111F">
      <w:pPr>
        <w:adjustRightInd w:val="0"/>
        <w:snapToGrid w:val="0"/>
        <w:ind w:firstLineChars="200" w:firstLine="480"/>
        <w:rPr>
          <w:rFonts w:ascii="宋体" w:hAnsi="宋体" w:cs="Arial"/>
          <w:sz w:val="24"/>
          <w:lang w:bidi="ar"/>
        </w:rPr>
      </w:pPr>
      <w:r>
        <w:rPr>
          <w:rFonts w:ascii="宋体" w:hAnsi="宋体" w:cs="Arial" w:hint="eastAsia"/>
          <w:sz w:val="24"/>
          <w:lang w:bidi="ar"/>
        </w:rPr>
        <w:t>本协议双方法定代表人或授权代表签章、签订地、签订日</w:t>
      </w:r>
    </w:p>
    <w:p w14:paraId="0B0FBDBC" w14:textId="4725AE0A" w:rsidR="00026C1A" w:rsidRDefault="000E111F">
      <w:pPr>
        <w:spacing w:line="360" w:lineRule="auto"/>
        <w:ind w:right="26"/>
        <w:rPr>
          <w:rFonts w:ascii="宋体" w:hAnsi="宋体" w:cs="宋体"/>
          <w:sz w:val="24"/>
        </w:rPr>
      </w:pPr>
      <w:r>
        <w:rPr>
          <w:rFonts w:ascii="宋体" w:hAnsi="宋体" w:cs="Arial"/>
          <w:sz w:val="24"/>
          <w:lang w:bidi="ar"/>
        </w:rPr>
        <w:br w:type="page"/>
      </w:r>
      <w:r>
        <w:rPr>
          <w:rFonts w:ascii="宋体" w:hAnsi="宋体" w:cs="宋体" w:hint="eastAsia"/>
          <w:sz w:val="24"/>
        </w:rPr>
        <w:lastRenderedPageBreak/>
        <w:t>本页无正文，为《银华中证全指红利质量交易型开放式指数证券投资基金托管协议》的签字盖章页。</w:t>
      </w:r>
    </w:p>
    <w:p w14:paraId="7D67C30D" w14:textId="77777777" w:rsidR="00026C1A" w:rsidRDefault="00026C1A">
      <w:pPr>
        <w:spacing w:line="360" w:lineRule="auto"/>
        <w:rPr>
          <w:rFonts w:ascii="宋体" w:hAnsi="宋体" w:cs="宋体"/>
          <w:sz w:val="24"/>
        </w:rPr>
      </w:pPr>
    </w:p>
    <w:p w14:paraId="0BE1F211" w14:textId="77777777" w:rsidR="00026C1A" w:rsidRDefault="00026C1A">
      <w:pPr>
        <w:spacing w:line="360" w:lineRule="auto"/>
        <w:rPr>
          <w:rFonts w:ascii="宋体" w:hAnsi="宋体" w:cs="宋体"/>
          <w:sz w:val="24"/>
        </w:rPr>
      </w:pPr>
    </w:p>
    <w:p w14:paraId="1C132ED6" w14:textId="77777777" w:rsidR="00026C1A" w:rsidRDefault="00026C1A">
      <w:pPr>
        <w:spacing w:line="360" w:lineRule="auto"/>
        <w:rPr>
          <w:rFonts w:ascii="宋体" w:hAnsi="宋体" w:cs="宋体"/>
          <w:sz w:val="24"/>
        </w:rPr>
      </w:pPr>
    </w:p>
    <w:p w14:paraId="6DF3CBFF" w14:textId="77777777" w:rsidR="00026C1A" w:rsidRDefault="000E111F">
      <w:pPr>
        <w:spacing w:line="360" w:lineRule="auto"/>
        <w:ind w:right="26"/>
        <w:rPr>
          <w:rFonts w:ascii="宋体" w:hAnsi="宋体" w:cs="宋体"/>
          <w:sz w:val="24"/>
        </w:rPr>
      </w:pPr>
      <w:r>
        <w:rPr>
          <w:rFonts w:ascii="宋体" w:hAnsi="宋体" w:cs="宋体" w:hint="eastAsia"/>
          <w:sz w:val="24"/>
        </w:rPr>
        <w:t>基金管理人：银华基金管理股份有限公司（盖章）</w:t>
      </w:r>
    </w:p>
    <w:p w14:paraId="64024191" w14:textId="77777777" w:rsidR="00026C1A" w:rsidRDefault="00026C1A">
      <w:pPr>
        <w:spacing w:line="360" w:lineRule="auto"/>
        <w:ind w:right="26"/>
        <w:rPr>
          <w:rFonts w:ascii="宋体" w:hAnsi="宋体" w:cs="宋体"/>
          <w:sz w:val="24"/>
        </w:rPr>
      </w:pPr>
    </w:p>
    <w:p w14:paraId="0A340E95" w14:textId="77777777" w:rsidR="00026C1A" w:rsidRDefault="00026C1A">
      <w:pPr>
        <w:spacing w:line="360" w:lineRule="auto"/>
        <w:ind w:right="26"/>
        <w:rPr>
          <w:rFonts w:ascii="宋体" w:hAnsi="宋体" w:cs="宋体"/>
          <w:sz w:val="24"/>
        </w:rPr>
      </w:pPr>
    </w:p>
    <w:p w14:paraId="51170D3E" w14:textId="77777777" w:rsidR="00026C1A" w:rsidRDefault="00026C1A">
      <w:pPr>
        <w:spacing w:line="360" w:lineRule="auto"/>
        <w:ind w:right="26"/>
        <w:rPr>
          <w:rFonts w:ascii="宋体" w:hAnsi="宋体" w:cs="宋体"/>
          <w:sz w:val="24"/>
        </w:rPr>
      </w:pPr>
    </w:p>
    <w:p w14:paraId="3437A896" w14:textId="77777777" w:rsidR="00026C1A" w:rsidRDefault="000E111F">
      <w:pPr>
        <w:spacing w:line="360" w:lineRule="auto"/>
        <w:ind w:right="26"/>
        <w:rPr>
          <w:rFonts w:ascii="宋体" w:hAnsi="宋体" w:cs="宋体"/>
          <w:sz w:val="24"/>
        </w:rPr>
      </w:pPr>
      <w:r>
        <w:rPr>
          <w:rFonts w:ascii="宋体" w:hAnsi="宋体" w:cs="宋体" w:hint="eastAsia"/>
          <w:sz w:val="24"/>
        </w:rPr>
        <w:t>法定代表人或授权代表：</w:t>
      </w:r>
    </w:p>
    <w:p w14:paraId="28D3888C" w14:textId="77777777" w:rsidR="00026C1A" w:rsidRDefault="00026C1A">
      <w:pPr>
        <w:spacing w:line="360" w:lineRule="auto"/>
        <w:ind w:right="26"/>
        <w:rPr>
          <w:rFonts w:ascii="宋体" w:hAnsi="宋体" w:cs="宋体"/>
          <w:sz w:val="24"/>
        </w:rPr>
      </w:pPr>
    </w:p>
    <w:p w14:paraId="6D2DB07C" w14:textId="77777777" w:rsidR="00026C1A" w:rsidRDefault="00026C1A">
      <w:pPr>
        <w:spacing w:line="360" w:lineRule="auto"/>
        <w:ind w:right="26"/>
        <w:rPr>
          <w:rFonts w:ascii="宋体" w:hAnsi="宋体" w:cs="宋体"/>
          <w:sz w:val="24"/>
        </w:rPr>
      </w:pPr>
    </w:p>
    <w:p w14:paraId="5C881B78" w14:textId="77777777" w:rsidR="00026C1A" w:rsidRDefault="00026C1A">
      <w:pPr>
        <w:spacing w:line="360" w:lineRule="auto"/>
        <w:ind w:right="26"/>
        <w:rPr>
          <w:rFonts w:ascii="宋体" w:hAnsi="宋体" w:cs="宋体"/>
          <w:sz w:val="24"/>
        </w:rPr>
      </w:pPr>
    </w:p>
    <w:p w14:paraId="5F469D4D" w14:textId="77777777" w:rsidR="00026C1A" w:rsidRDefault="000E111F">
      <w:pPr>
        <w:spacing w:line="360" w:lineRule="auto"/>
        <w:ind w:right="26"/>
        <w:rPr>
          <w:rFonts w:ascii="宋体" w:hAnsi="宋体" w:cs="宋体"/>
          <w:sz w:val="24"/>
        </w:rPr>
      </w:pPr>
      <w:r>
        <w:rPr>
          <w:rFonts w:ascii="宋体" w:hAnsi="宋体" w:cs="宋体" w:hint="eastAsia"/>
          <w:sz w:val="24"/>
        </w:rPr>
        <w:t>基金托管人：中国建设银行股份有限公司（盖章）</w:t>
      </w:r>
    </w:p>
    <w:p w14:paraId="4C02A28D" w14:textId="77777777" w:rsidR="00026C1A" w:rsidRDefault="00026C1A">
      <w:pPr>
        <w:spacing w:line="360" w:lineRule="auto"/>
        <w:ind w:right="26"/>
        <w:rPr>
          <w:rFonts w:ascii="宋体" w:hAnsi="宋体" w:cs="宋体"/>
          <w:sz w:val="24"/>
        </w:rPr>
      </w:pPr>
    </w:p>
    <w:p w14:paraId="5C2097DE" w14:textId="77777777" w:rsidR="00026C1A" w:rsidRDefault="00026C1A">
      <w:pPr>
        <w:spacing w:line="360" w:lineRule="auto"/>
        <w:ind w:right="26"/>
        <w:rPr>
          <w:rFonts w:ascii="宋体" w:hAnsi="宋体" w:cs="宋体"/>
          <w:sz w:val="24"/>
        </w:rPr>
      </w:pPr>
    </w:p>
    <w:p w14:paraId="34E4D1AF" w14:textId="77777777" w:rsidR="00026C1A" w:rsidRDefault="00026C1A">
      <w:pPr>
        <w:spacing w:line="360" w:lineRule="auto"/>
        <w:ind w:right="26"/>
        <w:rPr>
          <w:rFonts w:ascii="宋体" w:hAnsi="宋体" w:cs="宋体"/>
          <w:sz w:val="24"/>
        </w:rPr>
      </w:pPr>
    </w:p>
    <w:p w14:paraId="70F2B028" w14:textId="77777777" w:rsidR="00026C1A" w:rsidRDefault="000E111F">
      <w:pPr>
        <w:spacing w:line="360" w:lineRule="auto"/>
        <w:ind w:right="26"/>
        <w:rPr>
          <w:rFonts w:ascii="宋体" w:hAnsi="宋体" w:cs="宋体"/>
          <w:sz w:val="24"/>
        </w:rPr>
      </w:pPr>
      <w:r>
        <w:rPr>
          <w:rFonts w:ascii="宋体" w:hAnsi="宋体" w:cs="宋体" w:hint="eastAsia"/>
          <w:sz w:val="24"/>
        </w:rPr>
        <w:t xml:space="preserve">法定代表人或授权代表：                   </w:t>
      </w:r>
    </w:p>
    <w:p w14:paraId="2E61C35F" w14:textId="77777777" w:rsidR="00026C1A" w:rsidRDefault="00026C1A">
      <w:pPr>
        <w:spacing w:line="360" w:lineRule="auto"/>
        <w:ind w:right="26"/>
        <w:rPr>
          <w:rFonts w:ascii="宋体" w:hAnsi="宋体" w:cs="宋体"/>
          <w:b/>
          <w:sz w:val="24"/>
          <w:szCs w:val="28"/>
        </w:rPr>
      </w:pPr>
    </w:p>
    <w:p w14:paraId="5385E8B2" w14:textId="77777777" w:rsidR="00026C1A" w:rsidRDefault="00026C1A">
      <w:pPr>
        <w:spacing w:line="360" w:lineRule="auto"/>
        <w:ind w:right="26"/>
        <w:rPr>
          <w:rFonts w:ascii="宋体" w:hAnsi="宋体" w:cs="宋体"/>
          <w:b/>
          <w:sz w:val="24"/>
          <w:szCs w:val="28"/>
        </w:rPr>
      </w:pPr>
    </w:p>
    <w:p w14:paraId="546F8ABF" w14:textId="77777777" w:rsidR="00026C1A" w:rsidRDefault="000E111F">
      <w:pPr>
        <w:spacing w:line="360" w:lineRule="auto"/>
        <w:ind w:right="26"/>
        <w:rPr>
          <w:rFonts w:ascii="宋体" w:hAnsi="宋体" w:cs="宋体"/>
          <w:b/>
          <w:sz w:val="24"/>
          <w:szCs w:val="28"/>
        </w:rPr>
      </w:pPr>
      <w:r>
        <w:rPr>
          <w:rFonts w:ascii="宋体" w:hAnsi="宋体" w:cs="宋体" w:hint="eastAsia"/>
          <w:b/>
          <w:sz w:val="24"/>
          <w:szCs w:val="28"/>
        </w:rPr>
        <w:t>签订地点：北京</w:t>
      </w:r>
    </w:p>
    <w:p w14:paraId="71E437B5" w14:textId="40B0A3BF" w:rsidR="00026C1A" w:rsidRDefault="000E111F">
      <w:pPr>
        <w:spacing w:line="360" w:lineRule="auto"/>
        <w:ind w:right="26"/>
        <w:rPr>
          <w:rFonts w:ascii="宋体" w:hAnsi="宋体" w:cs="宋体"/>
        </w:rPr>
      </w:pPr>
      <w:r>
        <w:rPr>
          <w:rFonts w:ascii="宋体" w:hAnsi="宋体" w:cs="宋体" w:hint="eastAsia"/>
          <w:b/>
          <w:sz w:val="24"/>
          <w:szCs w:val="28"/>
        </w:rPr>
        <w:t>签 订 日：二零二六年    月    日</w:t>
      </w:r>
    </w:p>
    <w:p w14:paraId="7327732B" w14:textId="77777777" w:rsidR="00026C1A" w:rsidRDefault="00026C1A">
      <w:pPr>
        <w:adjustRightInd w:val="0"/>
        <w:snapToGrid w:val="0"/>
        <w:ind w:firstLineChars="200" w:firstLine="420"/>
      </w:pPr>
    </w:p>
    <w:sectPr w:rsidR="00026C1A">
      <w:footerReference w:type="default" r:id="rId9"/>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63DCE0" w14:textId="77777777" w:rsidR="00855CB3" w:rsidRDefault="00855CB3">
      <w:r>
        <w:separator/>
      </w:r>
    </w:p>
  </w:endnote>
  <w:endnote w:type="continuationSeparator" w:id="0">
    <w:p w14:paraId="38F4991F" w14:textId="77777777" w:rsidR="00855CB3" w:rsidRDefault="00855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仿宋简体">
    <w:panose1 w:val="02000000000000000000"/>
    <w:charset w:val="86"/>
    <w:family w:val="auto"/>
    <w:pitch w:val="variable"/>
    <w:sig w:usb0="A00002BF" w:usb1="184F6CFA" w:usb2="00000012"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彩虹粗仿宋">
    <w:altName w:val="微软雅黑"/>
    <w:charset w:val="86"/>
    <w:family w:val="script"/>
    <w:pitch w:val="default"/>
    <w:sig w:usb0="00000000" w:usb1="0000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36A23" w14:textId="77777777" w:rsidR="001172DC" w:rsidRDefault="001172DC">
    <w:pPr>
      <w:pStyle w:val="ac"/>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5315A" w14:textId="4B7298FC" w:rsidR="001172DC" w:rsidRDefault="001172DC">
    <w:pPr>
      <w:pStyle w:val="ac"/>
      <w:jc w:val="center"/>
    </w:pPr>
    <w:r>
      <w:fldChar w:fldCharType="begin"/>
    </w:r>
    <w:r>
      <w:instrText>PAGE   \* MERGEFORMAT</w:instrText>
    </w:r>
    <w:r>
      <w:fldChar w:fldCharType="separate"/>
    </w:r>
    <w:r w:rsidR="00006D07" w:rsidRPr="00006D07">
      <w:rPr>
        <w:noProof/>
        <w:lang w:val="zh-CN"/>
      </w:rPr>
      <w:t>30</w:t>
    </w:r>
    <w:r>
      <w:fldChar w:fldCharType="end"/>
    </w:r>
  </w:p>
  <w:p w14:paraId="18A11299" w14:textId="77777777" w:rsidR="001172DC" w:rsidRDefault="001172DC">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7330BF" w14:textId="77777777" w:rsidR="00855CB3" w:rsidRDefault="00855CB3">
      <w:r>
        <w:separator/>
      </w:r>
    </w:p>
  </w:footnote>
  <w:footnote w:type="continuationSeparator" w:id="0">
    <w:p w14:paraId="26B41A7B" w14:textId="77777777" w:rsidR="00855CB3" w:rsidRDefault="00855CB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ACDB8" w14:textId="77777777" w:rsidR="001172DC" w:rsidRDefault="001172DC">
    <w:pPr>
      <w:pStyle w:val="ae"/>
      <w:pBdr>
        <w:bottom w:val="none" w:sz="0" w:space="0" w:color="auto"/>
      </w:pBd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1D732" w14:textId="77777777" w:rsidR="001172DC" w:rsidRDefault="001172DC">
    <w:pPr>
      <w:pStyle w:val="ae"/>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2NTAzY2Q4M2IxMmUyNDI3NjllNGRiNDQ4M2QxOGIifQ=="/>
  </w:docVars>
  <w:rsids>
    <w:rsidRoot w:val="2E562F48"/>
    <w:rsid w:val="B9F2DE04"/>
    <w:rsid w:val="CDE3C6F9"/>
    <w:rsid w:val="DAFF6E69"/>
    <w:rsid w:val="DDBCAD9D"/>
    <w:rsid w:val="E7FE37A4"/>
    <w:rsid w:val="F57AEB6F"/>
    <w:rsid w:val="F9FC1110"/>
    <w:rsid w:val="FABD0DC1"/>
    <w:rsid w:val="FB55C0F5"/>
    <w:rsid w:val="FBCFF3C4"/>
    <w:rsid w:val="FBFCD008"/>
    <w:rsid w:val="FFAFA1CE"/>
    <w:rsid w:val="FFBE38BA"/>
    <w:rsid w:val="000051DB"/>
    <w:rsid w:val="00006D07"/>
    <w:rsid w:val="00010111"/>
    <w:rsid w:val="00012366"/>
    <w:rsid w:val="00016FE2"/>
    <w:rsid w:val="0001700C"/>
    <w:rsid w:val="00020AC5"/>
    <w:rsid w:val="00023560"/>
    <w:rsid w:val="00026C1A"/>
    <w:rsid w:val="00032B00"/>
    <w:rsid w:val="000342A6"/>
    <w:rsid w:val="00035F18"/>
    <w:rsid w:val="00041216"/>
    <w:rsid w:val="00050CB0"/>
    <w:rsid w:val="000539E8"/>
    <w:rsid w:val="000549A1"/>
    <w:rsid w:val="000621EE"/>
    <w:rsid w:val="000631AC"/>
    <w:rsid w:val="0006665B"/>
    <w:rsid w:val="00072915"/>
    <w:rsid w:val="0007381B"/>
    <w:rsid w:val="00075799"/>
    <w:rsid w:val="00081D68"/>
    <w:rsid w:val="000856DF"/>
    <w:rsid w:val="00091F1A"/>
    <w:rsid w:val="00094C0D"/>
    <w:rsid w:val="000A776F"/>
    <w:rsid w:val="000B1A11"/>
    <w:rsid w:val="000B56D1"/>
    <w:rsid w:val="000B68AA"/>
    <w:rsid w:val="000B6CEB"/>
    <w:rsid w:val="000B7AFA"/>
    <w:rsid w:val="000C6D4E"/>
    <w:rsid w:val="000C7222"/>
    <w:rsid w:val="000D19A7"/>
    <w:rsid w:val="000D47E3"/>
    <w:rsid w:val="000E111F"/>
    <w:rsid w:val="000E324E"/>
    <w:rsid w:val="000E6B52"/>
    <w:rsid w:val="000E78FF"/>
    <w:rsid w:val="000E7BEB"/>
    <w:rsid w:val="000F498A"/>
    <w:rsid w:val="00115263"/>
    <w:rsid w:val="001172DC"/>
    <w:rsid w:val="00122A0B"/>
    <w:rsid w:val="0012300B"/>
    <w:rsid w:val="00134605"/>
    <w:rsid w:val="001474BE"/>
    <w:rsid w:val="00150C97"/>
    <w:rsid w:val="00156603"/>
    <w:rsid w:val="001567DC"/>
    <w:rsid w:val="00157B7A"/>
    <w:rsid w:val="001607D3"/>
    <w:rsid w:val="00161AD5"/>
    <w:rsid w:val="00173646"/>
    <w:rsid w:val="00174AF1"/>
    <w:rsid w:val="00180C0E"/>
    <w:rsid w:val="00182F94"/>
    <w:rsid w:val="001A491B"/>
    <w:rsid w:val="001B4A71"/>
    <w:rsid w:val="001C1FCD"/>
    <w:rsid w:val="001C250B"/>
    <w:rsid w:val="001C5D43"/>
    <w:rsid w:val="001D24F6"/>
    <w:rsid w:val="001E66E5"/>
    <w:rsid w:val="002002FF"/>
    <w:rsid w:val="002040A8"/>
    <w:rsid w:val="002040D0"/>
    <w:rsid w:val="00212AF8"/>
    <w:rsid w:val="002133B7"/>
    <w:rsid w:val="002167C4"/>
    <w:rsid w:val="002277DF"/>
    <w:rsid w:val="00233AA2"/>
    <w:rsid w:val="00234D3A"/>
    <w:rsid w:val="00240450"/>
    <w:rsid w:val="00254330"/>
    <w:rsid w:val="00255318"/>
    <w:rsid w:val="00265982"/>
    <w:rsid w:val="002661A8"/>
    <w:rsid w:val="00266BFE"/>
    <w:rsid w:val="002933E3"/>
    <w:rsid w:val="00296822"/>
    <w:rsid w:val="002A0500"/>
    <w:rsid w:val="002A4D8B"/>
    <w:rsid w:val="002B1EA3"/>
    <w:rsid w:val="002B2D1D"/>
    <w:rsid w:val="002B72AA"/>
    <w:rsid w:val="002C3008"/>
    <w:rsid w:val="002D0129"/>
    <w:rsid w:val="002D3D39"/>
    <w:rsid w:val="002D5CB7"/>
    <w:rsid w:val="002E096F"/>
    <w:rsid w:val="002E59AE"/>
    <w:rsid w:val="00302B2F"/>
    <w:rsid w:val="00303DED"/>
    <w:rsid w:val="00314391"/>
    <w:rsid w:val="003152B1"/>
    <w:rsid w:val="003153B7"/>
    <w:rsid w:val="003302E7"/>
    <w:rsid w:val="00330ECD"/>
    <w:rsid w:val="00331AD0"/>
    <w:rsid w:val="003355BC"/>
    <w:rsid w:val="0034668A"/>
    <w:rsid w:val="003516F5"/>
    <w:rsid w:val="00352289"/>
    <w:rsid w:val="0035523F"/>
    <w:rsid w:val="00361849"/>
    <w:rsid w:val="00363A23"/>
    <w:rsid w:val="00370452"/>
    <w:rsid w:val="00372CE4"/>
    <w:rsid w:val="0038158B"/>
    <w:rsid w:val="00384A7F"/>
    <w:rsid w:val="003A274A"/>
    <w:rsid w:val="003A2A3E"/>
    <w:rsid w:val="003A41C7"/>
    <w:rsid w:val="003A4C77"/>
    <w:rsid w:val="003A72B9"/>
    <w:rsid w:val="003B14A2"/>
    <w:rsid w:val="003C1879"/>
    <w:rsid w:val="003C5A16"/>
    <w:rsid w:val="003E47B3"/>
    <w:rsid w:val="003E5A1D"/>
    <w:rsid w:val="00402BC0"/>
    <w:rsid w:val="00404DD4"/>
    <w:rsid w:val="00415E9A"/>
    <w:rsid w:val="0042357A"/>
    <w:rsid w:val="004446A1"/>
    <w:rsid w:val="004464A5"/>
    <w:rsid w:val="004508C5"/>
    <w:rsid w:val="00454657"/>
    <w:rsid w:val="00454978"/>
    <w:rsid w:val="00455FA7"/>
    <w:rsid w:val="004574F4"/>
    <w:rsid w:val="00457FBE"/>
    <w:rsid w:val="00462ECC"/>
    <w:rsid w:val="004640CF"/>
    <w:rsid w:val="004751F4"/>
    <w:rsid w:val="004865DB"/>
    <w:rsid w:val="004907FC"/>
    <w:rsid w:val="0049217F"/>
    <w:rsid w:val="004A1FC7"/>
    <w:rsid w:val="004A30B6"/>
    <w:rsid w:val="004A592A"/>
    <w:rsid w:val="004A6C1F"/>
    <w:rsid w:val="004B0882"/>
    <w:rsid w:val="004B2C7C"/>
    <w:rsid w:val="004B3490"/>
    <w:rsid w:val="004C2394"/>
    <w:rsid w:val="004C5152"/>
    <w:rsid w:val="004D3200"/>
    <w:rsid w:val="004D48EF"/>
    <w:rsid w:val="004E6B14"/>
    <w:rsid w:val="004F12A2"/>
    <w:rsid w:val="00502285"/>
    <w:rsid w:val="0050388D"/>
    <w:rsid w:val="005149E9"/>
    <w:rsid w:val="00517431"/>
    <w:rsid w:val="00520786"/>
    <w:rsid w:val="00520A5F"/>
    <w:rsid w:val="00531B33"/>
    <w:rsid w:val="005578EE"/>
    <w:rsid w:val="00573931"/>
    <w:rsid w:val="0058168D"/>
    <w:rsid w:val="005821DD"/>
    <w:rsid w:val="00583F93"/>
    <w:rsid w:val="005B34B3"/>
    <w:rsid w:val="005B5879"/>
    <w:rsid w:val="005B6E93"/>
    <w:rsid w:val="005C194F"/>
    <w:rsid w:val="005C65C2"/>
    <w:rsid w:val="005D7992"/>
    <w:rsid w:val="005E3471"/>
    <w:rsid w:val="005E5178"/>
    <w:rsid w:val="005F3808"/>
    <w:rsid w:val="005F3C5D"/>
    <w:rsid w:val="005F7523"/>
    <w:rsid w:val="006015CD"/>
    <w:rsid w:val="006043E8"/>
    <w:rsid w:val="00605DE5"/>
    <w:rsid w:val="00612A07"/>
    <w:rsid w:val="00617B98"/>
    <w:rsid w:val="0062011A"/>
    <w:rsid w:val="00623E19"/>
    <w:rsid w:val="006276F0"/>
    <w:rsid w:val="00645829"/>
    <w:rsid w:val="00646CA1"/>
    <w:rsid w:val="006528B0"/>
    <w:rsid w:val="00654789"/>
    <w:rsid w:val="006570CA"/>
    <w:rsid w:val="00657B20"/>
    <w:rsid w:val="00660438"/>
    <w:rsid w:val="00665682"/>
    <w:rsid w:val="0067361F"/>
    <w:rsid w:val="00674E06"/>
    <w:rsid w:val="0068221F"/>
    <w:rsid w:val="006850EE"/>
    <w:rsid w:val="006920BB"/>
    <w:rsid w:val="00694889"/>
    <w:rsid w:val="006A1D75"/>
    <w:rsid w:val="006A56CE"/>
    <w:rsid w:val="006A5B6C"/>
    <w:rsid w:val="006B7F77"/>
    <w:rsid w:val="006C0FF5"/>
    <w:rsid w:val="006C3234"/>
    <w:rsid w:val="006C5D26"/>
    <w:rsid w:val="006D0B93"/>
    <w:rsid w:val="006D28BF"/>
    <w:rsid w:val="006D478B"/>
    <w:rsid w:val="006D69D7"/>
    <w:rsid w:val="006F5283"/>
    <w:rsid w:val="006F6EB3"/>
    <w:rsid w:val="006F752E"/>
    <w:rsid w:val="00703574"/>
    <w:rsid w:val="0070602F"/>
    <w:rsid w:val="0070635A"/>
    <w:rsid w:val="00706951"/>
    <w:rsid w:val="00706DB3"/>
    <w:rsid w:val="00711BB7"/>
    <w:rsid w:val="00711E7D"/>
    <w:rsid w:val="007123FB"/>
    <w:rsid w:val="007145D8"/>
    <w:rsid w:val="00715E2E"/>
    <w:rsid w:val="00717B43"/>
    <w:rsid w:val="00735217"/>
    <w:rsid w:val="00737175"/>
    <w:rsid w:val="00737EBF"/>
    <w:rsid w:val="00742E04"/>
    <w:rsid w:val="00750B55"/>
    <w:rsid w:val="00756691"/>
    <w:rsid w:val="0075773F"/>
    <w:rsid w:val="007622CD"/>
    <w:rsid w:val="00765626"/>
    <w:rsid w:val="00766EC5"/>
    <w:rsid w:val="00771014"/>
    <w:rsid w:val="0077237C"/>
    <w:rsid w:val="00776192"/>
    <w:rsid w:val="007A3E1E"/>
    <w:rsid w:val="007A7DDB"/>
    <w:rsid w:val="007B0D03"/>
    <w:rsid w:val="007B25F6"/>
    <w:rsid w:val="007B3F78"/>
    <w:rsid w:val="007B629D"/>
    <w:rsid w:val="007C4550"/>
    <w:rsid w:val="007C6F4F"/>
    <w:rsid w:val="007E49E2"/>
    <w:rsid w:val="007E5F3E"/>
    <w:rsid w:val="007F07AD"/>
    <w:rsid w:val="007F1E64"/>
    <w:rsid w:val="007F218D"/>
    <w:rsid w:val="007F3D31"/>
    <w:rsid w:val="007F3FFF"/>
    <w:rsid w:val="007F44E0"/>
    <w:rsid w:val="008061CD"/>
    <w:rsid w:val="00823035"/>
    <w:rsid w:val="008235A8"/>
    <w:rsid w:val="008244DF"/>
    <w:rsid w:val="00824B7E"/>
    <w:rsid w:val="00827B32"/>
    <w:rsid w:val="0084468A"/>
    <w:rsid w:val="00846AAC"/>
    <w:rsid w:val="00855CB3"/>
    <w:rsid w:val="008563E1"/>
    <w:rsid w:val="00860832"/>
    <w:rsid w:val="00862E67"/>
    <w:rsid w:val="00867076"/>
    <w:rsid w:val="00874205"/>
    <w:rsid w:val="008777B2"/>
    <w:rsid w:val="00881AB6"/>
    <w:rsid w:val="008863E6"/>
    <w:rsid w:val="00892EE9"/>
    <w:rsid w:val="008A321A"/>
    <w:rsid w:val="008B0FDB"/>
    <w:rsid w:val="008B4D71"/>
    <w:rsid w:val="008C3188"/>
    <w:rsid w:val="008C4C65"/>
    <w:rsid w:val="008C670E"/>
    <w:rsid w:val="008C6B47"/>
    <w:rsid w:val="008C710F"/>
    <w:rsid w:val="008D73D2"/>
    <w:rsid w:val="008D754D"/>
    <w:rsid w:val="008F04BC"/>
    <w:rsid w:val="008F5A8A"/>
    <w:rsid w:val="00900E8B"/>
    <w:rsid w:val="00921151"/>
    <w:rsid w:val="0092157A"/>
    <w:rsid w:val="00923F6E"/>
    <w:rsid w:val="00926EFF"/>
    <w:rsid w:val="009357EE"/>
    <w:rsid w:val="0094457C"/>
    <w:rsid w:val="00944F4A"/>
    <w:rsid w:val="00946E74"/>
    <w:rsid w:val="009579F1"/>
    <w:rsid w:val="00963B75"/>
    <w:rsid w:val="009649E1"/>
    <w:rsid w:val="00967492"/>
    <w:rsid w:val="0098084D"/>
    <w:rsid w:val="009871A7"/>
    <w:rsid w:val="009940FA"/>
    <w:rsid w:val="009A5445"/>
    <w:rsid w:val="009C3B19"/>
    <w:rsid w:val="009D3BBA"/>
    <w:rsid w:val="009E4A02"/>
    <w:rsid w:val="009F39C0"/>
    <w:rsid w:val="009F5036"/>
    <w:rsid w:val="00A05AE8"/>
    <w:rsid w:val="00A114B9"/>
    <w:rsid w:val="00A17245"/>
    <w:rsid w:val="00A276C5"/>
    <w:rsid w:val="00A33115"/>
    <w:rsid w:val="00A5016F"/>
    <w:rsid w:val="00A5724C"/>
    <w:rsid w:val="00A705AC"/>
    <w:rsid w:val="00A729B3"/>
    <w:rsid w:val="00A76079"/>
    <w:rsid w:val="00A8219F"/>
    <w:rsid w:val="00A842A8"/>
    <w:rsid w:val="00A85E03"/>
    <w:rsid w:val="00AA6B33"/>
    <w:rsid w:val="00AB5A8E"/>
    <w:rsid w:val="00AC11C0"/>
    <w:rsid w:val="00AC1957"/>
    <w:rsid w:val="00AC4F48"/>
    <w:rsid w:val="00AD054A"/>
    <w:rsid w:val="00AD0646"/>
    <w:rsid w:val="00AD208B"/>
    <w:rsid w:val="00AD46BE"/>
    <w:rsid w:val="00AD4C16"/>
    <w:rsid w:val="00AD5BA0"/>
    <w:rsid w:val="00AE3FF0"/>
    <w:rsid w:val="00AE4FCA"/>
    <w:rsid w:val="00AF3BB9"/>
    <w:rsid w:val="00AF4986"/>
    <w:rsid w:val="00AF4F43"/>
    <w:rsid w:val="00AF6374"/>
    <w:rsid w:val="00B0050F"/>
    <w:rsid w:val="00B00AE5"/>
    <w:rsid w:val="00B039B0"/>
    <w:rsid w:val="00B03BB4"/>
    <w:rsid w:val="00B115A1"/>
    <w:rsid w:val="00B11F47"/>
    <w:rsid w:val="00B12988"/>
    <w:rsid w:val="00B14F42"/>
    <w:rsid w:val="00B227F7"/>
    <w:rsid w:val="00B2364E"/>
    <w:rsid w:val="00B23928"/>
    <w:rsid w:val="00B25FE3"/>
    <w:rsid w:val="00B27C90"/>
    <w:rsid w:val="00B33EFA"/>
    <w:rsid w:val="00B34977"/>
    <w:rsid w:val="00B417B7"/>
    <w:rsid w:val="00B441BA"/>
    <w:rsid w:val="00B452F3"/>
    <w:rsid w:val="00B73355"/>
    <w:rsid w:val="00B73A7E"/>
    <w:rsid w:val="00B73C02"/>
    <w:rsid w:val="00B754A7"/>
    <w:rsid w:val="00B802A6"/>
    <w:rsid w:val="00B836B1"/>
    <w:rsid w:val="00B92FCF"/>
    <w:rsid w:val="00B95988"/>
    <w:rsid w:val="00B97536"/>
    <w:rsid w:val="00BA7568"/>
    <w:rsid w:val="00BC33EE"/>
    <w:rsid w:val="00BC3D93"/>
    <w:rsid w:val="00BD0418"/>
    <w:rsid w:val="00BD1528"/>
    <w:rsid w:val="00BD3B90"/>
    <w:rsid w:val="00BE1BA2"/>
    <w:rsid w:val="00BE4E9B"/>
    <w:rsid w:val="00BF2386"/>
    <w:rsid w:val="00BF2DF9"/>
    <w:rsid w:val="00BF6376"/>
    <w:rsid w:val="00C052B4"/>
    <w:rsid w:val="00C059F6"/>
    <w:rsid w:val="00C1561E"/>
    <w:rsid w:val="00C25066"/>
    <w:rsid w:val="00C43A58"/>
    <w:rsid w:val="00C43C4A"/>
    <w:rsid w:val="00C55CEB"/>
    <w:rsid w:val="00C626CC"/>
    <w:rsid w:val="00C65BD6"/>
    <w:rsid w:val="00C7200D"/>
    <w:rsid w:val="00C76F8C"/>
    <w:rsid w:val="00C80C42"/>
    <w:rsid w:val="00C82529"/>
    <w:rsid w:val="00C8375A"/>
    <w:rsid w:val="00C8497D"/>
    <w:rsid w:val="00C868DA"/>
    <w:rsid w:val="00C95018"/>
    <w:rsid w:val="00C974D5"/>
    <w:rsid w:val="00CA1BDC"/>
    <w:rsid w:val="00CA4249"/>
    <w:rsid w:val="00CB253E"/>
    <w:rsid w:val="00CB63FB"/>
    <w:rsid w:val="00CC1825"/>
    <w:rsid w:val="00CC2F6E"/>
    <w:rsid w:val="00CC5339"/>
    <w:rsid w:val="00CC60EE"/>
    <w:rsid w:val="00CC7E53"/>
    <w:rsid w:val="00CD1436"/>
    <w:rsid w:val="00CD3F1C"/>
    <w:rsid w:val="00CD637B"/>
    <w:rsid w:val="00CD64A2"/>
    <w:rsid w:val="00CE2DA5"/>
    <w:rsid w:val="00CF525C"/>
    <w:rsid w:val="00D038DB"/>
    <w:rsid w:val="00D30435"/>
    <w:rsid w:val="00D43244"/>
    <w:rsid w:val="00D44A09"/>
    <w:rsid w:val="00D461DE"/>
    <w:rsid w:val="00D4632F"/>
    <w:rsid w:val="00D47108"/>
    <w:rsid w:val="00D5140E"/>
    <w:rsid w:val="00D646D2"/>
    <w:rsid w:val="00D6552C"/>
    <w:rsid w:val="00D7648D"/>
    <w:rsid w:val="00D772D6"/>
    <w:rsid w:val="00D90324"/>
    <w:rsid w:val="00D940E8"/>
    <w:rsid w:val="00D97231"/>
    <w:rsid w:val="00DA4AC6"/>
    <w:rsid w:val="00DA63EB"/>
    <w:rsid w:val="00DA796E"/>
    <w:rsid w:val="00DB001B"/>
    <w:rsid w:val="00DB1406"/>
    <w:rsid w:val="00DB1987"/>
    <w:rsid w:val="00DB789C"/>
    <w:rsid w:val="00DC22BB"/>
    <w:rsid w:val="00DC7F10"/>
    <w:rsid w:val="00DE254E"/>
    <w:rsid w:val="00DE3C0B"/>
    <w:rsid w:val="00DF0B9E"/>
    <w:rsid w:val="00DF342D"/>
    <w:rsid w:val="00DF6D2E"/>
    <w:rsid w:val="00E00493"/>
    <w:rsid w:val="00E01979"/>
    <w:rsid w:val="00E01CBE"/>
    <w:rsid w:val="00E01E8F"/>
    <w:rsid w:val="00E05F9F"/>
    <w:rsid w:val="00E12DA7"/>
    <w:rsid w:val="00E13D7F"/>
    <w:rsid w:val="00E22225"/>
    <w:rsid w:val="00E23307"/>
    <w:rsid w:val="00E246B2"/>
    <w:rsid w:val="00E30EE1"/>
    <w:rsid w:val="00E33A30"/>
    <w:rsid w:val="00E342E8"/>
    <w:rsid w:val="00E40BC0"/>
    <w:rsid w:val="00E414AB"/>
    <w:rsid w:val="00E4450D"/>
    <w:rsid w:val="00E45AF5"/>
    <w:rsid w:val="00E47B96"/>
    <w:rsid w:val="00E54300"/>
    <w:rsid w:val="00E55EBA"/>
    <w:rsid w:val="00E619CA"/>
    <w:rsid w:val="00E630E1"/>
    <w:rsid w:val="00E63C37"/>
    <w:rsid w:val="00E6490C"/>
    <w:rsid w:val="00E65076"/>
    <w:rsid w:val="00E67E66"/>
    <w:rsid w:val="00E73D5E"/>
    <w:rsid w:val="00E74C72"/>
    <w:rsid w:val="00E76975"/>
    <w:rsid w:val="00E82B8D"/>
    <w:rsid w:val="00E8329C"/>
    <w:rsid w:val="00E853F8"/>
    <w:rsid w:val="00E87395"/>
    <w:rsid w:val="00E97849"/>
    <w:rsid w:val="00EA6673"/>
    <w:rsid w:val="00EA7EB5"/>
    <w:rsid w:val="00EB106E"/>
    <w:rsid w:val="00EB49CA"/>
    <w:rsid w:val="00EC32BC"/>
    <w:rsid w:val="00EC5791"/>
    <w:rsid w:val="00ED233F"/>
    <w:rsid w:val="00ED5DF3"/>
    <w:rsid w:val="00ED780F"/>
    <w:rsid w:val="00EF09A7"/>
    <w:rsid w:val="00EF2DF3"/>
    <w:rsid w:val="00EF581F"/>
    <w:rsid w:val="00F05B24"/>
    <w:rsid w:val="00F07ED7"/>
    <w:rsid w:val="00F10E4B"/>
    <w:rsid w:val="00F10FA8"/>
    <w:rsid w:val="00F13816"/>
    <w:rsid w:val="00F2022C"/>
    <w:rsid w:val="00F2314C"/>
    <w:rsid w:val="00F242A8"/>
    <w:rsid w:val="00F272AE"/>
    <w:rsid w:val="00F336B7"/>
    <w:rsid w:val="00F33E3D"/>
    <w:rsid w:val="00F449D0"/>
    <w:rsid w:val="00F56F3C"/>
    <w:rsid w:val="00F57B85"/>
    <w:rsid w:val="00F635B0"/>
    <w:rsid w:val="00F71266"/>
    <w:rsid w:val="00F7637B"/>
    <w:rsid w:val="00F76CC9"/>
    <w:rsid w:val="00F85945"/>
    <w:rsid w:val="00FA2216"/>
    <w:rsid w:val="00FA41DE"/>
    <w:rsid w:val="00FA455A"/>
    <w:rsid w:val="00FA68AB"/>
    <w:rsid w:val="00FB190E"/>
    <w:rsid w:val="00FB2D25"/>
    <w:rsid w:val="00FB6B56"/>
    <w:rsid w:val="00FC14F3"/>
    <w:rsid w:val="00FC409A"/>
    <w:rsid w:val="00FC5608"/>
    <w:rsid w:val="00FD0CEE"/>
    <w:rsid w:val="00FD53CB"/>
    <w:rsid w:val="00FE3B1B"/>
    <w:rsid w:val="00FE4E71"/>
    <w:rsid w:val="00FE7C7C"/>
    <w:rsid w:val="00FF30CD"/>
    <w:rsid w:val="00FF3722"/>
    <w:rsid w:val="00FF64A0"/>
    <w:rsid w:val="01C81F3E"/>
    <w:rsid w:val="25FFD4E3"/>
    <w:rsid w:val="2E562F48"/>
    <w:rsid w:val="3B7FAD57"/>
    <w:rsid w:val="3FAB41CB"/>
    <w:rsid w:val="3FF43E4A"/>
    <w:rsid w:val="3FFD01F1"/>
    <w:rsid w:val="418F6B78"/>
    <w:rsid w:val="43525451"/>
    <w:rsid w:val="465F6E27"/>
    <w:rsid w:val="49960C91"/>
    <w:rsid w:val="50B20B0F"/>
    <w:rsid w:val="54CD3B32"/>
    <w:rsid w:val="59AE1DF0"/>
    <w:rsid w:val="5DA7676E"/>
    <w:rsid w:val="60BD01A5"/>
    <w:rsid w:val="641239BE"/>
    <w:rsid w:val="6F9ECD33"/>
    <w:rsid w:val="73F153F2"/>
    <w:rsid w:val="79045CF6"/>
    <w:rsid w:val="7A79B53C"/>
    <w:rsid w:val="7BD3A8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7E80A7"/>
  <w15:docId w15:val="{F1544275-E8BE-45E5-9D4F-79EC098BA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uiPriority="39"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qFormat="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qFormat="1"/>
    <w:lsdException w:name="Block Text" w:semiHidden="1" w:unhideWhenUsed="1"/>
    <w:lsdException w:name="Hyperlink" w:uiPriority="99" w:qFormat="1"/>
    <w:lsdException w:name="FollowedHyperlink"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4"/>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0"/>
    <w:link w:val="20"/>
    <w:qFormat/>
    <w:pPr>
      <w:keepNext/>
      <w:keepLines/>
      <w:spacing w:before="260" w:after="260" w:line="415" w:lineRule="auto"/>
      <w:outlineLvl w:val="1"/>
    </w:pPr>
    <w:rPr>
      <w:rFonts w:ascii="Arial" w:eastAsia="黑体" w:hAnsi="Arial"/>
      <w:b/>
      <w:kern w:val="0"/>
      <w:sz w:val="32"/>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Chars="200" w:firstLine="420"/>
    </w:pPr>
    <w:rPr>
      <w:rFonts w:ascii="Times New Roman" w:hAnsi="Times New Roman"/>
    </w:rPr>
  </w:style>
  <w:style w:type="paragraph" w:styleId="a4">
    <w:name w:val="annotation text"/>
    <w:basedOn w:val="a"/>
    <w:link w:val="a5"/>
    <w:qFormat/>
    <w:pPr>
      <w:jc w:val="left"/>
    </w:pPr>
  </w:style>
  <w:style w:type="paragraph" w:styleId="a6">
    <w:name w:val="Body Text"/>
    <w:basedOn w:val="a"/>
    <w:link w:val="a7"/>
    <w:qFormat/>
    <w:pPr>
      <w:spacing w:after="120"/>
    </w:pPr>
  </w:style>
  <w:style w:type="paragraph" w:styleId="a8">
    <w:name w:val="Body Text Indent"/>
    <w:basedOn w:val="a"/>
    <w:link w:val="a9"/>
    <w:qFormat/>
    <w:pPr>
      <w:adjustRightInd w:val="0"/>
      <w:snapToGrid w:val="0"/>
      <w:spacing w:line="560" w:lineRule="exact"/>
      <w:ind w:firstLineChars="200" w:firstLine="480"/>
    </w:pPr>
    <w:rPr>
      <w:rFonts w:ascii="Times New Roman" w:eastAsia="方正仿宋简体" w:hAnsi="Times New Roman"/>
      <w:kern w:val="0"/>
      <w:sz w:val="24"/>
      <w:szCs w:val="30"/>
    </w:rPr>
  </w:style>
  <w:style w:type="paragraph" w:styleId="21">
    <w:name w:val="Body Text Indent 2"/>
    <w:basedOn w:val="a"/>
    <w:link w:val="22"/>
    <w:qFormat/>
    <w:pPr>
      <w:spacing w:after="120" w:line="480" w:lineRule="auto"/>
      <w:ind w:leftChars="200" w:left="420"/>
    </w:pPr>
  </w:style>
  <w:style w:type="paragraph" w:styleId="aa">
    <w:name w:val="Balloon Text"/>
    <w:basedOn w:val="a"/>
    <w:link w:val="ab"/>
    <w:qFormat/>
    <w:rPr>
      <w:sz w:val="18"/>
    </w:rPr>
  </w:style>
  <w:style w:type="paragraph" w:styleId="ac">
    <w:name w:val="footer"/>
    <w:basedOn w:val="a"/>
    <w:link w:val="ad"/>
    <w:uiPriority w:val="99"/>
    <w:qFormat/>
    <w:pPr>
      <w:tabs>
        <w:tab w:val="center" w:pos="4153"/>
        <w:tab w:val="right" w:pos="8306"/>
      </w:tabs>
      <w:snapToGrid w:val="0"/>
      <w:jc w:val="left"/>
    </w:pPr>
    <w:rPr>
      <w:sz w:val="18"/>
    </w:rPr>
  </w:style>
  <w:style w:type="paragraph" w:styleId="ae">
    <w:name w:val="header"/>
    <w:basedOn w:val="a"/>
    <w:link w:val="af"/>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3">
    <w:name w:val="Body Text Indent 3"/>
    <w:basedOn w:val="a"/>
    <w:link w:val="30"/>
    <w:qFormat/>
    <w:pPr>
      <w:spacing w:after="120"/>
      <w:ind w:leftChars="200" w:left="420"/>
    </w:pPr>
    <w:rPr>
      <w:sz w:val="16"/>
    </w:rPr>
  </w:style>
  <w:style w:type="paragraph" w:styleId="23">
    <w:name w:val="toc 2"/>
    <w:basedOn w:val="a"/>
    <w:next w:val="a"/>
    <w:uiPriority w:val="39"/>
    <w:qFormat/>
    <w:pPr>
      <w:ind w:leftChars="200" w:left="420"/>
    </w:pPr>
    <w:rPr>
      <w:rFonts w:ascii="Times New Roman" w:hAnsi="Times New Roman"/>
    </w:rPr>
  </w:style>
  <w:style w:type="paragraph" w:styleId="HTML">
    <w:name w:val="HTML Preformatted"/>
    <w:basedOn w:val="a"/>
    <w:link w:val="HTML0"/>
    <w:qFormat/>
    <w:rPr>
      <w:rFonts w:ascii="Courier New" w:hAnsi="Courier New"/>
      <w:sz w:val="20"/>
    </w:rPr>
  </w:style>
  <w:style w:type="paragraph" w:styleId="af0">
    <w:name w:val="annotation subject"/>
    <w:basedOn w:val="a4"/>
    <w:next w:val="a4"/>
    <w:link w:val="af1"/>
    <w:qFormat/>
    <w:rPr>
      <w:b/>
    </w:rPr>
  </w:style>
  <w:style w:type="character" w:styleId="af2">
    <w:name w:val="FollowedHyperlink"/>
    <w:qFormat/>
    <w:rPr>
      <w:color w:val="954F72"/>
      <w:u w:val="single"/>
    </w:rPr>
  </w:style>
  <w:style w:type="character" w:styleId="af3">
    <w:name w:val="Hyperlink"/>
    <w:uiPriority w:val="99"/>
    <w:qFormat/>
    <w:rPr>
      <w:color w:val="0000FF"/>
      <w:u w:val="single"/>
    </w:rPr>
  </w:style>
  <w:style w:type="character" w:styleId="af4">
    <w:name w:val="annotation reference"/>
    <w:uiPriority w:val="99"/>
    <w:qFormat/>
    <w:rPr>
      <w:sz w:val="21"/>
      <w:szCs w:val="21"/>
    </w:rPr>
  </w:style>
  <w:style w:type="character" w:customStyle="1" w:styleId="20">
    <w:name w:val="标题 2 字符"/>
    <w:link w:val="2"/>
    <w:qFormat/>
    <w:rPr>
      <w:rFonts w:ascii="Arial" w:eastAsia="黑体" w:hAnsi="Arial" w:cs="Arial" w:hint="default"/>
      <w:b/>
      <w:sz w:val="32"/>
    </w:rPr>
  </w:style>
  <w:style w:type="character" w:customStyle="1" w:styleId="a5">
    <w:name w:val="批注文字 字符"/>
    <w:link w:val="a4"/>
    <w:qFormat/>
    <w:rPr>
      <w:szCs w:val="24"/>
    </w:rPr>
  </w:style>
  <w:style w:type="character" w:customStyle="1" w:styleId="a7">
    <w:name w:val="正文文本 字符"/>
    <w:link w:val="a6"/>
    <w:qFormat/>
    <w:rPr>
      <w:rFonts w:ascii="仿宋_GB2312" w:eastAsia="仿宋_GB2312" w:cs="仿宋_GB2312" w:hint="eastAsia"/>
      <w:color w:val="000000"/>
      <w:sz w:val="24"/>
      <w:szCs w:val="28"/>
    </w:rPr>
  </w:style>
  <w:style w:type="character" w:customStyle="1" w:styleId="a9">
    <w:name w:val="正文文本缩进 字符"/>
    <w:link w:val="a8"/>
    <w:qFormat/>
    <w:rPr>
      <w:rFonts w:ascii="方正仿宋简体" w:eastAsia="方正仿宋简体" w:hAnsi="方正仿宋简体" w:cs="方正仿宋简体" w:hint="eastAsia"/>
      <w:sz w:val="24"/>
      <w:szCs w:val="30"/>
    </w:rPr>
  </w:style>
  <w:style w:type="character" w:customStyle="1" w:styleId="22">
    <w:name w:val="正文文本缩进 2 字符"/>
    <w:link w:val="21"/>
    <w:qFormat/>
    <w:rPr>
      <w:rFonts w:ascii="宋体" w:eastAsia="宋体" w:hAnsi="宋体" w:cs="宋体" w:hint="eastAsia"/>
      <w:sz w:val="28"/>
    </w:rPr>
  </w:style>
  <w:style w:type="character" w:customStyle="1" w:styleId="ab">
    <w:name w:val="批注框文本 字符"/>
    <w:link w:val="aa"/>
    <w:qFormat/>
    <w:rPr>
      <w:sz w:val="18"/>
      <w:szCs w:val="18"/>
    </w:rPr>
  </w:style>
  <w:style w:type="character" w:customStyle="1" w:styleId="ad">
    <w:name w:val="页脚 字符"/>
    <w:link w:val="ac"/>
    <w:uiPriority w:val="99"/>
    <w:qFormat/>
    <w:rPr>
      <w:rFonts w:ascii="Calibri" w:hAnsi="Calibri" w:cs="Calibri" w:hint="default"/>
      <w:sz w:val="18"/>
      <w:szCs w:val="18"/>
    </w:rPr>
  </w:style>
  <w:style w:type="character" w:customStyle="1" w:styleId="af">
    <w:name w:val="页眉 字符"/>
    <w:link w:val="ae"/>
    <w:uiPriority w:val="99"/>
    <w:qFormat/>
    <w:rPr>
      <w:rFonts w:ascii="Calibri" w:hAnsi="Calibri" w:cs="Calibri" w:hint="default"/>
      <w:sz w:val="18"/>
      <w:szCs w:val="18"/>
    </w:rPr>
  </w:style>
  <w:style w:type="character" w:customStyle="1" w:styleId="30">
    <w:name w:val="正文文本缩进 3 字符"/>
    <w:link w:val="3"/>
    <w:qFormat/>
    <w:rPr>
      <w:rFonts w:ascii="仿宋_GB2312" w:eastAsia="仿宋_GB2312" w:hAnsi="宋体" w:cs="仿宋_GB2312" w:hint="eastAsia"/>
      <w:color w:val="000000"/>
      <w:sz w:val="24"/>
      <w:szCs w:val="24"/>
    </w:rPr>
  </w:style>
  <w:style w:type="character" w:customStyle="1" w:styleId="HTML0">
    <w:name w:val="HTML 预设格式 字符"/>
    <w:link w:val="HTML"/>
    <w:qFormat/>
    <w:rPr>
      <w:rFonts w:ascii="宋体" w:eastAsia="宋体" w:hAnsi="宋体" w:cs="宋体" w:hint="eastAsia"/>
      <w:sz w:val="24"/>
      <w:szCs w:val="24"/>
    </w:rPr>
  </w:style>
  <w:style w:type="character" w:customStyle="1" w:styleId="af1">
    <w:name w:val="批注主题 字符"/>
    <w:link w:val="af0"/>
    <w:qFormat/>
    <w:rPr>
      <w:b/>
      <w:szCs w:val="24"/>
    </w:rPr>
  </w:style>
  <w:style w:type="character" w:customStyle="1" w:styleId="read">
    <w:name w:val="read"/>
    <w:basedOn w:val="a1"/>
    <w:qFormat/>
  </w:style>
  <w:style w:type="paragraph" w:customStyle="1" w:styleId="11">
    <w:name w:val="修订1"/>
    <w:uiPriority w:val="99"/>
    <w:unhideWhenUsed/>
    <w:qFormat/>
    <w:rPr>
      <w:rFonts w:ascii="Calibri" w:hAnsi="Calibri"/>
      <w:kern w:val="2"/>
      <w:sz w:val="21"/>
      <w:szCs w:val="24"/>
    </w:rPr>
  </w:style>
  <w:style w:type="character" w:customStyle="1" w:styleId="10">
    <w:name w:val="标题 1 字符"/>
    <w:basedOn w:val="a1"/>
    <w:link w:val="1"/>
    <w:qFormat/>
    <w:rPr>
      <w:rFonts w:ascii="Calibri" w:hAnsi="Calibri"/>
      <w:b/>
      <w:bCs/>
      <w:kern w:val="44"/>
      <w:sz w:val="44"/>
      <w:szCs w:val="44"/>
    </w:rPr>
  </w:style>
  <w:style w:type="character" w:customStyle="1" w:styleId="Char1">
    <w:name w:val="批注文字 Char1"/>
    <w:qFormat/>
    <w:locked/>
    <w:rPr>
      <w:kern w:val="2"/>
      <w:sz w:val="21"/>
    </w:rPr>
  </w:style>
  <w:style w:type="paragraph" w:customStyle="1" w:styleId="24">
    <w:name w:val="修订2"/>
    <w:hidden/>
    <w:uiPriority w:val="99"/>
    <w:semiHidden/>
    <w:qFormat/>
    <w:rPr>
      <w:rFonts w:ascii="Calibri" w:hAnsi="Calibri"/>
      <w:kern w:val="2"/>
      <w:sz w:val="21"/>
      <w:szCs w:val="24"/>
    </w:rPr>
  </w:style>
  <w:style w:type="paragraph" w:customStyle="1" w:styleId="31">
    <w:name w:val="修订3"/>
    <w:hidden/>
    <w:uiPriority w:val="99"/>
    <w:semiHidden/>
    <w:qFormat/>
    <w:rPr>
      <w:rFonts w:ascii="Calibri" w:hAnsi="Calibri"/>
      <w:kern w:val="2"/>
      <w:sz w:val="21"/>
      <w:szCs w:val="24"/>
    </w:rPr>
  </w:style>
  <w:style w:type="paragraph" w:customStyle="1" w:styleId="4">
    <w:name w:val="修订4"/>
    <w:hidden/>
    <w:uiPriority w:val="99"/>
    <w:semiHidden/>
    <w:qFormat/>
    <w:rPr>
      <w:rFonts w:ascii="Calibri" w:hAnsi="Calibri"/>
      <w:kern w:val="2"/>
      <w:sz w:val="21"/>
      <w:szCs w:val="24"/>
    </w:rPr>
  </w:style>
  <w:style w:type="paragraph" w:styleId="af5">
    <w:name w:val="Revision"/>
    <w:hidden/>
    <w:uiPriority w:val="99"/>
    <w:semiHidden/>
    <w:rsid w:val="0050388D"/>
    <w:rPr>
      <w:rFonts w:ascii="Calibri" w:hAnsi="Calibr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297</TotalTime>
  <Pages>32</Pages>
  <Words>4991</Words>
  <Characters>28455</Characters>
  <Application>Microsoft Office Word</Application>
  <DocSecurity>0</DocSecurity>
  <Lines>237</Lines>
  <Paragraphs>66</Paragraphs>
  <ScaleCrop>false</ScaleCrop>
  <Company>llinks.com</Company>
  <LinksUpToDate>false</LinksUpToDate>
  <CharactersWithSpaces>33380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qiul</dc:creator>
  <cp:keywords/>
  <dc:description/>
  <cp:lastModifiedBy>郑翔</cp:lastModifiedBy>
  <cp:revision>22</cp:revision>
  <cp:lastPrinted>2026-06-10T06:33:00Z</cp:lastPrinted>
  <dcterms:created xsi:type="dcterms:W3CDTF">2023-08-09T12:14:00Z</dcterms:created>
  <dcterms:modified xsi:type="dcterms:W3CDTF">2026-07-13T07:05:00Z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6FD239BD18294812880BCC5A4CC4F2B2_13</vt:lpwstr>
  </property>
  <property fmtid="{D5CDD505-2E9C-101B-9397-08002B2CF9AE}" pid="4" name="KSOTemplateDocerSaveRecord">
    <vt:lpwstr>eyJoZGlkIjoiNDQ0ZWQxNjM1M2JmOWExZjUxOWY5MDUxNGJjOThiOTUiLCJ1c2VySWQiOiIyNTA3NDA1MTEifQ==</vt:lpwstr>
  </property>
</Properties>
</file>