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682A3" w14:textId="77777777" w:rsidR="00E82AF4" w:rsidRDefault="00E82AF4">
      <w:pPr>
        <w:snapToGrid w:val="0"/>
        <w:spacing w:line="360" w:lineRule="auto"/>
        <w:jc w:val="center"/>
        <w:rPr>
          <w:b/>
          <w:sz w:val="52"/>
        </w:rPr>
      </w:pPr>
      <w:bookmarkStart w:id="0" w:name="CLAUSE_8b7cf820820b492ea1394f6edc93f490"/>
      <w:bookmarkStart w:id="1" w:name="CLAUSE_af17208ca55d4d2d88b388effc8451d6"/>
      <w:bookmarkStart w:id="2" w:name="CLAUSE_a64d0712666c450e9ba87b72824e9684"/>
    </w:p>
    <w:p w14:paraId="47F28467" w14:textId="77777777" w:rsidR="00E82AF4" w:rsidRDefault="00E82AF4">
      <w:pPr>
        <w:snapToGrid w:val="0"/>
        <w:spacing w:line="360" w:lineRule="auto"/>
        <w:jc w:val="center"/>
        <w:rPr>
          <w:b/>
          <w:sz w:val="52"/>
        </w:rPr>
      </w:pPr>
    </w:p>
    <w:p w14:paraId="69BC7F38" w14:textId="77777777" w:rsidR="00E82AF4" w:rsidRDefault="00E82AF4">
      <w:pPr>
        <w:snapToGrid w:val="0"/>
        <w:spacing w:line="360" w:lineRule="auto"/>
        <w:jc w:val="center"/>
        <w:rPr>
          <w:b/>
          <w:sz w:val="52"/>
        </w:rPr>
      </w:pPr>
    </w:p>
    <w:p w14:paraId="4D2EE342" w14:textId="0A6EBA6C" w:rsidR="00E82AF4" w:rsidRPr="000F49DC" w:rsidRDefault="005B2E6A" w:rsidP="000F49DC">
      <w:pPr>
        <w:pStyle w:val="HD1"/>
        <w:spacing w:before="0" w:beforeAutospacing="0" w:after="0" w:afterAutospacing="0"/>
      </w:pPr>
      <w:bookmarkStart w:id="3" w:name="_Toc139991724"/>
      <w:bookmarkStart w:id="4" w:name="_Toc123112261"/>
      <w:bookmarkStart w:id="5" w:name="_Toc139992299"/>
      <w:bookmarkStart w:id="6" w:name="_Toc123112222"/>
      <w:bookmarkStart w:id="7" w:name="_Toc123701381"/>
      <w:r>
        <w:rPr>
          <w:rFonts w:hint="eastAsia"/>
        </w:rPr>
        <w:t>银华中证全指红利质量交易型开放式指数证券投资基金</w:t>
      </w:r>
      <w:bookmarkStart w:id="8" w:name="_Toc123112223"/>
      <w:bookmarkStart w:id="9" w:name="_Toc123112262"/>
      <w:bookmarkStart w:id="10" w:name="_Toc123701382"/>
      <w:bookmarkStart w:id="11" w:name="_Toc139991725"/>
      <w:bookmarkStart w:id="12" w:name="_Toc139992300"/>
      <w:bookmarkEnd w:id="3"/>
      <w:bookmarkEnd w:id="4"/>
      <w:bookmarkEnd w:id="5"/>
      <w:bookmarkEnd w:id="6"/>
      <w:bookmarkEnd w:id="7"/>
      <w:r>
        <w:rPr>
          <w:rFonts w:hint="eastAsia"/>
        </w:rPr>
        <w:t>基金合同</w:t>
      </w:r>
      <w:bookmarkEnd w:id="8"/>
      <w:bookmarkEnd w:id="9"/>
      <w:bookmarkEnd w:id="10"/>
      <w:bookmarkEnd w:id="11"/>
      <w:bookmarkEnd w:id="12"/>
    </w:p>
    <w:p w14:paraId="0B223AB7" w14:textId="77777777" w:rsidR="00E82AF4" w:rsidRDefault="00E82AF4">
      <w:pPr>
        <w:adjustRightInd w:val="0"/>
        <w:snapToGrid w:val="0"/>
        <w:spacing w:line="360" w:lineRule="auto"/>
        <w:jc w:val="center"/>
        <w:rPr>
          <w:b/>
          <w:sz w:val="52"/>
          <w:szCs w:val="52"/>
        </w:rPr>
      </w:pPr>
    </w:p>
    <w:p w14:paraId="0B390068" w14:textId="77777777" w:rsidR="00E82AF4" w:rsidRDefault="00E82AF4">
      <w:pPr>
        <w:adjustRightInd w:val="0"/>
        <w:snapToGrid w:val="0"/>
        <w:spacing w:line="360" w:lineRule="auto"/>
        <w:jc w:val="center"/>
        <w:rPr>
          <w:b/>
          <w:sz w:val="52"/>
          <w:szCs w:val="52"/>
        </w:rPr>
      </w:pPr>
    </w:p>
    <w:p w14:paraId="4D921EB6" w14:textId="77777777" w:rsidR="00E82AF4" w:rsidRDefault="00E82AF4">
      <w:pPr>
        <w:adjustRightInd w:val="0"/>
        <w:snapToGrid w:val="0"/>
        <w:spacing w:line="360" w:lineRule="auto"/>
        <w:jc w:val="center"/>
        <w:rPr>
          <w:b/>
          <w:sz w:val="52"/>
        </w:rPr>
      </w:pPr>
    </w:p>
    <w:p w14:paraId="7477DF8B" w14:textId="77777777" w:rsidR="00E82AF4" w:rsidRDefault="00E82AF4">
      <w:pPr>
        <w:adjustRightInd w:val="0"/>
        <w:snapToGrid w:val="0"/>
        <w:spacing w:line="360" w:lineRule="auto"/>
        <w:jc w:val="center"/>
        <w:rPr>
          <w:b/>
          <w:sz w:val="52"/>
        </w:rPr>
      </w:pPr>
    </w:p>
    <w:p w14:paraId="46D29163" w14:textId="77777777" w:rsidR="00E82AF4" w:rsidRDefault="00E82AF4">
      <w:pPr>
        <w:adjustRightInd w:val="0"/>
        <w:snapToGrid w:val="0"/>
        <w:spacing w:line="360" w:lineRule="auto"/>
        <w:jc w:val="center"/>
        <w:rPr>
          <w:b/>
          <w:sz w:val="52"/>
        </w:rPr>
      </w:pPr>
    </w:p>
    <w:p w14:paraId="1F0F7CB8" w14:textId="77777777" w:rsidR="00E82AF4" w:rsidRDefault="005B2E6A">
      <w:pPr>
        <w:pStyle w:val="HD3"/>
        <w:ind w:firstLineChars="0" w:firstLine="0"/>
        <w:rPr>
          <w:b w:val="0"/>
          <w:sz w:val="34"/>
        </w:rPr>
      </w:pPr>
      <w:bookmarkStart w:id="13" w:name="_Toc123112263"/>
      <w:bookmarkStart w:id="14" w:name="_Toc139992301"/>
      <w:bookmarkStart w:id="15" w:name="_Toc123112224"/>
      <w:bookmarkStart w:id="16" w:name="_Toc123701383"/>
      <w:bookmarkStart w:id="17" w:name="_Toc139991726"/>
      <w:r>
        <w:rPr>
          <w:rFonts w:hint="eastAsia"/>
          <w:sz w:val="34"/>
        </w:rPr>
        <w:t>基金管理人：</w:t>
      </w:r>
      <w:bookmarkEnd w:id="13"/>
      <w:bookmarkEnd w:id="14"/>
      <w:bookmarkEnd w:id="15"/>
      <w:bookmarkEnd w:id="16"/>
      <w:bookmarkEnd w:id="17"/>
      <w:r>
        <w:rPr>
          <w:rFonts w:hint="eastAsia"/>
          <w:sz w:val="34"/>
        </w:rPr>
        <w:t>银华基金管理股份有限公司</w:t>
      </w:r>
    </w:p>
    <w:p w14:paraId="245316E5" w14:textId="77777777" w:rsidR="00E82AF4" w:rsidRDefault="005B2E6A">
      <w:pPr>
        <w:pStyle w:val="HD3"/>
        <w:ind w:firstLineChars="0" w:firstLine="0"/>
        <w:rPr>
          <w:b w:val="0"/>
          <w:sz w:val="34"/>
        </w:rPr>
      </w:pPr>
      <w:bookmarkStart w:id="18" w:name="_Toc139991727"/>
      <w:bookmarkStart w:id="19" w:name="_Toc123701384"/>
      <w:bookmarkStart w:id="20" w:name="_Toc123112264"/>
      <w:bookmarkStart w:id="21" w:name="_Toc123112225"/>
      <w:bookmarkStart w:id="22" w:name="_Toc139992302"/>
      <w:r>
        <w:rPr>
          <w:rFonts w:hint="eastAsia"/>
          <w:sz w:val="34"/>
        </w:rPr>
        <w:t>基金托管人：</w:t>
      </w:r>
      <w:bookmarkEnd w:id="18"/>
      <w:bookmarkEnd w:id="19"/>
      <w:bookmarkEnd w:id="20"/>
      <w:bookmarkEnd w:id="21"/>
      <w:bookmarkEnd w:id="22"/>
      <w:r>
        <w:rPr>
          <w:rFonts w:hint="eastAsia"/>
          <w:sz w:val="34"/>
        </w:rPr>
        <w:t>中国建设银行股份有限公司</w:t>
      </w:r>
    </w:p>
    <w:p w14:paraId="3D6DD963" w14:textId="77777777" w:rsidR="00E82AF4" w:rsidRDefault="00E82AF4">
      <w:pPr>
        <w:jc w:val="center"/>
        <w:rPr>
          <w:bCs/>
          <w:sz w:val="32"/>
        </w:rPr>
      </w:pPr>
    </w:p>
    <w:p w14:paraId="44A3C8F9" w14:textId="77777777" w:rsidR="00E82AF4" w:rsidRDefault="00E82AF4">
      <w:pPr>
        <w:rPr>
          <w:bCs/>
          <w:sz w:val="28"/>
        </w:rPr>
      </w:pPr>
      <w:bookmarkStart w:id="23" w:name="_Toc139991729"/>
      <w:bookmarkStart w:id="24" w:name="_Toc123112227"/>
      <w:bookmarkStart w:id="25" w:name="_Toc123701386"/>
      <w:bookmarkStart w:id="26" w:name="_Toc123112266"/>
      <w:bookmarkEnd w:id="0"/>
    </w:p>
    <w:p w14:paraId="64EA74B3" w14:textId="77777777" w:rsidR="00E82AF4" w:rsidRDefault="00E82AF4">
      <w:pPr>
        <w:jc w:val="center"/>
        <w:rPr>
          <w:bCs/>
          <w:sz w:val="28"/>
        </w:rPr>
      </w:pPr>
      <w:bookmarkStart w:id="27" w:name="CTS_788e4799167545f2b74f303ba89b0fb0"/>
      <w:bookmarkStart w:id="28" w:name="CTS_4f72d61cd89e4c2e9afe0f7035229845"/>
      <w:bookmarkStart w:id="29" w:name="CLAUSE_788e4799167545f2b74f303ba89b0fb0"/>
      <w:bookmarkEnd w:id="1"/>
      <w:bookmarkEnd w:id="2"/>
      <w:bookmarkEnd w:id="27"/>
      <w:bookmarkEnd w:id="28"/>
    </w:p>
    <w:bookmarkEnd w:id="29"/>
    <w:p w14:paraId="3B64B98A" w14:textId="77777777" w:rsidR="00E82AF4" w:rsidRDefault="00E82AF4">
      <w:pPr>
        <w:jc w:val="center"/>
        <w:rPr>
          <w:bCs/>
          <w:sz w:val="28"/>
        </w:rPr>
        <w:sectPr w:rsidR="00E82AF4">
          <w:headerReference w:type="default" r:id="rId7"/>
          <w:footerReference w:type="default" r:id="rId8"/>
          <w:footerReference w:type="first" r:id="rId9"/>
          <w:pgSz w:w="11906" w:h="16838"/>
          <w:pgMar w:top="1440" w:right="1800" w:bottom="1440" w:left="1800" w:header="851" w:footer="992" w:gutter="0"/>
          <w:pgNumType w:start="1"/>
          <w:cols w:space="720"/>
          <w:titlePg/>
          <w:docGrid w:type="lines" w:linePitch="312"/>
        </w:sectPr>
      </w:pPr>
    </w:p>
    <w:p w14:paraId="57918C46" w14:textId="77777777" w:rsidR="00E82AF4" w:rsidRDefault="005B2E6A">
      <w:pPr>
        <w:jc w:val="center"/>
        <w:rPr>
          <w:b/>
          <w:sz w:val="28"/>
        </w:rPr>
      </w:pPr>
      <w:bookmarkStart w:id="30" w:name="CTS_7bdc42f52d1c4992bf1872b51795703d"/>
      <w:bookmarkStart w:id="31" w:name="CTS_6084dd2e965e4973a2d7b8ce3c463c2f"/>
      <w:bookmarkStart w:id="32" w:name="CTS_6791278e5608406eaf9f9138325c5f6e"/>
      <w:bookmarkStart w:id="33" w:name="CLAUSE_6791278e5608406eaf9f9138325c5f6e"/>
      <w:bookmarkStart w:id="34" w:name="CLAUSE_7bdc42f52d1c4992bf1872b51795703d"/>
      <w:bookmarkStart w:id="35" w:name="CLAUSE_6084dd2e965e4973a2d7b8ce3c463c2f"/>
      <w:bookmarkEnd w:id="30"/>
      <w:bookmarkEnd w:id="31"/>
      <w:bookmarkEnd w:id="32"/>
      <w:r>
        <w:rPr>
          <w:rFonts w:hint="eastAsia"/>
          <w:b/>
          <w:sz w:val="28"/>
        </w:rPr>
        <w:lastRenderedPageBreak/>
        <w:t>目</w:t>
      </w:r>
      <w:r>
        <w:rPr>
          <w:b/>
          <w:sz w:val="28"/>
        </w:rPr>
        <w:t xml:space="preserve">    </w:t>
      </w:r>
      <w:r>
        <w:rPr>
          <w:rFonts w:hint="eastAsia"/>
          <w:b/>
          <w:sz w:val="28"/>
        </w:rPr>
        <w:t>录</w:t>
      </w:r>
      <w:bookmarkEnd w:id="23"/>
      <w:bookmarkEnd w:id="24"/>
      <w:bookmarkEnd w:id="25"/>
      <w:bookmarkEnd w:id="26"/>
    </w:p>
    <w:p w14:paraId="2C778602" w14:textId="2B334E9F" w:rsidR="00E82AF4" w:rsidRDefault="005B2E6A">
      <w:pPr>
        <w:pStyle w:val="11"/>
        <w:tabs>
          <w:tab w:val="clear" w:pos="8296"/>
          <w:tab w:val="right" w:leader="dot" w:pos="8306"/>
        </w:tabs>
        <w:rPr>
          <w:noProof/>
        </w:rPr>
      </w:pPr>
      <w:r>
        <w:fldChar w:fldCharType="begin"/>
      </w:r>
      <w:r>
        <w:rPr>
          <w:bCs/>
        </w:rPr>
        <w:instrText xml:space="preserve"> TOC \o "1-1" \h \z \u </w:instrText>
      </w:r>
      <w:r>
        <w:fldChar w:fldCharType="separate"/>
      </w:r>
      <w:hyperlink w:anchor="_Toc8214" w:history="1">
        <w:r>
          <w:rPr>
            <w:rFonts w:hint="eastAsia"/>
            <w:noProof/>
          </w:rPr>
          <w:t>第一部分</w:t>
        </w:r>
        <w:r>
          <w:rPr>
            <w:noProof/>
          </w:rPr>
          <w:t xml:space="preserve">  </w:t>
        </w:r>
        <w:r>
          <w:rPr>
            <w:rFonts w:hint="eastAsia"/>
            <w:noProof/>
          </w:rPr>
          <w:t>前言</w:t>
        </w:r>
        <w:r>
          <w:rPr>
            <w:noProof/>
          </w:rPr>
          <w:tab/>
        </w:r>
        <w:r w:rsidR="00C363A3">
          <w:rPr>
            <w:noProof/>
          </w:rPr>
          <w:fldChar w:fldCharType="begin"/>
        </w:r>
        <w:r w:rsidR="00C363A3">
          <w:rPr>
            <w:noProof/>
          </w:rPr>
          <w:instrText xml:space="preserve"> PAGEREF _Toc8214 </w:instrText>
        </w:r>
        <w:r w:rsidR="00C363A3">
          <w:rPr>
            <w:noProof/>
          </w:rPr>
          <w:fldChar w:fldCharType="separate"/>
        </w:r>
        <w:r w:rsidR="0060510F">
          <w:rPr>
            <w:noProof/>
          </w:rPr>
          <w:t>1</w:t>
        </w:r>
        <w:r w:rsidR="00C363A3">
          <w:rPr>
            <w:noProof/>
          </w:rPr>
          <w:fldChar w:fldCharType="end"/>
        </w:r>
      </w:hyperlink>
    </w:p>
    <w:p w14:paraId="3DFE5D99" w14:textId="71259FA3" w:rsidR="00E82AF4" w:rsidRDefault="001E479D">
      <w:pPr>
        <w:pStyle w:val="11"/>
        <w:tabs>
          <w:tab w:val="clear" w:pos="8296"/>
          <w:tab w:val="right" w:leader="dot" w:pos="8306"/>
        </w:tabs>
        <w:rPr>
          <w:noProof/>
        </w:rPr>
      </w:pPr>
      <w:hyperlink w:anchor="_Toc17034" w:history="1">
        <w:r w:rsidR="005B2E6A">
          <w:rPr>
            <w:rFonts w:hint="eastAsia"/>
            <w:noProof/>
          </w:rPr>
          <w:t>第二部分</w:t>
        </w:r>
        <w:r w:rsidR="005B2E6A">
          <w:rPr>
            <w:noProof/>
          </w:rPr>
          <w:t xml:space="preserve"> </w:t>
        </w:r>
        <w:r w:rsidR="005B2E6A">
          <w:rPr>
            <w:noProof/>
            <w:szCs w:val="32"/>
          </w:rPr>
          <w:t xml:space="preserve"> </w:t>
        </w:r>
        <w:r w:rsidR="005B2E6A">
          <w:rPr>
            <w:rFonts w:hint="eastAsia"/>
            <w:noProof/>
          </w:rPr>
          <w:t>释义</w:t>
        </w:r>
        <w:r w:rsidR="005B2E6A">
          <w:rPr>
            <w:noProof/>
          </w:rPr>
          <w:tab/>
        </w:r>
        <w:r w:rsidR="00C363A3">
          <w:rPr>
            <w:noProof/>
          </w:rPr>
          <w:fldChar w:fldCharType="begin"/>
        </w:r>
        <w:r w:rsidR="00C363A3">
          <w:rPr>
            <w:noProof/>
          </w:rPr>
          <w:instrText xml:space="preserve"> PAGEREF _Toc17034 </w:instrText>
        </w:r>
        <w:r w:rsidR="00C363A3">
          <w:rPr>
            <w:noProof/>
          </w:rPr>
          <w:fldChar w:fldCharType="separate"/>
        </w:r>
        <w:r w:rsidR="0060510F">
          <w:rPr>
            <w:noProof/>
          </w:rPr>
          <w:t>4</w:t>
        </w:r>
        <w:r w:rsidR="00C363A3">
          <w:rPr>
            <w:noProof/>
          </w:rPr>
          <w:fldChar w:fldCharType="end"/>
        </w:r>
      </w:hyperlink>
    </w:p>
    <w:p w14:paraId="6D8AABAD" w14:textId="5862A300" w:rsidR="00E82AF4" w:rsidRDefault="001E479D">
      <w:pPr>
        <w:pStyle w:val="11"/>
        <w:tabs>
          <w:tab w:val="clear" w:pos="8296"/>
          <w:tab w:val="right" w:leader="dot" w:pos="8306"/>
        </w:tabs>
        <w:rPr>
          <w:noProof/>
        </w:rPr>
      </w:pPr>
      <w:hyperlink w:anchor="_Toc5173" w:history="1">
        <w:r w:rsidR="005B2E6A">
          <w:rPr>
            <w:rFonts w:hint="eastAsia"/>
            <w:noProof/>
          </w:rPr>
          <w:t>第三部分</w:t>
        </w:r>
        <w:r w:rsidR="005B2E6A">
          <w:rPr>
            <w:noProof/>
          </w:rPr>
          <w:t xml:space="preserve">  </w:t>
        </w:r>
        <w:r w:rsidR="005B2E6A">
          <w:rPr>
            <w:rFonts w:hint="eastAsia"/>
            <w:noProof/>
          </w:rPr>
          <w:t>基金的基本情</w:t>
        </w:r>
        <w:bookmarkStart w:id="36" w:name="_Hlt87969197"/>
        <w:bookmarkStart w:id="37" w:name="_Hlt87969196"/>
        <w:r w:rsidR="005B2E6A">
          <w:rPr>
            <w:rFonts w:hint="eastAsia"/>
            <w:noProof/>
          </w:rPr>
          <w:t>况</w:t>
        </w:r>
        <w:bookmarkEnd w:id="36"/>
        <w:bookmarkEnd w:id="37"/>
        <w:r w:rsidR="005B2E6A">
          <w:rPr>
            <w:noProof/>
          </w:rPr>
          <w:tab/>
        </w:r>
        <w:r w:rsidR="00C363A3">
          <w:rPr>
            <w:noProof/>
          </w:rPr>
          <w:fldChar w:fldCharType="begin"/>
        </w:r>
        <w:r w:rsidR="00C363A3">
          <w:rPr>
            <w:noProof/>
          </w:rPr>
          <w:instrText xml:space="preserve"> PAGEREF _Toc5173 </w:instrText>
        </w:r>
        <w:r w:rsidR="00C363A3">
          <w:rPr>
            <w:noProof/>
          </w:rPr>
          <w:fldChar w:fldCharType="separate"/>
        </w:r>
        <w:r w:rsidR="0060510F">
          <w:rPr>
            <w:noProof/>
          </w:rPr>
          <w:t>10</w:t>
        </w:r>
        <w:r w:rsidR="00C363A3">
          <w:rPr>
            <w:noProof/>
          </w:rPr>
          <w:fldChar w:fldCharType="end"/>
        </w:r>
      </w:hyperlink>
    </w:p>
    <w:p w14:paraId="23016D7B" w14:textId="7E4633E5" w:rsidR="00E82AF4" w:rsidRDefault="001E479D">
      <w:pPr>
        <w:pStyle w:val="11"/>
        <w:tabs>
          <w:tab w:val="clear" w:pos="8296"/>
          <w:tab w:val="right" w:leader="dot" w:pos="8306"/>
        </w:tabs>
        <w:rPr>
          <w:noProof/>
        </w:rPr>
      </w:pPr>
      <w:hyperlink w:anchor="_Toc2449" w:history="1">
        <w:r w:rsidR="005B2E6A">
          <w:rPr>
            <w:rFonts w:hint="eastAsia"/>
            <w:noProof/>
          </w:rPr>
          <w:t>第四部分</w:t>
        </w:r>
        <w:r w:rsidR="005B2E6A">
          <w:rPr>
            <w:noProof/>
          </w:rPr>
          <w:t xml:space="preserve">  </w:t>
        </w:r>
        <w:r w:rsidR="005B2E6A">
          <w:rPr>
            <w:rFonts w:hint="eastAsia"/>
            <w:noProof/>
          </w:rPr>
          <w:t>基金份额的发售</w:t>
        </w:r>
        <w:r w:rsidR="005B2E6A">
          <w:rPr>
            <w:noProof/>
          </w:rPr>
          <w:tab/>
        </w:r>
        <w:r w:rsidR="00C363A3">
          <w:rPr>
            <w:noProof/>
          </w:rPr>
          <w:fldChar w:fldCharType="begin"/>
        </w:r>
        <w:r w:rsidR="00C363A3">
          <w:rPr>
            <w:noProof/>
          </w:rPr>
          <w:instrText xml:space="preserve"> PAGEREF _Toc2449 </w:instrText>
        </w:r>
        <w:r w:rsidR="00C363A3">
          <w:rPr>
            <w:noProof/>
          </w:rPr>
          <w:fldChar w:fldCharType="separate"/>
        </w:r>
        <w:r w:rsidR="0060510F">
          <w:rPr>
            <w:noProof/>
          </w:rPr>
          <w:t>12</w:t>
        </w:r>
        <w:r w:rsidR="00C363A3">
          <w:rPr>
            <w:noProof/>
          </w:rPr>
          <w:fldChar w:fldCharType="end"/>
        </w:r>
      </w:hyperlink>
    </w:p>
    <w:p w14:paraId="046A83B1" w14:textId="4A17EFF7" w:rsidR="00E82AF4" w:rsidRDefault="001E479D">
      <w:pPr>
        <w:pStyle w:val="11"/>
        <w:tabs>
          <w:tab w:val="clear" w:pos="8296"/>
          <w:tab w:val="right" w:leader="dot" w:pos="8306"/>
        </w:tabs>
        <w:rPr>
          <w:noProof/>
        </w:rPr>
      </w:pPr>
      <w:hyperlink w:anchor="_Toc27160" w:history="1">
        <w:r w:rsidR="005B2E6A">
          <w:rPr>
            <w:rFonts w:hint="eastAsia"/>
            <w:noProof/>
          </w:rPr>
          <w:t>第五部分</w:t>
        </w:r>
        <w:r w:rsidR="005B2E6A">
          <w:rPr>
            <w:noProof/>
          </w:rPr>
          <w:t xml:space="preserve">  </w:t>
        </w:r>
        <w:r w:rsidR="005B2E6A">
          <w:rPr>
            <w:rFonts w:hint="eastAsia"/>
            <w:noProof/>
          </w:rPr>
          <w:t>基金备案</w:t>
        </w:r>
        <w:r w:rsidR="005B2E6A">
          <w:rPr>
            <w:noProof/>
          </w:rPr>
          <w:tab/>
        </w:r>
        <w:r w:rsidR="00C363A3">
          <w:rPr>
            <w:noProof/>
          </w:rPr>
          <w:fldChar w:fldCharType="begin"/>
        </w:r>
        <w:r w:rsidR="00C363A3">
          <w:rPr>
            <w:noProof/>
          </w:rPr>
          <w:instrText xml:space="preserve"> PAGEREF _Toc27160 </w:instrText>
        </w:r>
        <w:r w:rsidR="00C363A3">
          <w:rPr>
            <w:noProof/>
          </w:rPr>
          <w:fldChar w:fldCharType="separate"/>
        </w:r>
        <w:r w:rsidR="0060510F">
          <w:rPr>
            <w:noProof/>
          </w:rPr>
          <w:t>14</w:t>
        </w:r>
        <w:r w:rsidR="00C363A3">
          <w:rPr>
            <w:noProof/>
          </w:rPr>
          <w:fldChar w:fldCharType="end"/>
        </w:r>
      </w:hyperlink>
    </w:p>
    <w:p w14:paraId="388EC261" w14:textId="4CEC33B8" w:rsidR="00E82AF4" w:rsidRDefault="001E479D">
      <w:pPr>
        <w:pStyle w:val="11"/>
        <w:tabs>
          <w:tab w:val="clear" w:pos="8296"/>
          <w:tab w:val="right" w:leader="dot" w:pos="8306"/>
        </w:tabs>
        <w:rPr>
          <w:noProof/>
        </w:rPr>
      </w:pPr>
      <w:hyperlink w:anchor="_Toc18336" w:history="1">
        <w:r w:rsidR="005B2E6A">
          <w:rPr>
            <w:rFonts w:hint="eastAsia"/>
            <w:noProof/>
          </w:rPr>
          <w:t>第六部分</w:t>
        </w:r>
        <w:r w:rsidR="005B2E6A">
          <w:rPr>
            <w:noProof/>
          </w:rPr>
          <w:t xml:space="preserve">  </w:t>
        </w:r>
        <w:r w:rsidR="005B2E6A">
          <w:rPr>
            <w:rFonts w:hint="eastAsia"/>
            <w:noProof/>
          </w:rPr>
          <w:t>基金份额</w:t>
        </w:r>
        <w:r w:rsidR="005B2E6A">
          <w:rPr>
            <w:rFonts w:hint="eastAsia"/>
            <w:noProof/>
            <w:szCs w:val="32"/>
          </w:rPr>
          <w:t>折算与变更登记</w:t>
        </w:r>
        <w:r w:rsidR="005B2E6A">
          <w:rPr>
            <w:noProof/>
          </w:rPr>
          <w:tab/>
        </w:r>
        <w:r w:rsidR="00C363A3">
          <w:rPr>
            <w:noProof/>
          </w:rPr>
          <w:fldChar w:fldCharType="begin"/>
        </w:r>
        <w:r w:rsidR="00C363A3">
          <w:rPr>
            <w:noProof/>
          </w:rPr>
          <w:instrText xml:space="preserve"> PAGEREF _Toc18336 </w:instrText>
        </w:r>
        <w:r w:rsidR="00C363A3">
          <w:rPr>
            <w:noProof/>
          </w:rPr>
          <w:fldChar w:fldCharType="separate"/>
        </w:r>
        <w:r w:rsidR="0060510F">
          <w:rPr>
            <w:noProof/>
          </w:rPr>
          <w:t>16</w:t>
        </w:r>
        <w:r w:rsidR="00C363A3">
          <w:rPr>
            <w:noProof/>
          </w:rPr>
          <w:fldChar w:fldCharType="end"/>
        </w:r>
      </w:hyperlink>
    </w:p>
    <w:p w14:paraId="05B02EA4" w14:textId="6A11AA54" w:rsidR="00E82AF4" w:rsidRDefault="001E479D">
      <w:pPr>
        <w:pStyle w:val="11"/>
        <w:tabs>
          <w:tab w:val="clear" w:pos="8296"/>
          <w:tab w:val="right" w:leader="dot" w:pos="8306"/>
        </w:tabs>
        <w:rPr>
          <w:noProof/>
        </w:rPr>
      </w:pPr>
      <w:hyperlink w:anchor="_Toc11999" w:history="1">
        <w:r w:rsidR="005B2E6A">
          <w:rPr>
            <w:noProof/>
            <w:szCs w:val="32"/>
          </w:rPr>
          <w:t>第</w:t>
        </w:r>
        <w:r w:rsidR="005B2E6A">
          <w:rPr>
            <w:rFonts w:hint="eastAsia"/>
            <w:noProof/>
            <w:szCs w:val="32"/>
          </w:rPr>
          <w:t>七</w:t>
        </w:r>
        <w:r w:rsidR="005B2E6A">
          <w:rPr>
            <w:noProof/>
            <w:szCs w:val="32"/>
          </w:rPr>
          <w:t>部分</w:t>
        </w:r>
        <w:r w:rsidR="005B2E6A">
          <w:rPr>
            <w:noProof/>
            <w:szCs w:val="32"/>
          </w:rPr>
          <w:t xml:space="preserve">  </w:t>
        </w:r>
        <w:r w:rsidR="005B2E6A">
          <w:rPr>
            <w:rFonts w:hint="eastAsia"/>
            <w:noProof/>
            <w:szCs w:val="32"/>
          </w:rPr>
          <w:t>基金份额的上市交易</w:t>
        </w:r>
        <w:bookmarkStart w:id="38" w:name="_GoBack"/>
        <w:bookmarkEnd w:id="38"/>
        <w:r w:rsidR="005B2E6A">
          <w:rPr>
            <w:noProof/>
          </w:rPr>
          <w:tab/>
        </w:r>
        <w:r w:rsidR="00C363A3">
          <w:rPr>
            <w:noProof/>
          </w:rPr>
          <w:fldChar w:fldCharType="begin"/>
        </w:r>
        <w:r w:rsidR="00C363A3">
          <w:rPr>
            <w:noProof/>
          </w:rPr>
          <w:instrText xml:space="preserve"> PAGEREF _Toc11999 </w:instrText>
        </w:r>
        <w:r w:rsidR="00C363A3">
          <w:rPr>
            <w:noProof/>
          </w:rPr>
          <w:fldChar w:fldCharType="separate"/>
        </w:r>
        <w:r w:rsidR="0060510F">
          <w:rPr>
            <w:noProof/>
          </w:rPr>
          <w:t>17</w:t>
        </w:r>
        <w:r w:rsidR="00C363A3">
          <w:rPr>
            <w:noProof/>
          </w:rPr>
          <w:fldChar w:fldCharType="end"/>
        </w:r>
      </w:hyperlink>
    </w:p>
    <w:p w14:paraId="58A189A3" w14:textId="5A874E87" w:rsidR="00E82AF4" w:rsidRDefault="001E479D">
      <w:pPr>
        <w:pStyle w:val="11"/>
        <w:tabs>
          <w:tab w:val="clear" w:pos="8296"/>
          <w:tab w:val="right" w:leader="dot" w:pos="8306"/>
        </w:tabs>
        <w:rPr>
          <w:noProof/>
        </w:rPr>
      </w:pPr>
      <w:hyperlink w:anchor="_Toc16907" w:history="1">
        <w:r w:rsidR="005B2E6A">
          <w:rPr>
            <w:noProof/>
            <w:szCs w:val="32"/>
          </w:rPr>
          <w:t>第</w:t>
        </w:r>
        <w:r w:rsidR="005B2E6A">
          <w:rPr>
            <w:rFonts w:hint="eastAsia"/>
            <w:noProof/>
            <w:szCs w:val="32"/>
          </w:rPr>
          <w:t>八</w:t>
        </w:r>
        <w:r w:rsidR="005B2E6A">
          <w:rPr>
            <w:noProof/>
            <w:szCs w:val="32"/>
          </w:rPr>
          <w:t>部分</w:t>
        </w:r>
        <w:r w:rsidR="005B2E6A">
          <w:rPr>
            <w:noProof/>
            <w:szCs w:val="32"/>
          </w:rPr>
          <w:t xml:space="preserve">  </w:t>
        </w:r>
        <w:r w:rsidR="005B2E6A">
          <w:rPr>
            <w:noProof/>
            <w:szCs w:val="32"/>
          </w:rPr>
          <w:t>基金份额</w:t>
        </w:r>
        <w:r w:rsidR="005B2E6A">
          <w:rPr>
            <w:rFonts w:hint="eastAsia"/>
            <w:noProof/>
          </w:rPr>
          <w:t>的申购与赎回</w:t>
        </w:r>
        <w:r w:rsidR="005B2E6A">
          <w:rPr>
            <w:noProof/>
          </w:rPr>
          <w:tab/>
        </w:r>
        <w:r w:rsidR="00C363A3">
          <w:rPr>
            <w:noProof/>
          </w:rPr>
          <w:fldChar w:fldCharType="begin"/>
        </w:r>
        <w:r w:rsidR="00C363A3">
          <w:rPr>
            <w:noProof/>
          </w:rPr>
          <w:instrText xml:space="preserve"> PAGEREF _Toc16907 </w:instrText>
        </w:r>
        <w:r w:rsidR="00C363A3">
          <w:rPr>
            <w:noProof/>
          </w:rPr>
          <w:fldChar w:fldCharType="separate"/>
        </w:r>
        <w:r w:rsidR="0060510F">
          <w:rPr>
            <w:noProof/>
          </w:rPr>
          <w:t>19</w:t>
        </w:r>
        <w:r w:rsidR="00C363A3">
          <w:rPr>
            <w:noProof/>
          </w:rPr>
          <w:fldChar w:fldCharType="end"/>
        </w:r>
      </w:hyperlink>
    </w:p>
    <w:p w14:paraId="25DF7350" w14:textId="2E174335" w:rsidR="00E82AF4" w:rsidRDefault="001E479D">
      <w:pPr>
        <w:pStyle w:val="11"/>
        <w:tabs>
          <w:tab w:val="clear" w:pos="8296"/>
          <w:tab w:val="right" w:leader="dot" w:pos="8306"/>
        </w:tabs>
        <w:rPr>
          <w:noProof/>
        </w:rPr>
      </w:pPr>
      <w:hyperlink w:anchor="_Toc5243" w:history="1">
        <w:r w:rsidR="005B2E6A">
          <w:rPr>
            <w:noProof/>
            <w:szCs w:val="32"/>
          </w:rPr>
          <w:t>第</w:t>
        </w:r>
        <w:r w:rsidR="005B2E6A">
          <w:rPr>
            <w:rFonts w:hint="eastAsia"/>
            <w:noProof/>
            <w:szCs w:val="32"/>
          </w:rPr>
          <w:t>九</w:t>
        </w:r>
        <w:r w:rsidR="005B2E6A">
          <w:rPr>
            <w:rFonts w:hint="eastAsia"/>
            <w:noProof/>
          </w:rPr>
          <w:t>部分</w:t>
        </w:r>
        <w:r w:rsidR="005B2E6A">
          <w:rPr>
            <w:noProof/>
          </w:rPr>
          <w:t xml:space="preserve">  </w:t>
        </w:r>
        <w:r w:rsidR="005B2E6A">
          <w:rPr>
            <w:rFonts w:hint="eastAsia"/>
            <w:noProof/>
          </w:rPr>
          <w:t>基金合同当事人及权利义务</w:t>
        </w:r>
        <w:r w:rsidR="005B2E6A">
          <w:rPr>
            <w:noProof/>
          </w:rPr>
          <w:tab/>
        </w:r>
        <w:r w:rsidR="00C363A3">
          <w:rPr>
            <w:noProof/>
          </w:rPr>
          <w:fldChar w:fldCharType="begin"/>
        </w:r>
        <w:r w:rsidR="00C363A3">
          <w:rPr>
            <w:noProof/>
          </w:rPr>
          <w:instrText xml:space="preserve"> PAGEREF _Toc5243 </w:instrText>
        </w:r>
        <w:r w:rsidR="00C363A3">
          <w:rPr>
            <w:noProof/>
          </w:rPr>
          <w:fldChar w:fldCharType="separate"/>
        </w:r>
        <w:r w:rsidR="0060510F">
          <w:rPr>
            <w:noProof/>
          </w:rPr>
          <w:t>27</w:t>
        </w:r>
        <w:r w:rsidR="00C363A3">
          <w:rPr>
            <w:noProof/>
          </w:rPr>
          <w:fldChar w:fldCharType="end"/>
        </w:r>
      </w:hyperlink>
    </w:p>
    <w:p w14:paraId="17D7011A" w14:textId="555A6920" w:rsidR="00E82AF4" w:rsidRDefault="001E479D">
      <w:pPr>
        <w:pStyle w:val="11"/>
        <w:tabs>
          <w:tab w:val="clear" w:pos="8296"/>
          <w:tab w:val="right" w:leader="dot" w:pos="8306"/>
        </w:tabs>
        <w:rPr>
          <w:noProof/>
        </w:rPr>
      </w:pPr>
      <w:hyperlink w:anchor="_Toc1349" w:history="1">
        <w:r w:rsidR="005B2E6A">
          <w:rPr>
            <w:noProof/>
            <w:szCs w:val="32"/>
          </w:rPr>
          <w:t>第</w:t>
        </w:r>
        <w:r w:rsidR="005B2E6A">
          <w:rPr>
            <w:rFonts w:hint="eastAsia"/>
            <w:noProof/>
            <w:szCs w:val="32"/>
          </w:rPr>
          <w:t>十</w:t>
        </w:r>
        <w:r w:rsidR="005B2E6A">
          <w:rPr>
            <w:rFonts w:hint="eastAsia"/>
            <w:noProof/>
          </w:rPr>
          <w:t>部分</w:t>
        </w:r>
        <w:r w:rsidR="005B2E6A">
          <w:rPr>
            <w:noProof/>
          </w:rPr>
          <w:t xml:space="preserve">  </w:t>
        </w:r>
        <w:r w:rsidR="005B2E6A">
          <w:rPr>
            <w:rFonts w:hint="eastAsia"/>
            <w:noProof/>
          </w:rPr>
          <w:t>基金份额持有人大会</w:t>
        </w:r>
        <w:r w:rsidR="005B2E6A">
          <w:rPr>
            <w:noProof/>
          </w:rPr>
          <w:tab/>
        </w:r>
        <w:r w:rsidR="00C363A3">
          <w:rPr>
            <w:noProof/>
          </w:rPr>
          <w:fldChar w:fldCharType="begin"/>
        </w:r>
        <w:r w:rsidR="00C363A3">
          <w:rPr>
            <w:noProof/>
          </w:rPr>
          <w:instrText xml:space="preserve"> PAGEREF _Toc1349 </w:instrText>
        </w:r>
        <w:r w:rsidR="00C363A3">
          <w:rPr>
            <w:noProof/>
          </w:rPr>
          <w:fldChar w:fldCharType="separate"/>
        </w:r>
        <w:r w:rsidR="0060510F">
          <w:rPr>
            <w:noProof/>
          </w:rPr>
          <w:t>35</w:t>
        </w:r>
        <w:r w:rsidR="00C363A3">
          <w:rPr>
            <w:noProof/>
          </w:rPr>
          <w:fldChar w:fldCharType="end"/>
        </w:r>
      </w:hyperlink>
    </w:p>
    <w:p w14:paraId="45B5F41E" w14:textId="6D8E1F4B" w:rsidR="00E82AF4" w:rsidRDefault="001E479D">
      <w:pPr>
        <w:pStyle w:val="11"/>
        <w:tabs>
          <w:tab w:val="clear" w:pos="8296"/>
          <w:tab w:val="right" w:leader="dot" w:pos="8306"/>
        </w:tabs>
        <w:rPr>
          <w:noProof/>
        </w:rPr>
      </w:pPr>
      <w:hyperlink w:anchor="_Toc5835" w:history="1">
        <w:r w:rsidR="005B2E6A">
          <w:rPr>
            <w:noProof/>
          </w:rPr>
          <w:t>第</w:t>
        </w:r>
        <w:r w:rsidR="005B2E6A">
          <w:rPr>
            <w:rFonts w:hint="eastAsia"/>
            <w:noProof/>
          </w:rPr>
          <w:t>十一</w:t>
        </w:r>
        <w:r w:rsidR="005B2E6A">
          <w:rPr>
            <w:noProof/>
          </w:rPr>
          <w:t>部分</w:t>
        </w:r>
        <w:r w:rsidR="005B2E6A">
          <w:rPr>
            <w:noProof/>
          </w:rPr>
          <w:t xml:space="preserve">  </w:t>
        </w:r>
        <w:r w:rsidR="005B2E6A">
          <w:rPr>
            <w:noProof/>
          </w:rPr>
          <w:t>基金管理人、基金托管人的更换条件和程序</w:t>
        </w:r>
        <w:r w:rsidR="005B2E6A">
          <w:rPr>
            <w:noProof/>
          </w:rPr>
          <w:tab/>
        </w:r>
        <w:r w:rsidR="00C363A3">
          <w:rPr>
            <w:noProof/>
          </w:rPr>
          <w:fldChar w:fldCharType="begin"/>
        </w:r>
        <w:r w:rsidR="00C363A3">
          <w:rPr>
            <w:noProof/>
          </w:rPr>
          <w:instrText xml:space="preserve"> PAGEREF _Toc5835 </w:instrText>
        </w:r>
        <w:r w:rsidR="00C363A3">
          <w:rPr>
            <w:noProof/>
          </w:rPr>
          <w:fldChar w:fldCharType="separate"/>
        </w:r>
        <w:r w:rsidR="0060510F">
          <w:rPr>
            <w:noProof/>
          </w:rPr>
          <w:t>44</w:t>
        </w:r>
        <w:r w:rsidR="00C363A3">
          <w:rPr>
            <w:noProof/>
          </w:rPr>
          <w:fldChar w:fldCharType="end"/>
        </w:r>
      </w:hyperlink>
    </w:p>
    <w:p w14:paraId="4CAFECBF" w14:textId="763708E5" w:rsidR="00E82AF4" w:rsidRDefault="001E479D">
      <w:pPr>
        <w:pStyle w:val="11"/>
        <w:tabs>
          <w:tab w:val="clear" w:pos="8296"/>
          <w:tab w:val="right" w:leader="dot" w:pos="8306"/>
        </w:tabs>
        <w:rPr>
          <w:noProof/>
        </w:rPr>
      </w:pPr>
      <w:hyperlink w:anchor="_Toc8701" w:history="1">
        <w:r w:rsidR="005B2E6A">
          <w:rPr>
            <w:noProof/>
            <w:szCs w:val="32"/>
          </w:rPr>
          <w:t>第十</w:t>
        </w:r>
        <w:r w:rsidR="005B2E6A">
          <w:rPr>
            <w:rFonts w:hint="eastAsia"/>
            <w:noProof/>
            <w:szCs w:val="32"/>
          </w:rPr>
          <w:t>二</w:t>
        </w:r>
        <w:r w:rsidR="005B2E6A">
          <w:rPr>
            <w:rFonts w:hint="eastAsia"/>
            <w:noProof/>
          </w:rPr>
          <w:t>部分</w:t>
        </w:r>
        <w:r w:rsidR="005B2E6A">
          <w:rPr>
            <w:noProof/>
          </w:rPr>
          <w:t xml:space="preserve">  </w:t>
        </w:r>
        <w:r w:rsidR="005B2E6A">
          <w:rPr>
            <w:rFonts w:hint="eastAsia"/>
            <w:noProof/>
          </w:rPr>
          <w:t>基金的托管</w:t>
        </w:r>
        <w:r w:rsidR="005B2E6A">
          <w:rPr>
            <w:noProof/>
          </w:rPr>
          <w:tab/>
        </w:r>
        <w:r w:rsidR="00C363A3">
          <w:rPr>
            <w:noProof/>
          </w:rPr>
          <w:fldChar w:fldCharType="begin"/>
        </w:r>
        <w:r w:rsidR="00C363A3">
          <w:rPr>
            <w:noProof/>
          </w:rPr>
          <w:instrText xml:space="preserve"> PAGEREF _Toc8701 </w:instrText>
        </w:r>
        <w:r w:rsidR="00C363A3">
          <w:rPr>
            <w:noProof/>
          </w:rPr>
          <w:fldChar w:fldCharType="separate"/>
        </w:r>
        <w:r w:rsidR="0060510F">
          <w:rPr>
            <w:noProof/>
          </w:rPr>
          <w:t>47</w:t>
        </w:r>
        <w:r w:rsidR="00C363A3">
          <w:rPr>
            <w:noProof/>
          </w:rPr>
          <w:fldChar w:fldCharType="end"/>
        </w:r>
      </w:hyperlink>
    </w:p>
    <w:p w14:paraId="02B12688" w14:textId="41714004" w:rsidR="00E82AF4" w:rsidRDefault="001E479D">
      <w:pPr>
        <w:pStyle w:val="11"/>
        <w:tabs>
          <w:tab w:val="clear" w:pos="8296"/>
          <w:tab w:val="right" w:leader="dot" w:pos="8306"/>
        </w:tabs>
        <w:rPr>
          <w:noProof/>
        </w:rPr>
      </w:pPr>
      <w:hyperlink w:anchor="_Toc16076" w:history="1">
        <w:r w:rsidR="005B2E6A">
          <w:rPr>
            <w:noProof/>
            <w:szCs w:val="32"/>
          </w:rPr>
          <w:t>第十</w:t>
        </w:r>
        <w:r w:rsidR="005B2E6A">
          <w:rPr>
            <w:rFonts w:hint="eastAsia"/>
            <w:noProof/>
            <w:szCs w:val="32"/>
          </w:rPr>
          <w:t>三</w:t>
        </w:r>
        <w:r w:rsidR="005B2E6A">
          <w:rPr>
            <w:noProof/>
            <w:szCs w:val="32"/>
          </w:rPr>
          <w:t>部分</w:t>
        </w:r>
        <w:r w:rsidR="005B2E6A">
          <w:rPr>
            <w:noProof/>
          </w:rPr>
          <w:t xml:space="preserve">  </w:t>
        </w:r>
        <w:r w:rsidR="005B2E6A">
          <w:rPr>
            <w:rFonts w:hint="eastAsia"/>
            <w:noProof/>
          </w:rPr>
          <w:t>基金份额的登记</w:t>
        </w:r>
        <w:r w:rsidR="005B2E6A">
          <w:rPr>
            <w:noProof/>
          </w:rPr>
          <w:tab/>
        </w:r>
        <w:r w:rsidR="00C363A3">
          <w:rPr>
            <w:noProof/>
          </w:rPr>
          <w:fldChar w:fldCharType="begin"/>
        </w:r>
        <w:r w:rsidR="00C363A3">
          <w:rPr>
            <w:noProof/>
          </w:rPr>
          <w:instrText xml:space="preserve"> PAGEREF _Toc16076 </w:instrText>
        </w:r>
        <w:r w:rsidR="00C363A3">
          <w:rPr>
            <w:noProof/>
          </w:rPr>
          <w:fldChar w:fldCharType="separate"/>
        </w:r>
        <w:r w:rsidR="0060510F">
          <w:rPr>
            <w:noProof/>
          </w:rPr>
          <w:t>48</w:t>
        </w:r>
        <w:r w:rsidR="00C363A3">
          <w:rPr>
            <w:noProof/>
          </w:rPr>
          <w:fldChar w:fldCharType="end"/>
        </w:r>
      </w:hyperlink>
    </w:p>
    <w:p w14:paraId="27DE3E94" w14:textId="64FB3413" w:rsidR="00E82AF4" w:rsidRDefault="001E479D">
      <w:pPr>
        <w:pStyle w:val="11"/>
        <w:tabs>
          <w:tab w:val="clear" w:pos="8296"/>
          <w:tab w:val="right" w:leader="dot" w:pos="8306"/>
        </w:tabs>
        <w:rPr>
          <w:noProof/>
        </w:rPr>
      </w:pPr>
      <w:hyperlink w:anchor="_Toc29728" w:history="1">
        <w:r w:rsidR="005B2E6A">
          <w:rPr>
            <w:noProof/>
            <w:szCs w:val="32"/>
          </w:rPr>
          <w:t>第十</w:t>
        </w:r>
        <w:r w:rsidR="005B2E6A">
          <w:rPr>
            <w:rFonts w:hint="eastAsia"/>
            <w:noProof/>
            <w:szCs w:val="32"/>
          </w:rPr>
          <w:t>四</w:t>
        </w:r>
        <w:r w:rsidR="005B2E6A">
          <w:rPr>
            <w:rFonts w:hint="eastAsia"/>
            <w:noProof/>
          </w:rPr>
          <w:t>部分</w:t>
        </w:r>
        <w:r w:rsidR="005B2E6A">
          <w:rPr>
            <w:noProof/>
          </w:rPr>
          <w:t xml:space="preserve">  </w:t>
        </w:r>
        <w:r w:rsidR="005B2E6A">
          <w:rPr>
            <w:rFonts w:hint="eastAsia"/>
            <w:noProof/>
          </w:rPr>
          <w:t>基金</w:t>
        </w:r>
        <w:bookmarkStart w:id="39" w:name="_Hlt89096687"/>
        <w:r w:rsidR="005B2E6A">
          <w:rPr>
            <w:rFonts w:hint="eastAsia"/>
            <w:noProof/>
          </w:rPr>
          <w:t>的</w:t>
        </w:r>
        <w:bookmarkEnd w:id="39"/>
        <w:r w:rsidR="005B2E6A">
          <w:rPr>
            <w:rFonts w:hint="eastAsia"/>
            <w:noProof/>
          </w:rPr>
          <w:t>投</w:t>
        </w:r>
        <w:bookmarkStart w:id="40" w:name="_Hlt89096850"/>
        <w:bookmarkStart w:id="41" w:name="_Hlt88467012"/>
        <w:bookmarkStart w:id="42" w:name="_Hlt87969209"/>
        <w:bookmarkStart w:id="43" w:name="_Hlt89097294"/>
        <w:r w:rsidR="005B2E6A">
          <w:rPr>
            <w:rFonts w:hint="eastAsia"/>
            <w:noProof/>
          </w:rPr>
          <w:t>资</w:t>
        </w:r>
        <w:bookmarkEnd w:id="40"/>
        <w:bookmarkEnd w:id="41"/>
        <w:bookmarkEnd w:id="42"/>
        <w:bookmarkEnd w:id="43"/>
        <w:r w:rsidR="005B2E6A">
          <w:rPr>
            <w:noProof/>
          </w:rPr>
          <w:tab/>
        </w:r>
        <w:r w:rsidR="00C363A3">
          <w:rPr>
            <w:noProof/>
          </w:rPr>
          <w:fldChar w:fldCharType="begin"/>
        </w:r>
        <w:r w:rsidR="00C363A3">
          <w:rPr>
            <w:noProof/>
          </w:rPr>
          <w:instrText xml:space="preserve"> PAGEREF _Toc29728 </w:instrText>
        </w:r>
        <w:r w:rsidR="00C363A3">
          <w:rPr>
            <w:noProof/>
          </w:rPr>
          <w:fldChar w:fldCharType="separate"/>
        </w:r>
        <w:r w:rsidR="0060510F">
          <w:rPr>
            <w:noProof/>
          </w:rPr>
          <w:t>50</w:t>
        </w:r>
        <w:r w:rsidR="00C363A3">
          <w:rPr>
            <w:noProof/>
          </w:rPr>
          <w:fldChar w:fldCharType="end"/>
        </w:r>
      </w:hyperlink>
    </w:p>
    <w:p w14:paraId="5820AD35" w14:textId="0E499C94" w:rsidR="00E82AF4" w:rsidRDefault="001E479D">
      <w:pPr>
        <w:pStyle w:val="11"/>
        <w:tabs>
          <w:tab w:val="clear" w:pos="8296"/>
          <w:tab w:val="right" w:leader="dot" w:pos="8306"/>
        </w:tabs>
        <w:rPr>
          <w:noProof/>
        </w:rPr>
      </w:pPr>
      <w:hyperlink w:anchor="_Toc7185" w:history="1">
        <w:r w:rsidR="005B2E6A">
          <w:rPr>
            <w:noProof/>
            <w:szCs w:val="32"/>
          </w:rPr>
          <w:t>第十</w:t>
        </w:r>
        <w:r w:rsidR="005B2E6A">
          <w:rPr>
            <w:rFonts w:hint="eastAsia"/>
            <w:noProof/>
            <w:szCs w:val="32"/>
          </w:rPr>
          <w:t>五</w:t>
        </w:r>
        <w:r w:rsidR="005B2E6A">
          <w:rPr>
            <w:rFonts w:hint="eastAsia"/>
            <w:noProof/>
          </w:rPr>
          <w:t>部分</w:t>
        </w:r>
        <w:r w:rsidR="005B2E6A">
          <w:rPr>
            <w:noProof/>
          </w:rPr>
          <w:t xml:space="preserve">  </w:t>
        </w:r>
        <w:r w:rsidR="005B2E6A">
          <w:rPr>
            <w:rFonts w:hint="eastAsia"/>
            <w:noProof/>
          </w:rPr>
          <w:t>基金的财产</w:t>
        </w:r>
        <w:r w:rsidR="005B2E6A">
          <w:rPr>
            <w:noProof/>
          </w:rPr>
          <w:tab/>
        </w:r>
        <w:r w:rsidR="00C363A3">
          <w:rPr>
            <w:noProof/>
          </w:rPr>
          <w:fldChar w:fldCharType="begin"/>
        </w:r>
        <w:r w:rsidR="00C363A3">
          <w:rPr>
            <w:noProof/>
          </w:rPr>
          <w:instrText xml:space="preserve"> PAGEREF _Toc7185 </w:instrText>
        </w:r>
        <w:r w:rsidR="00C363A3">
          <w:rPr>
            <w:noProof/>
          </w:rPr>
          <w:fldChar w:fldCharType="separate"/>
        </w:r>
        <w:r w:rsidR="0060510F">
          <w:rPr>
            <w:noProof/>
          </w:rPr>
          <w:t>59</w:t>
        </w:r>
        <w:r w:rsidR="00C363A3">
          <w:rPr>
            <w:noProof/>
          </w:rPr>
          <w:fldChar w:fldCharType="end"/>
        </w:r>
      </w:hyperlink>
    </w:p>
    <w:p w14:paraId="74B16DA9" w14:textId="5A057C14" w:rsidR="00E82AF4" w:rsidRDefault="001E479D">
      <w:pPr>
        <w:pStyle w:val="11"/>
        <w:tabs>
          <w:tab w:val="clear" w:pos="8296"/>
          <w:tab w:val="right" w:leader="dot" w:pos="8306"/>
        </w:tabs>
        <w:rPr>
          <w:noProof/>
        </w:rPr>
      </w:pPr>
      <w:hyperlink w:anchor="_Toc19175" w:history="1">
        <w:r w:rsidR="005B2E6A">
          <w:rPr>
            <w:noProof/>
            <w:szCs w:val="32"/>
          </w:rPr>
          <w:t>第十</w:t>
        </w:r>
        <w:r w:rsidR="005B2E6A">
          <w:rPr>
            <w:rFonts w:hint="eastAsia"/>
            <w:noProof/>
            <w:szCs w:val="32"/>
          </w:rPr>
          <w:t>六</w:t>
        </w:r>
        <w:r w:rsidR="005B2E6A">
          <w:rPr>
            <w:noProof/>
            <w:szCs w:val="32"/>
          </w:rPr>
          <w:t>部</w:t>
        </w:r>
        <w:r w:rsidR="005B2E6A">
          <w:rPr>
            <w:rFonts w:hint="eastAsia"/>
            <w:noProof/>
          </w:rPr>
          <w:t>分</w:t>
        </w:r>
        <w:r w:rsidR="005B2E6A">
          <w:rPr>
            <w:noProof/>
          </w:rPr>
          <w:t xml:space="preserve">  </w:t>
        </w:r>
        <w:r w:rsidR="005B2E6A">
          <w:rPr>
            <w:rFonts w:hint="eastAsia"/>
            <w:noProof/>
          </w:rPr>
          <w:t>基金资产估值</w:t>
        </w:r>
        <w:r w:rsidR="005B2E6A">
          <w:rPr>
            <w:noProof/>
          </w:rPr>
          <w:tab/>
        </w:r>
        <w:r w:rsidR="00C363A3">
          <w:rPr>
            <w:noProof/>
          </w:rPr>
          <w:fldChar w:fldCharType="begin"/>
        </w:r>
        <w:r w:rsidR="00C363A3">
          <w:rPr>
            <w:noProof/>
          </w:rPr>
          <w:instrText xml:space="preserve"> PAGEREF _Toc19175 </w:instrText>
        </w:r>
        <w:r w:rsidR="00C363A3">
          <w:rPr>
            <w:noProof/>
          </w:rPr>
          <w:fldChar w:fldCharType="separate"/>
        </w:r>
        <w:r w:rsidR="0060510F">
          <w:rPr>
            <w:noProof/>
          </w:rPr>
          <w:t>60</w:t>
        </w:r>
        <w:r w:rsidR="00C363A3">
          <w:rPr>
            <w:noProof/>
          </w:rPr>
          <w:fldChar w:fldCharType="end"/>
        </w:r>
      </w:hyperlink>
    </w:p>
    <w:p w14:paraId="1250069A" w14:textId="076B22B1" w:rsidR="00E82AF4" w:rsidRDefault="001E479D">
      <w:pPr>
        <w:pStyle w:val="11"/>
        <w:tabs>
          <w:tab w:val="clear" w:pos="8296"/>
          <w:tab w:val="right" w:leader="dot" w:pos="8306"/>
        </w:tabs>
        <w:rPr>
          <w:noProof/>
        </w:rPr>
      </w:pPr>
      <w:hyperlink w:anchor="_Toc3863" w:history="1">
        <w:r w:rsidR="005B2E6A">
          <w:rPr>
            <w:noProof/>
            <w:szCs w:val="32"/>
          </w:rPr>
          <w:t>第十</w:t>
        </w:r>
        <w:r w:rsidR="005B2E6A">
          <w:rPr>
            <w:rFonts w:hint="eastAsia"/>
            <w:noProof/>
            <w:szCs w:val="32"/>
          </w:rPr>
          <w:t>七</w:t>
        </w:r>
        <w:r w:rsidR="005B2E6A">
          <w:rPr>
            <w:rFonts w:hint="eastAsia"/>
            <w:noProof/>
          </w:rPr>
          <w:t>部分</w:t>
        </w:r>
        <w:r w:rsidR="005B2E6A">
          <w:rPr>
            <w:noProof/>
          </w:rPr>
          <w:t xml:space="preserve">  </w:t>
        </w:r>
        <w:r w:rsidR="005B2E6A">
          <w:rPr>
            <w:rFonts w:hint="eastAsia"/>
            <w:noProof/>
          </w:rPr>
          <w:t>基金费用与税收</w:t>
        </w:r>
        <w:r w:rsidR="005B2E6A">
          <w:rPr>
            <w:noProof/>
          </w:rPr>
          <w:tab/>
        </w:r>
        <w:r w:rsidR="00C363A3">
          <w:rPr>
            <w:noProof/>
          </w:rPr>
          <w:fldChar w:fldCharType="begin"/>
        </w:r>
        <w:r w:rsidR="00C363A3">
          <w:rPr>
            <w:noProof/>
          </w:rPr>
          <w:instrText xml:space="preserve"> PAGEREF _Toc3863 </w:instrText>
        </w:r>
        <w:r w:rsidR="00C363A3">
          <w:rPr>
            <w:noProof/>
          </w:rPr>
          <w:fldChar w:fldCharType="separate"/>
        </w:r>
        <w:r w:rsidR="0060510F">
          <w:rPr>
            <w:noProof/>
          </w:rPr>
          <w:t>67</w:t>
        </w:r>
        <w:r w:rsidR="00C363A3">
          <w:rPr>
            <w:noProof/>
          </w:rPr>
          <w:fldChar w:fldCharType="end"/>
        </w:r>
      </w:hyperlink>
    </w:p>
    <w:p w14:paraId="05D2852D" w14:textId="1C9E7121" w:rsidR="00E82AF4" w:rsidRDefault="001E479D">
      <w:pPr>
        <w:pStyle w:val="11"/>
        <w:tabs>
          <w:tab w:val="clear" w:pos="8296"/>
          <w:tab w:val="right" w:leader="dot" w:pos="8306"/>
        </w:tabs>
        <w:rPr>
          <w:noProof/>
        </w:rPr>
      </w:pPr>
      <w:hyperlink w:anchor="_Toc16989" w:history="1">
        <w:r w:rsidR="005B2E6A">
          <w:rPr>
            <w:noProof/>
            <w:szCs w:val="32"/>
          </w:rPr>
          <w:t>第十</w:t>
        </w:r>
        <w:r w:rsidR="005B2E6A">
          <w:rPr>
            <w:rFonts w:hint="eastAsia"/>
            <w:noProof/>
            <w:szCs w:val="32"/>
          </w:rPr>
          <w:t>八</w:t>
        </w:r>
        <w:r w:rsidR="005B2E6A">
          <w:rPr>
            <w:noProof/>
            <w:szCs w:val="32"/>
          </w:rPr>
          <w:t>部</w:t>
        </w:r>
        <w:r w:rsidR="005B2E6A">
          <w:rPr>
            <w:rFonts w:hint="eastAsia"/>
            <w:noProof/>
          </w:rPr>
          <w:t>分</w:t>
        </w:r>
        <w:r w:rsidR="005B2E6A">
          <w:rPr>
            <w:noProof/>
          </w:rPr>
          <w:t xml:space="preserve">  </w:t>
        </w:r>
        <w:r w:rsidR="005B2E6A">
          <w:rPr>
            <w:rFonts w:hint="eastAsia"/>
            <w:noProof/>
          </w:rPr>
          <w:t>基金的收益与分配</w:t>
        </w:r>
        <w:r w:rsidR="005B2E6A">
          <w:rPr>
            <w:noProof/>
          </w:rPr>
          <w:tab/>
        </w:r>
        <w:r w:rsidR="00C363A3">
          <w:rPr>
            <w:noProof/>
          </w:rPr>
          <w:fldChar w:fldCharType="begin"/>
        </w:r>
        <w:r w:rsidR="00C363A3">
          <w:rPr>
            <w:noProof/>
          </w:rPr>
          <w:instrText xml:space="preserve"> PAGEREF _Toc16989 </w:instrText>
        </w:r>
        <w:r w:rsidR="00C363A3">
          <w:rPr>
            <w:noProof/>
          </w:rPr>
          <w:fldChar w:fldCharType="separate"/>
        </w:r>
        <w:r w:rsidR="0060510F">
          <w:rPr>
            <w:noProof/>
          </w:rPr>
          <w:t>69</w:t>
        </w:r>
        <w:r w:rsidR="00C363A3">
          <w:rPr>
            <w:noProof/>
          </w:rPr>
          <w:fldChar w:fldCharType="end"/>
        </w:r>
      </w:hyperlink>
    </w:p>
    <w:p w14:paraId="2AC4DEAF" w14:textId="3D945C43" w:rsidR="00E82AF4" w:rsidRDefault="001E479D">
      <w:pPr>
        <w:pStyle w:val="11"/>
        <w:tabs>
          <w:tab w:val="clear" w:pos="8296"/>
          <w:tab w:val="right" w:leader="dot" w:pos="8306"/>
        </w:tabs>
        <w:rPr>
          <w:noProof/>
        </w:rPr>
      </w:pPr>
      <w:hyperlink w:anchor="_Toc4924" w:history="1">
        <w:r w:rsidR="005B2E6A">
          <w:rPr>
            <w:noProof/>
            <w:szCs w:val="32"/>
          </w:rPr>
          <w:t>第十</w:t>
        </w:r>
        <w:r w:rsidR="005B2E6A">
          <w:rPr>
            <w:rFonts w:hint="eastAsia"/>
            <w:noProof/>
            <w:szCs w:val="32"/>
          </w:rPr>
          <w:t>九</w:t>
        </w:r>
        <w:r w:rsidR="005B2E6A">
          <w:rPr>
            <w:rFonts w:hint="eastAsia"/>
            <w:noProof/>
          </w:rPr>
          <w:t>部分</w:t>
        </w:r>
        <w:r w:rsidR="005B2E6A">
          <w:rPr>
            <w:noProof/>
          </w:rPr>
          <w:t xml:space="preserve">  </w:t>
        </w:r>
        <w:r w:rsidR="005B2E6A">
          <w:rPr>
            <w:rFonts w:hint="eastAsia"/>
            <w:noProof/>
          </w:rPr>
          <w:t>基金的会计与审计</w:t>
        </w:r>
        <w:r w:rsidR="005B2E6A">
          <w:rPr>
            <w:noProof/>
          </w:rPr>
          <w:tab/>
        </w:r>
        <w:r w:rsidR="00C363A3">
          <w:rPr>
            <w:noProof/>
          </w:rPr>
          <w:fldChar w:fldCharType="begin"/>
        </w:r>
        <w:r w:rsidR="00C363A3">
          <w:rPr>
            <w:noProof/>
          </w:rPr>
          <w:instrText xml:space="preserve"> PAGEREF _Toc4924 </w:instrText>
        </w:r>
        <w:r w:rsidR="00C363A3">
          <w:rPr>
            <w:noProof/>
          </w:rPr>
          <w:fldChar w:fldCharType="separate"/>
        </w:r>
        <w:r w:rsidR="0060510F">
          <w:rPr>
            <w:noProof/>
          </w:rPr>
          <w:t>71</w:t>
        </w:r>
        <w:r w:rsidR="00C363A3">
          <w:rPr>
            <w:noProof/>
          </w:rPr>
          <w:fldChar w:fldCharType="end"/>
        </w:r>
      </w:hyperlink>
    </w:p>
    <w:p w14:paraId="71ED3A31" w14:textId="299782B3" w:rsidR="00E82AF4" w:rsidRDefault="001E479D">
      <w:pPr>
        <w:pStyle w:val="11"/>
        <w:tabs>
          <w:tab w:val="clear" w:pos="8296"/>
          <w:tab w:val="right" w:leader="dot" w:pos="8306"/>
        </w:tabs>
        <w:rPr>
          <w:noProof/>
        </w:rPr>
      </w:pPr>
      <w:hyperlink w:anchor="_Toc25084" w:history="1">
        <w:r w:rsidR="005B2E6A">
          <w:rPr>
            <w:noProof/>
            <w:szCs w:val="32"/>
          </w:rPr>
          <w:t>第</w:t>
        </w:r>
        <w:r w:rsidR="005B2E6A">
          <w:rPr>
            <w:rFonts w:hint="eastAsia"/>
            <w:noProof/>
            <w:szCs w:val="32"/>
          </w:rPr>
          <w:t>二十</w:t>
        </w:r>
        <w:r w:rsidR="005B2E6A">
          <w:rPr>
            <w:rFonts w:hint="eastAsia"/>
            <w:noProof/>
          </w:rPr>
          <w:t>部分</w:t>
        </w:r>
        <w:r w:rsidR="005B2E6A">
          <w:rPr>
            <w:noProof/>
          </w:rPr>
          <w:t xml:space="preserve">  </w:t>
        </w:r>
        <w:r w:rsidR="005B2E6A">
          <w:rPr>
            <w:rFonts w:hint="eastAsia"/>
            <w:noProof/>
          </w:rPr>
          <w:t>基金的信息披露</w:t>
        </w:r>
        <w:r w:rsidR="005B2E6A">
          <w:rPr>
            <w:noProof/>
          </w:rPr>
          <w:tab/>
        </w:r>
        <w:r w:rsidR="00C363A3">
          <w:rPr>
            <w:noProof/>
          </w:rPr>
          <w:fldChar w:fldCharType="begin"/>
        </w:r>
        <w:r w:rsidR="00C363A3">
          <w:rPr>
            <w:noProof/>
          </w:rPr>
          <w:instrText xml:space="preserve"> PAGEREF _Toc25084 </w:instrText>
        </w:r>
        <w:r w:rsidR="00C363A3">
          <w:rPr>
            <w:noProof/>
          </w:rPr>
          <w:fldChar w:fldCharType="separate"/>
        </w:r>
        <w:r w:rsidR="0060510F">
          <w:rPr>
            <w:noProof/>
          </w:rPr>
          <w:t>72</w:t>
        </w:r>
        <w:r w:rsidR="00C363A3">
          <w:rPr>
            <w:noProof/>
          </w:rPr>
          <w:fldChar w:fldCharType="end"/>
        </w:r>
      </w:hyperlink>
    </w:p>
    <w:p w14:paraId="39F6BE3C" w14:textId="5CC82CB9" w:rsidR="00E82AF4" w:rsidRDefault="001E479D">
      <w:pPr>
        <w:pStyle w:val="11"/>
        <w:tabs>
          <w:tab w:val="clear" w:pos="8296"/>
          <w:tab w:val="right" w:leader="dot" w:pos="8306"/>
        </w:tabs>
        <w:rPr>
          <w:noProof/>
        </w:rPr>
      </w:pPr>
      <w:hyperlink w:anchor="_Toc27994" w:history="1">
        <w:r w:rsidR="005B2E6A">
          <w:rPr>
            <w:rFonts w:hint="eastAsia"/>
            <w:noProof/>
          </w:rPr>
          <w:t>第二十</w:t>
        </w:r>
        <w:r w:rsidR="005B2E6A">
          <w:rPr>
            <w:rFonts w:hint="eastAsia"/>
            <w:noProof/>
            <w:szCs w:val="32"/>
          </w:rPr>
          <w:t>一</w:t>
        </w:r>
        <w:r w:rsidR="005B2E6A">
          <w:rPr>
            <w:noProof/>
            <w:szCs w:val="32"/>
          </w:rPr>
          <w:t>部分</w:t>
        </w:r>
        <w:r w:rsidR="005B2E6A">
          <w:rPr>
            <w:noProof/>
          </w:rPr>
          <w:t xml:space="preserve">  </w:t>
        </w:r>
        <w:r w:rsidR="005B2E6A">
          <w:rPr>
            <w:rFonts w:hint="eastAsia"/>
            <w:noProof/>
          </w:rPr>
          <w:t>基金合同的变更、终止与基金</w:t>
        </w:r>
        <w:bookmarkStart w:id="44" w:name="_Hlt89096962"/>
        <w:r w:rsidR="005B2E6A">
          <w:rPr>
            <w:rFonts w:hint="eastAsia"/>
            <w:noProof/>
          </w:rPr>
          <w:t>财</w:t>
        </w:r>
        <w:bookmarkEnd w:id="44"/>
        <w:r w:rsidR="005B2E6A">
          <w:rPr>
            <w:rFonts w:hint="eastAsia"/>
            <w:noProof/>
          </w:rPr>
          <w:t>产的清算</w:t>
        </w:r>
        <w:r w:rsidR="005B2E6A">
          <w:rPr>
            <w:noProof/>
          </w:rPr>
          <w:tab/>
        </w:r>
        <w:r w:rsidR="00C363A3">
          <w:rPr>
            <w:noProof/>
          </w:rPr>
          <w:fldChar w:fldCharType="begin"/>
        </w:r>
        <w:r w:rsidR="00C363A3">
          <w:rPr>
            <w:noProof/>
          </w:rPr>
          <w:instrText xml:space="preserve"> PAGEREF _Toc27994 </w:instrText>
        </w:r>
        <w:r w:rsidR="00C363A3">
          <w:rPr>
            <w:noProof/>
          </w:rPr>
          <w:fldChar w:fldCharType="separate"/>
        </w:r>
        <w:r w:rsidR="0060510F">
          <w:rPr>
            <w:noProof/>
          </w:rPr>
          <w:t>80</w:t>
        </w:r>
        <w:r w:rsidR="00C363A3">
          <w:rPr>
            <w:noProof/>
          </w:rPr>
          <w:fldChar w:fldCharType="end"/>
        </w:r>
      </w:hyperlink>
    </w:p>
    <w:p w14:paraId="6BBC643C" w14:textId="30C9AFFC" w:rsidR="00E82AF4" w:rsidRDefault="001E479D">
      <w:pPr>
        <w:pStyle w:val="11"/>
        <w:tabs>
          <w:tab w:val="clear" w:pos="8296"/>
          <w:tab w:val="right" w:leader="dot" w:pos="8306"/>
        </w:tabs>
        <w:rPr>
          <w:noProof/>
        </w:rPr>
      </w:pPr>
      <w:hyperlink w:anchor="_Toc29011" w:history="1">
        <w:r w:rsidR="005B2E6A">
          <w:rPr>
            <w:noProof/>
            <w:szCs w:val="32"/>
          </w:rPr>
          <w:t>第二十</w:t>
        </w:r>
        <w:r w:rsidR="005B2E6A">
          <w:rPr>
            <w:rFonts w:hint="eastAsia"/>
            <w:noProof/>
            <w:szCs w:val="32"/>
          </w:rPr>
          <w:t>二</w:t>
        </w:r>
        <w:r w:rsidR="005B2E6A">
          <w:rPr>
            <w:rFonts w:hint="eastAsia"/>
            <w:noProof/>
          </w:rPr>
          <w:t>部分</w:t>
        </w:r>
        <w:r w:rsidR="005B2E6A">
          <w:rPr>
            <w:noProof/>
          </w:rPr>
          <w:t xml:space="preserve">  </w:t>
        </w:r>
        <w:r w:rsidR="005B2E6A">
          <w:rPr>
            <w:rFonts w:hint="eastAsia"/>
            <w:noProof/>
          </w:rPr>
          <w:t>违约责任</w:t>
        </w:r>
        <w:r w:rsidR="005B2E6A">
          <w:rPr>
            <w:noProof/>
          </w:rPr>
          <w:tab/>
        </w:r>
        <w:r w:rsidR="00C363A3">
          <w:rPr>
            <w:noProof/>
          </w:rPr>
          <w:fldChar w:fldCharType="begin"/>
        </w:r>
        <w:r w:rsidR="00C363A3">
          <w:rPr>
            <w:noProof/>
          </w:rPr>
          <w:instrText xml:space="preserve"> PAGEREF _Toc29011 </w:instrText>
        </w:r>
        <w:r w:rsidR="00C363A3">
          <w:rPr>
            <w:noProof/>
          </w:rPr>
          <w:fldChar w:fldCharType="separate"/>
        </w:r>
        <w:r w:rsidR="0060510F">
          <w:rPr>
            <w:noProof/>
          </w:rPr>
          <w:t>82</w:t>
        </w:r>
        <w:r w:rsidR="00C363A3">
          <w:rPr>
            <w:noProof/>
          </w:rPr>
          <w:fldChar w:fldCharType="end"/>
        </w:r>
      </w:hyperlink>
    </w:p>
    <w:p w14:paraId="06A50FB3" w14:textId="2E6EBFE2" w:rsidR="00E82AF4" w:rsidRDefault="001E479D">
      <w:pPr>
        <w:pStyle w:val="11"/>
        <w:tabs>
          <w:tab w:val="clear" w:pos="8296"/>
          <w:tab w:val="right" w:leader="dot" w:pos="8306"/>
        </w:tabs>
        <w:rPr>
          <w:noProof/>
        </w:rPr>
      </w:pPr>
      <w:hyperlink w:anchor="_Toc3162" w:history="1">
        <w:r w:rsidR="005B2E6A">
          <w:rPr>
            <w:noProof/>
            <w:szCs w:val="32"/>
          </w:rPr>
          <w:t>第二十</w:t>
        </w:r>
        <w:r w:rsidR="005B2E6A">
          <w:rPr>
            <w:rFonts w:hint="eastAsia"/>
            <w:noProof/>
            <w:szCs w:val="32"/>
          </w:rPr>
          <w:t>三</w:t>
        </w:r>
        <w:r w:rsidR="005B2E6A">
          <w:rPr>
            <w:noProof/>
            <w:szCs w:val="32"/>
          </w:rPr>
          <w:t>部分</w:t>
        </w:r>
        <w:r w:rsidR="005B2E6A">
          <w:rPr>
            <w:noProof/>
          </w:rPr>
          <w:t xml:space="preserve">  </w:t>
        </w:r>
        <w:r w:rsidR="005B2E6A">
          <w:rPr>
            <w:rFonts w:hint="eastAsia"/>
            <w:noProof/>
          </w:rPr>
          <w:t>争议的处理和适用的法律</w:t>
        </w:r>
        <w:r w:rsidR="005B2E6A">
          <w:rPr>
            <w:noProof/>
          </w:rPr>
          <w:tab/>
        </w:r>
        <w:r w:rsidR="00C363A3">
          <w:rPr>
            <w:noProof/>
          </w:rPr>
          <w:fldChar w:fldCharType="begin"/>
        </w:r>
        <w:r w:rsidR="00C363A3">
          <w:rPr>
            <w:noProof/>
          </w:rPr>
          <w:instrText xml:space="preserve"> PAGEREF _Toc3162 </w:instrText>
        </w:r>
        <w:r w:rsidR="00C363A3">
          <w:rPr>
            <w:noProof/>
          </w:rPr>
          <w:fldChar w:fldCharType="separate"/>
        </w:r>
        <w:r w:rsidR="0060510F">
          <w:rPr>
            <w:noProof/>
          </w:rPr>
          <w:t>83</w:t>
        </w:r>
        <w:r w:rsidR="00C363A3">
          <w:rPr>
            <w:noProof/>
          </w:rPr>
          <w:fldChar w:fldCharType="end"/>
        </w:r>
      </w:hyperlink>
    </w:p>
    <w:p w14:paraId="1B505E46" w14:textId="4A6BE374" w:rsidR="00E82AF4" w:rsidRDefault="001E479D">
      <w:pPr>
        <w:pStyle w:val="11"/>
        <w:tabs>
          <w:tab w:val="clear" w:pos="8296"/>
          <w:tab w:val="right" w:leader="dot" w:pos="8306"/>
        </w:tabs>
        <w:rPr>
          <w:noProof/>
        </w:rPr>
      </w:pPr>
      <w:hyperlink w:anchor="_Toc15069" w:history="1">
        <w:r w:rsidR="005B2E6A">
          <w:rPr>
            <w:noProof/>
            <w:szCs w:val="32"/>
          </w:rPr>
          <w:t>第二十</w:t>
        </w:r>
        <w:r w:rsidR="005B2E6A">
          <w:rPr>
            <w:rFonts w:hint="eastAsia"/>
            <w:noProof/>
            <w:szCs w:val="32"/>
          </w:rPr>
          <w:t>四</w:t>
        </w:r>
        <w:r w:rsidR="005B2E6A">
          <w:rPr>
            <w:rFonts w:hint="eastAsia"/>
            <w:noProof/>
          </w:rPr>
          <w:t>部分</w:t>
        </w:r>
        <w:r w:rsidR="005B2E6A">
          <w:rPr>
            <w:noProof/>
          </w:rPr>
          <w:t xml:space="preserve"> </w:t>
        </w:r>
        <w:r w:rsidR="005B2E6A">
          <w:rPr>
            <w:rFonts w:hint="eastAsia"/>
            <w:noProof/>
          </w:rPr>
          <w:t>基金合同的效力</w:t>
        </w:r>
        <w:r w:rsidR="005B2E6A">
          <w:rPr>
            <w:noProof/>
          </w:rPr>
          <w:tab/>
        </w:r>
        <w:r w:rsidR="00C363A3">
          <w:rPr>
            <w:noProof/>
          </w:rPr>
          <w:fldChar w:fldCharType="begin"/>
        </w:r>
        <w:r w:rsidR="00C363A3">
          <w:rPr>
            <w:noProof/>
          </w:rPr>
          <w:instrText xml:space="preserve"> PAGEREF _Toc15069 </w:instrText>
        </w:r>
        <w:r w:rsidR="00C363A3">
          <w:rPr>
            <w:noProof/>
          </w:rPr>
          <w:fldChar w:fldCharType="separate"/>
        </w:r>
        <w:r w:rsidR="0060510F">
          <w:rPr>
            <w:noProof/>
          </w:rPr>
          <w:t>84</w:t>
        </w:r>
        <w:r w:rsidR="00C363A3">
          <w:rPr>
            <w:noProof/>
          </w:rPr>
          <w:fldChar w:fldCharType="end"/>
        </w:r>
      </w:hyperlink>
    </w:p>
    <w:p w14:paraId="7FFEC985" w14:textId="575C59B0" w:rsidR="00E82AF4" w:rsidRDefault="001E479D">
      <w:pPr>
        <w:pStyle w:val="11"/>
        <w:tabs>
          <w:tab w:val="clear" w:pos="8296"/>
          <w:tab w:val="right" w:leader="dot" w:pos="8306"/>
        </w:tabs>
        <w:rPr>
          <w:noProof/>
        </w:rPr>
      </w:pPr>
      <w:hyperlink w:anchor="_Toc4922" w:history="1">
        <w:r w:rsidR="005B2E6A">
          <w:rPr>
            <w:rFonts w:hint="eastAsia"/>
            <w:noProof/>
            <w:szCs w:val="32"/>
          </w:rPr>
          <w:t>第二十五</w:t>
        </w:r>
        <w:r w:rsidR="005B2E6A">
          <w:rPr>
            <w:rFonts w:hint="eastAsia"/>
            <w:noProof/>
          </w:rPr>
          <w:t>部分</w:t>
        </w:r>
        <w:r w:rsidR="005B2E6A">
          <w:rPr>
            <w:noProof/>
          </w:rPr>
          <w:t xml:space="preserve">  </w:t>
        </w:r>
        <w:r w:rsidR="005B2E6A">
          <w:rPr>
            <w:rFonts w:hint="eastAsia"/>
            <w:noProof/>
          </w:rPr>
          <w:t>其他事项</w:t>
        </w:r>
        <w:r w:rsidR="005B2E6A">
          <w:rPr>
            <w:noProof/>
          </w:rPr>
          <w:tab/>
        </w:r>
        <w:r w:rsidR="00C363A3">
          <w:rPr>
            <w:noProof/>
          </w:rPr>
          <w:fldChar w:fldCharType="begin"/>
        </w:r>
        <w:r w:rsidR="00C363A3">
          <w:rPr>
            <w:noProof/>
          </w:rPr>
          <w:instrText xml:space="preserve"> PAGEREF _Toc4922 </w:instrText>
        </w:r>
        <w:r w:rsidR="00C363A3">
          <w:rPr>
            <w:noProof/>
          </w:rPr>
          <w:fldChar w:fldCharType="separate"/>
        </w:r>
        <w:r w:rsidR="0060510F">
          <w:rPr>
            <w:noProof/>
          </w:rPr>
          <w:t>85</w:t>
        </w:r>
        <w:r w:rsidR="00C363A3">
          <w:rPr>
            <w:noProof/>
          </w:rPr>
          <w:fldChar w:fldCharType="end"/>
        </w:r>
      </w:hyperlink>
    </w:p>
    <w:p w14:paraId="07C52B11" w14:textId="34E29ED6" w:rsidR="00E82AF4" w:rsidRDefault="001E479D">
      <w:pPr>
        <w:pStyle w:val="11"/>
        <w:tabs>
          <w:tab w:val="clear" w:pos="8296"/>
          <w:tab w:val="right" w:leader="dot" w:pos="8306"/>
        </w:tabs>
        <w:rPr>
          <w:noProof/>
        </w:rPr>
      </w:pPr>
      <w:hyperlink w:anchor="_Toc30308" w:history="1">
        <w:r w:rsidR="005B2E6A">
          <w:rPr>
            <w:noProof/>
            <w:szCs w:val="32"/>
          </w:rPr>
          <w:t>第二十</w:t>
        </w:r>
        <w:r w:rsidR="005B2E6A">
          <w:rPr>
            <w:rFonts w:hint="eastAsia"/>
            <w:noProof/>
            <w:szCs w:val="32"/>
          </w:rPr>
          <w:t>六</w:t>
        </w:r>
        <w:r w:rsidR="005B2E6A">
          <w:rPr>
            <w:noProof/>
            <w:szCs w:val="32"/>
          </w:rPr>
          <w:t>部分</w:t>
        </w:r>
        <w:r w:rsidR="005B2E6A">
          <w:rPr>
            <w:noProof/>
          </w:rPr>
          <w:t xml:space="preserve"> </w:t>
        </w:r>
        <w:r w:rsidR="005B2E6A">
          <w:rPr>
            <w:rFonts w:hint="eastAsia"/>
            <w:noProof/>
          </w:rPr>
          <w:t>基金合同内容摘要</w:t>
        </w:r>
        <w:bookmarkStart w:id="45" w:name="_Hlt87969418"/>
        <w:r w:rsidR="005B2E6A">
          <w:rPr>
            <w:noProof/>
          </w:rPr>
          <w:tab/>
        </w:r>
        <w:bookmarkEnd w:id="45"/>
        <w:r w:rsidR="005B2E6A">
          <w:rPr>
            <w:noProof/>
          </w:rPr>
          <w:fldChar w:fldCharType="begin"/>
        </w:r>
        <w:r w:rsidR="005B2E6A">
          <w:rPr>
            <w:noProof/>
          </w:rPr>
          <w:instrText xml:space="preserve"> PAGEREF _Toc30308 </w:instrText>
        </w:r>
        <w:r w:rsidR="005B2E6A">
          <w:rPr>
            <w:noProof/>
          </w:rPr>
          <w:fldChar w:fldCharType="separate"/>
        </w:r>
        <w:r w:rsidR="0060510F">
          <w:rPr>
            <w:noProof/>
          </w:rPr>
          <w:t>86</w:t>
        </w:r>
        <w:r w:rsidR="005B2E6A">
          <w:rPr>
            <w:noProof/>
          </w:rPr>
          <w:fldChar w:fldCharType="end"/>
        </w:r>
      </w:hyperlink>
    </w:p>
    <w:p w14:paraId="7912AD35" w14:textId="77777777" w:rsidR="00E82AF4" w:rsidRDefault="005B2E6A">
      <w:pPr>
        <w:pStyle w:val="1"/>
        <w:spacing w:before="0" w:after="0"/>
        <w:jc w:val="left"/>
        <w:rPr>
          <w:rFonts w:ascii="Times New Roman"/>
          <w:b w:val="0"/>
          <w:bCs/>
          <w:color w:val="auto"/>
          <w:kern w:val="2"/>
        </w:rPr>
        <w:sectPr w:rsidR="00E82AF4">
          <w:headerReference w:type="default" r:id="rId10"/>
          <w:pgSz w:w="11906" w:h="16838"/>
          <w:pgMar w:top="1440" w:right="1800" w:bottom="1440" w:left="1800" w:header="851" w:footer="992" w:gutter="0"/>
          <w:pgNumType w:start="1"/>
          <w:cols w:space="720"/>
          <w:docGrid w:type="lines" w:linePitch="312"/>
        </w:sectPr>
      </w:pPr>
      <w:r>
        <w:rPr>
          <w:rFonts w:ascii="Times New Roman"/>
          <w:color w:val="auto"/>
          <w:kern w:val="2"/>
        </w:rPr>
        <w:fldChar w:fldCharType="end"/>
      </w:r>
      <w:bookmarkStart w:id="46" w:name="_Toc6306"/>
      <w:bookmarkStart w:id="47" w:name="_Toc30935"/>
      <w:bookmarkStart w:id="48" w:name="_Toc15517"/>
      <w:bookmarkStart w:id="49" w:name="_Toc32639"/>
      <w:bookmarkStart w:id="50" w:name="_Toc8727"/>
      <w:bookmarkStart w:id="51" w:name="_Toc23386"/>
      <w:bookmarkStart w:id="52" w:name="_Toc4966"/>
      <w:bookmarkStart w:id="53" w:name="_Toc4867"/>
      <w:bookmarkStart w:id="54" w:name="_Toc29629"/>
      <w:bookmarkStart w:id="55" w:name="_Toc26897"/>
      <w:bookmarkStart w:id="56" w:name="_Toc139991730"/>
      <w:bookmarkStart w:id="57" w:name="_Toc141703880"/>
      <w:bookmarkStart w:id="58" w:name="_Toc123701389"/>
      <w:bookmarkStart w:id="59" w:name="_Toc123112268"/>
      <w:bookmarkStart w:id="60" w:name="_Toc123112229"/>
      <w:bookmarkStart w:id="61" w:name="_Toc233456271"/>
      <w:bookmarkEnd w:id="33"/>
    </w:p>
    <w:p w14:paraId="1A26AD1B" w14:textId="77777777" w:rsidR="00E82AF4" w:rsidRDefault="005B2E6A">
      <w:pPr>
        <w:pStyle w:val="1"/>
        <w:spacing w:before="0" w:after="0"/>
        <w:jc w:val="center"/>
        <w:rPr>
          <w:rFonts w:ascii="Times New Roman"/>
          <w:color w:val="auto"/>
          <w:sz w:val="32"/>
        </w:rPr>
      </w:pPr>
      <w:bookmarkStart w:id="62" w:name="CTS_9ee77c7d129442c8b67dea1de49fe387"/>
      <w:bookmarkStart w:id="63" w:name="CTS_4927e018d66d4e2883a9b7b7bbf034f4"/>
      <w:bookmarkStart w:id="64" w:name="CTS_546bdca4167447b98475fafc5ec3746a"/>
      <w:bookmarkStart w:id="65" w:name="_Toc11660"/>
      <w:bookmarkStart w:id="66" w:name="_Toc8214"/>
      <w:bookmarkStart w:id="67" w:name="_Toc32307756"/>
      <w:bookmarkStart w:id="68" w:name="CLAUSE_4927e018d66d4e2883a9b7b7bbf034f4"/>
      <w:bookmarkStart w:id="69" w:name="CLAUSE_546bdca4167447b98475fafc5ec3746a"/>
      <w:bookmarkStart w:id="70" w:name="CLAUSE_9ee77c7d129442c8b67dea1de49fe387"/>
      <w:bookmarkEnd w:id="34"/>
      <w:bookmarkEnd w:id="35"/>
      <w:bookmarkEnd w:id="62"/>
      <w:bookmarkEnd w:id="63"/>
      <w:bookmarkEnd w:id="64"/>
      <w:r>
        <w:rPr>
          <w:rFonts w:ascii="Times New Roman" w:hint="eastAsia"/>
          <w:color w:val="auto"/>
          <w:sz w:val="32"/>
        </w:rPr>
        <w:lastRenderedPageBreak/>
        <w:t>第一部分</w:t>
      </w:r>
      <w:r>
        <w:rPr>
          <w:rFonts w:ascii="Times New Roman"/>
          <w:color w:val="auto"/>
          <w:sz w:val="32"/>
        </w:rPr>
        <w:t xml:space="preserve">  </w:t>
      </w:r>
      <w:r>
        <w:rPr>
          <w:rFonts w:ascii="Times New Roman" w:hint="eastAsia"/>
          <w:color w:val="auto"/>
          <w:sz w:val="32"/>
        </w:rPr>
        <w:t>前言</w:t>
      </w:r>
      <w:bookmarkEnd w:id="46"/>
      <w:bookmarkEnd w:id="47"/>
      <w:bookmarkEnd w:id="48"/>
      <w:bookmarkEnd w:id="49"/>
      <w:bookmarkEnd w:id="50"/>
      <w:bookmarkEnd w:id="51"/>
      <w:bookmarkEnd w:id="52"/>
      <w:bookmarkEnd w:id="53"/>
      <w:bookmarkEnd w:id="54"/>
      <w:bookmarkEnd w:id="55"/>
      <w:bookmarkEnd w:id="56"/>
      <w:bookmarkEnd w:id="57"/>
      <w:bookmarkEnd w:id="65"/>
      <w:bookmarkEnd w:id="66"/>
      <w:bookmarkEnd w:id="67"/>
    </w:p>
    <w:p w14:paraId="0327FC38" w14:textId="77777777" w:rsidR="00E82AF4" w:rsidRDefault="00E82AF4">
      <w:pPr>
        <w:rPr>
          <w:bCs/>
        </w:rPr>
      </w:pPr>
      <w:bookmarkStart w:id="71" w:name="_Toc139991731"/>
    </w:p>
    <w:p w14:paraId="2B2447FC" w14:textId="77777777" w:rsidR="00E82AF4" w:rsidRDefault="005B2E6A">
      <w:pPr>
        <w:pStyle w:val="HD0"/>
        <w:adjustRightInd w:val="0"/>
        <w:ind w:firstLine="480"/>
        <w:rPr>
          <w:rFonts w:ascii="宋体" w:hAnsi="宋体"/>
          <w:sz w:val="24"/>
        </w:rPr>
      </w:pPr>
      <w:bookmarkStart w:id="72" w:name="_Toc258829399"/>
      <w:bookmarkEnd w:id="58"/>
      <w:bookmarkEnd w:id="59"/>
      <w:bookmarkEnd w:id="60"/>
      <w:bookmarkEnd w:id="71"/>
      <w:r>
        <w:rPr>
          <w:rFonts w:ascii="宋体" w:hAnsi="宋体" w:hint="eastAsia"/>
          <w:sz w:val="24"/>
        </w:rPr>
        <w:t>一、订立本基金合同的目的、依据和原则</w:t>
      </w:r>
    </w:p>
    <w:p w14:paraId="71FF566D" w14:textId="77777777" w:rsidR="00E82AF4" w:rsidRDefault="005B2E6A">
      <w:pPr>
        <w:pStyle w:val="HD0"/>
        <w:adjustRightInd w:val="0"/>
        <w:ind w:firstLine="480"/>
        <w:rPr>
          <w:rFonts w:ascii="宋体" w:hAnsi="宋体"/>
          <w:sz w:val="24"/>
        </w:rPr>
      </w:pPr>
      <w:r>
        <w:rPr>
          <w:rFonts w:ascii="宋体" w:hAnsi="宋体" w:hint="eastAsia"/>
          <w:sz w:val="24"/>
        </w:rPr>
        <w:t>1、订立本基金合同的目的是保护投资人合法权益，明确基金合同当事人的权利义务，规范基金运作。</w:t>
      </w:r>
    </w:p>
    <w:p w14:paraId="279FB565" w14:textId="77777777" w:rsidR="00E82AF4" w:rsidRDefault="005B2E6A">
      <w:pPr>
        <w:pStyle w:val="HD0"/>
        <w:adjustRightInd w:val="0"/>
        <w:ind w:firstLine="480"/>
        <w:rPr>
          <w:rFonts w:ascii="宋体" w:hAnsi="宋体"/>
          <w:sz w:val="24"/>
        </w:rPr>
      </w:pPr>
      <w:r>
        <w:rPr>
          <w:rFonts w:ascii="宋体" w:hAnsi="宋体" w:hint="eastAsia"/>
          <w:sz w:val="24"/>
        </w:rPr>
        <w:t>2、订立本基金合同的依据是《中华人民共和国民法典》、《中华人民共和国证券投资基金法》</w:t>
      </w:r>
      <w:r>
        <w:rPr>
          <w:rFonts w:ascii="宋体" w:hAnsi="宋体" w:hint="eastAsia"/>
          <w:sz w:val="24"/>
          <w:szCs w:val="24"/>
        </w:rPr>
        <w:t>（</w:t>
      </w:r>
      <w:r>
        <w:rPr>
          <w:rFonts w:ascii="宋体" w:hAnsi="宋体" w:hint="eastAsia"/>
          <w:sz w:val="24"/>
        </w:rPr>
        <w:t>以下简称“《基金法》”</w:t>
      </w:r>
      <w:r>
        <w:rPr>
          <w:rFonts w:ascii="宋体" w:hAnsi="宋体" w:hint="eastAsia"/>
          <w:sz w:val="24"/>
          <w:szCs w:val="24"/>
        </w:rPr>
        <w:t>）</w:t>
      </w:r>
      <w:r>
        <w:rPr>
          <w:rFonts w:ascii="宋体" w:hAnsi="宋体" w:hint="eastAsia"/>
          <w:sz w:val="24"/>
        </w:rPr>
        <w:t>、《公开募集证券投资基金运作管理办法》</w:t>
      </w:r>
      <w:r>
        <w:rPr>
          <w:rFonts w:ascii="宋体" w:hAnsi="宋体" w:hint="eastAsia"/>
          <w:sz w:val="24"/>
          <w:szCs w:val="24"/>
        </w:rPr>
        <w:t>（</w:t>
      </w:r>
      <w:r>
        <w:rPr>
          <w:rFonts w:ascii="宋体" w:hAnsi="宋体" w:hint="eastAsia"/>
          <w:sz w:val="24"/>
        </w:rPr>
        <w:t>以下简称“《运作办法》”</w:t>
      </w:r>
      <w:r>
        <w:rPr>
          <w:rFonts w:ascii="宋体" w:hAnsi="宋体" w:hint="eastAsia"/>
          <w:sz w:val="24"/>
          <w:szCs w:val="24"/>
        </w:rPr>
        <w:t>）</w:t>
      </w:r>
      <w:r>
        <w:rPr>
          <w:rFonts w:ascii="宋体" w:hAnsi="宋体" w:hint="eastAsia"/>
          <w:sz w:val="24"/>
        </w:rPr>
        <w:t>、《</w:t>
      </w:r>
      <w:r>
        <w:rPr>
          <w:rFonts w:ascii="宋体" w:hAnsi="宋体"/>
          <w:sz w:val="24"/>
        </w:rPr>
        <w:t>公开募集证券投资基金销售机构监督管理办法</w:t>
      </w:r>
      <w:r>
        <w:rPr>
          <w:rFonts w:ascii="宋体" w:hAnsi="宋体" w:hint="eastAsia"/>
          <w:sz w:val="24"/>
        </w:rPr>
        <w:t>》</w:t>
      </w:r>
      <w:r>
        <w:rPr>
          <w:rFonts w:ascii="宋体" w:hAnsi="宋体" w:hint="eastAsia"/>
          <w:sz w:val="24"/>
          <w:szCs w:val="24"/>
        </w:rPr>
        <w:t>（</w:t>
      </w:r>
      <w:r>
        <w:rPr>
          <w:rFonts w:ascii="宋体" w:hAnsi="宋体" w:hint="eastAsia"/>
          <w:sz w:val="24"/>
        </w:rPr>
        <w:t>以下简称“《销售办法》”</w:t>
      </w:r>
      <w:r>
        <w:rPr>
          <w:rFonts w:ascii="宋体" w:hAnsi="宋体" w:hint="eastAsia"/>
          <w:sz w:val="24"/>
          <w:szCs w:val="24"/>
        </w:rPr>
        <w:t>）</w:t>
      </w:r>
      <w:r>
        <w:rPr>
          <w:rFonts w:ascii="宋体" w:hAnsi="宋体" w:hint="eastAsia"/>
          <w:sz w:val="24"/>
        </w:rPr>
        <w:t>、《公开募集证券投资基金信息披露管理办法》</w:t>
      </w:r>
      <w:r>
        <w:rPr>
          <w:rFonts w:ascii="宋体" w:hAnsi="宋体" w:hint="eastAsia"/>
          <w:sz w:val="24"/>
          <w:szCs w:val="24"/>
        </w:rPr>
        <w:t>（</w:t>
      </w:r>
      <w:r>
        <w:rPr>
          <w:rFonts w:ascii="宋体" w:hAnsi="宋体" w:hint="eastAsia"/>
          <w:sz w:val="24"/>
        </w:rPr>
        <w:t>以下简称“《信息披露办法》”</w:t>
      </w:r>
      <w:r>
        <w:rPr>
          <w:rFonts w:ascii="宋体" w:hAnsi="宋体" w:hint="eastAsia"/>
          <w:sz w:val="24"/>
          <w:szCs w:val="24"/>
        </w:rPr>
        <w:t>）</w:t>
      </w:r>
      <w:r>
        <w:rPr>
          <w:rFonts w:ascii="宋体" w:hAnsi="宋体" w:hint="eastAsia"/>
          <w:sz w:val="24"/>
        </w:rPr>
        <w:t>、《公开募集开放式证券投资基金流动性风险管理规定》（以下简称“《流动性风险管理规定》”）、《公开募集证券投资基金运作指引第3号——指数基金指引》（以下简称“《指数基金指引》”）和其他有关法律法规。</w:t>
      </w:r>
    </w:p>
    <w:p w14:paraId="5B0D8AB7" w14:textId="77777777" w:rsidR="00E82AF4" w:rsidRDefault="005B2E6A">
      <w:pPr>
        <w:pStyle w:val="HD0"/>
        <w:adjustRightInd w:val="0"/>
        <w:ind w:firstLine="480"/>
        <w:rPr>
          <w:rFonts w:ascii="宋体" w:hAnsi="宋体"/>
          <w:sz w:val="24"/>
        </w:rPr>
      </w:pPr>
      <w:r>
        <w:rPr>
          <w:rFonts w:ascii="宋体" w:hAnsi="宋体" w:hint="eastAsia"/>
          <w:sz w:val="24"/>
        </w:rPr>
        <w:t>3、订立本基金合同的原则是平等自愿、诚实信用、充分保护投资人合法权益。</w:t>
      </w:r>
    </w:p>
    <w:p w14:paraId="4E50A25C" w14:textId="77777777" w:rsidR="00E82AF4" w:rsidRDefault="005B2E6A">
      <w:pPr>
        <w:pStyle w:val="HD0"/>
        <w:adjustRightInd w:val="0"/>
        <w:ind w:firstLine="480"/>
        <w:rPr>
          <w:rFonts w:ascii="宋体" w:hAnsi="宋体"/>
          <w:sz w:val="24"/>
        </w:rPr>
      </w:pPr>
      <w:r>
        <w:rPr>
          <w:rFonts w:ascii="宋体" w:hAnsi="宋体" w:hint="eastAsia"/>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418C077E" w14:textId="77777777" w:rsidR="00E82AF4" w:rsidRDefault="005B2E6A">
      <w:pPr>
        <w:pStyle w:val="HD0"/>
        <w:adjustRightInd w:val="0"/>
        <w:ind w:firstLine="480"/>
        <w:rPr>
          <w:rFonts w:ascii="宋体" w:hAnsi="宋体"/>
          <w:sz w:val="24"/>
        </w:rPr>
      </w:pPr>
      <w:r>
        <w:rPr>
          <w:rFonts w:ascii="宋体" w:hAnsi="宋体" w:hint="eastAsia"/>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r>
        <w:rPr>
          <w:rFonts w:ascii="宋体" w:hAnsi="宋体" w:hint="eastAsia"/>
          <w:sz w:val="24"/>
          <w:szCs w:val="24"/>
        </w:rPr>
        <w:t>基金份额持有人作为本基金合同的当事人，不以其在本基金合同上书面签章或</w:t>
      </w:r>
      <w:r>
        <w:rPr>
          <w:rFonts w:ascii="宋体" w:hAnsi="宋体"/>
          <w:sz w:val="24"/>
          <w:szCs w:val="24"/>
        </w:rPr>
        <w:t>签字</w:t>
      </w:r>
      <w:r>
        <w:rPr>
          <w:rFonts w:ascii="宋体" w:hAnsi="宋体" w:hint="eastAsia"/>
          <w:sz w:val="24"/>
          <w:szCs w:val="24"/>
        </w:rPr>
        <w:t>为必要条件。</w:t>
      </w:r>
    </w:p>
    <w:p w14:paraId="6C0823A4" w14:textId="04E03584" w:rsidR="00E82AF4" w:rsidRDefault="005B2E6A">
      <w:pPr>
        <w:pStyle w:val="HD0"/>
        <w:adjustRightInd w:val="0"/>
        <w:ind w:firstLine="480"/>
        <w:rPr>
          <w:rFonts w:ascii="宋体" w:hAnsi="宋体"/>
          <w:sz w:val="24"/>
        </w:rPr>
      </w:pPr>
      <w:r>
        <w:rPr>
          <w:rFonts w:ascii="宋体" w:hAnsi="宋体" w:hint="eastAsia"/>
          <w:sz w:val="24"/>
        </w:rPr>
        <w:t>三、</w:t>
      </w:r>
      <w:r>
        <w:rPr>
          <w:rFonts w:ascii="宋体" w:hAnsi="宋体" w:hint="eastAsia"/>
          <w:sz w:val="24"/>
          <w:szCs w:val="24"/>
        </w:rPr>
        <w:t>银华中证全指红利质量交易型开放式指数证券投资基金</w:t>
      </w:r>
      <w:r>
        <w:rPr>
          <w:rFonts w:ascii="宋体" w:hAnsi="宋体" w:hint="eastAsia"/>
          <w:sz w:val="24"/>
        </w:rPr>
        <w:t>由基金管理人依照《基金法》、基金合同及其他有关规定募集，并经中国证券监督管理委员会</w:t>
      </w:r>
      <w:r>
        <w:rPr>
          <w:rFonts w:ascii="宋体" w:hAnsi="宋体" w:hint="eastAsia"/>
          <w:sz w:val="24"/>
          <w:szCs w:val="24"/>
        </w:rPr>
        <w:t>（</w:t>
      </w:r>
      <w:r>
        <w:rPr>
          <w:rFonts w:ascii="宋体" w:hAnsi="宋体" w:hint="eastAsia"/>
          <w:sz w:val="24"/>
        </w:rPr>
        <w:t>以下简称“中国证监会”</w:t>
      </w:r>
      <w:r>
        <w:rPr>
          <w:rFonts w:ascii="宋体" w:hAnsi="宋体" w:hint="eastAsia"/>
          <w:sz w:val="24"/>
          <w:szCs w:val="24"/>
        </w:rPr>
        <w:t>）</w:t>
      </w:r>
      <w:r>
        <w:rPr>
          <w:rFonts w:ascii="宋体" w:hAnsi="宋体" w:hint="eastAsia"/>
          <w:sz w:val="24"/>
        </w:rPr>
        <w:t>注册。</w:t>
      </w:r>
    </w:p>
    <w:p w14:paraId="54C460FA" w14:textId="77777777" w:rsidR="00E82AF4" w:rsidRDefault="005B2E6A">
      <w:pPr>
        <w:pStyle w:val="HD0"/>
        <w:adjustRightInd w:val="0"/>
        <w:ind w:firstLine="480"/>
        <w:rPr>
          <w:rFonts w:ascii="宋体" w:hAnsi="宋体"/>
          <w:sz w:val="24"/>
        </w:rPr>
      </w:pPr>
      <w:r>
        <w:rPr>
          <w:rFonts w:ascii="宋体" w:hAnsi="宋体" w:hint="eastAsia"/>
          <w:sz w:val="24"/>
        </w:rPr>
        <w:t>中国证监会对本基金募集的注册，并不表明其对本基金的投资价值和市场前景做出实质性判断或保证，也不表明投资于本基金没有风险。</w:t>
      </w:r>
    </w:p>
    <w:p w14:paraId="5ABB041C" w14:textId="77777777" w:rsidR="00E82AF4" w:rsidRDefault="005B2E6A">
      <w:pPr>
        <w:pStyle w:val="HD0"/>
        <w:adjustRightInd w:val="0"/>
        <w:ind w:firstLine="480"/>
        <w:rPr>
          <w:rFonts w:ascii="宋体" w:hAnsi="宋体"/>
          <w:sz w:val="24"/>
        </w:rPr>
      </w:pPr>
      <w:r>
        <w:rPr>
          <w:rFonts w:ascii="宋体" w:hAnsi="宋体" w:hint="eastAsia"/>
          <w:sz w:val="24"/>
        </w:rPr>
        <w:t>基金管理人依照恪尽职守、诚实信用、谨慎勤勉的原则管理和运用基金财产，</w:t>
      </w:r>
      <w:r>
        <w:rPr>
          <w:rFonts w:ascii="宋体" w:hAnsi="宋体" w:hint="eastAsia"/>
          <w:sz w:val="24"/>
        </w:rPr>
        <w:lastRenderedPageBreak/>
        <w:t>但不保证投资于本基金一定盈利，也不保证最低收益。</w:t>
      </w:r>
    </w:p>
    <w:p w14:paraId="1B32A291" w14:textId="77777777" w:rsidR="00E82AF4" w:rsidRDefault="005B2E6A">
      <w:pPr>
        <w:pStyle w:val="HD0"/>
        <w:adjustRightInd w:val="0"/>
        <w:ind w:firstLine="480"/>
        <w:rPr>
          <w:rFonts w:ascii="宋体" w:hAnsi="宋体"/>
          <w:sz w:val="24"/>
        </w:rPr>
      </w:pPr>
      <w:r>
        <w:rPr>
          <w:rFonts w:ascii="宋体" w:hAnsi="宋体" w:hint="eastAsia"/>
          <w:sz w:val="24"/>
          <w:szCs w:val="24"/>
        </w:rPr>
        <w:t>投资人应当认真阅读基金招募说明书</w:t>
      </w:r>
      <w:r>
        <w:rPr>
          <w:rFonts w:ascii="宋体" w:hAnsi="宋体" w:hint="eastAsia"/>
          <w:sz w:val="24"/>
        </w:rPr>
        <w:t>、基金合同、</w:t>
      </w:r>
      <w:r>
        <w:rPr>
          <w:rFonts w:hint="eastAsia"/>
          <w:bCs/>
          <w:sz w:val="24"/>
        </w:rPr>
        <w:t>基金产品资料概要</w:t>
      </w:r>
      <w:r>
        <w:rPr>
          <w:rFonts w:ascii="宋体" w:hAnsi="宋体" w:hint="eastAsia"/>
          <w:sz w:val="24"/>
          <w:szCs w:val="24"/>
        </w:rPr>
        <w:t>等信息披露文件，自主判断基金的投资价值，自主做出投资决策，自行承担投资风险。</w:t>
      </w:r>
      <w:r>
        <w:rPr>
          <w:rFonts w:ascii="宋体" w:hAnsi="宋体" w:hint="eastAsia"/>
          <w:b/>
          <w:bCs/>
          <w:sz w:val="24"/>
          <w:szCs w:val="24"/>
        </w:rPr>
        <w:t>投资者应当认真阅读并完全理解基金合同第二十二部分规定的免责条款、第二十三部分规定的争议处理方式。</w:t>
      </w:r>
    </w:p>
    <w:p w14:paraId="5F1753DD" w14:textId="77777777" w:rsidR="00E82AF4" w:rsidRDefault="005B2E6A">
      <w:pPr>
        <w:pStyle w:val="HD0"/>
        <w:adjustRightInd w:val="0"/>
        <w:ind w:firstLine="480"/>
        <w:rPr>
          <w:rFonts w:ascii="宋体" w:hAnsi="宋体"/>
          <w:sz w:val="24"/>
        </w:rPr>
      </w:pPr>
      <w:r>
        <w:rPr>
          <w:rFonts w:ascii="宋体" w:hAnsi="宋体" w:hint="eastAsia"/>
          <w:sz w:val="24"/>
          <w:szCs w:val="24"/>
        </w:rPr>
        <w:t>四、</w:t>
      </w:r>
      <w:r>
        <w:rPr>
          <w:rFonts w:ascii="宋体" w:hAnsi="宋体" w:hint="eastAsia"/>
          <w:sz w:val="24"/>
        </w:rPr>
        <w:t>基金管理人、基金托管人在本基金合同之外披露涉及本基金的信息，其内容涉及界定基金合同当事人之间权利义务关系的，如与基金合同有冲突，以基金合同为准。</w:t>
      </w:r>
    </w:p>
    <w:p w14:paraId="6FFD51D7" w14:textId="77777777" w:rsidR="00E82AF4" w:rsidRDefault="005B2E6A">
      <w:pPr>
        <w:pStyle w:val="HD0"/>
        <w:adjustRightInd w:val="0"/>
        <w:ind w:firstLine="480"/>
        <w:rPr>
          <w:rFonts w:ascii="宋体" w:hAnsi="宋体"/>
          <w:sz w:val="24"/>
        </w:rPr>
      </w:pPr>
      <w:r>
        <w:rPr>
          <w:rFonts w:ascii="宋体" w:hAnsi="宋体" w:hint="eastAsia"/>
          <w:sz w:val="24"/>
          <w:szCs w:val="24"/>
        </w:rPr>
        <w:t>五、</w:t>
      </w:r>
      <w:r>
        <w:rPr>
          <w:rFonts w:ascii="宋体" w:hAnsi="宋体" w:hint="eastAsia"/>
          <w:sz w:val="24"/>
        </w:rPr>
        <w:t>本基金按照中国法律法规成立并运作，若基金合同的内容与届时有效的法律法规的强制性规定不一致，应当以届时有效的法律法规的规定为准。</w:t>
      </w:r>
    </w:p>
    <w:p w14:paraId="3151A37D" w14:textId="736F18AF" w:rsidR="00E82AF4" w:rsidRDefault="005B2E6A">
      <w:pPr>
        <w:pStyle w:val="HD0"/>
        <w:adjustRightInd w:val="0"/>
        <w:ind w:firstLine="480"/>
        <w:rPr>
          <w:rFonts w:ascii="宋体" w:hAnsi="宋体"/>
          <w:sz w:val="24"/>
        </w:rPr>
      </w:pPr>
      <w:r>
        <w:rPr>
          <w:rFonts w:ascii="宋体" w:hAnsi="宋体" w:hint="eastAsia"/>
          <w:sz w:val="24"/>
        </w:rPr>
        <w:t>六、基金份额持有人承诺其知悉《中华人民共和国反洗钱法》、《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基金进行洗钱、恐怖融资等违法犯罪活动。</w:t>
      </w:r>
    </w:p>
    <w:p w14:paraId="18B7432A" w14:textId="77777777" w:rsidR="00E82AF4" w:rsidRDefault="005B2E6A">
      <w:pPr>
        <w:pStyle w:val="HD0"/>
        <w:adjustRightInd w:val="0"/>
        <w:ind w:firstLine="480"/>
        <w:rPr>
          <w:rFonts w:ascii="宋体" w:hAnsi="宋体"/>
          <w:sz w:val="24"/>
        </w:rPr>
      </w:pPr>
      <w:r>
        <w:rPr>
          <w:rFonts w:ascii="宋体" w:hAnsi="宋体" w:hint="eastAsia"/>
          <w:sz w:val="24"/>
        </w:rPr>
        <w:t>基金份额持有人承诺，其不属于中国有权机关或得到我国承认的联合国、其他司法管辖区有权机关制裁名单内的企业或个人，不位于被中国有权机关或得到我国承认的联合国、其他司法管辖区有权机关制裁的国家和地区。</w:t>
      </w:r>
    </w:p>
    <w:p w14:paraId="2C1C16F2" w14:textId="77777777" w:rsidR="00E82AF4" w:rsidRDefault="005B2E6A">
      <w:pPr>
        <w:pStyle w:val="HD0"/>
        <w:adjustRightInd w:val="0"/>
        <w:ind w:firstLine="480"/>
        <w:rPr>
          <w:sz w:val="24"/>
        </w:rPr>
      </w:pPr>
      <w:r>
        <w:rPr>
          <w:rFonts w:ascii="宋体" w:hAnsi="宋体" w:hint="eastAsia"/>
          <w:sz w:val="24"/>
        </w:rPr>
        <w:t>七、</w:t>
      </w:r>
      <w:r>
        <w:rPr>
          <w:rFonts w:hint="eastAsia"/>
          <w:sz w:val="24"/>
        </w:rPr>
        <w:t>本基金为指数基金，投资者投资于本基金可能面临跟踪误差控制未达约定目标、指数编制机构停止服务、成份股停牌等潜在风险，</w:t>
      </w:r>
      <w:r>
        <w:rPr>
          <w:rFonts w:ascii="宋体" w:hAnsi="宋体" w:hint="eastAsia"/>
          <w:sz w:val="24"/>
        </w:rPr>
        <w:t>具体风险揭示</w:t>
      </w:r>
      <w:r>
        <w:rPr>
          <w:rFonts w:hint="eastAsia"/>
          <w:sz w:val="24"/>
        </w:rPr>
        <w:t>详见本基金招募说明书。</w:t>
      </w:r>
    </w:p>
    <w:p w14:paraId="73D847EA" w14:textId="77777777" w:rsidR="00E82AF4" w:rsidRDefault="005B2E6A">
      <w:pPr>
        <w:pStyle w:val="HD0"/>
        <w:adjustRightInd w:val="0"/>
        <w:ind w:firstLine="480"/>
        <w:rPr>
          <w:rFonts w:ascii="宋体" w:hAnsi="宋体"/>
          <w:sz w:val="24"/>
        </w:rPr>
      </w:pPr>
      <w:r>
        <w:rPr>
          <w:rFonts w:ascii="宋体" w:hAnsi="宋体" w:hint="eastAsia"/>
          <w:sz w:val="24"/>
        </w:rPr>
        <w:t>八、本基金的投资范围包括存托凭证，若投资可能面临中国存托凭证价格大幅波动甚至出现较大亏损的风险，以及与创新企业、境外发行人、中国存托凭证发行机制以及交易机制等相关的风险。</w:t>
      </w:r>
    </w:p>
    <w:p w14:paraId="5296EAAA" w14:textId="77777777" w:rsidR="00E82AF4" w:rsidRDefault="005B2E6A">
      <w:pPr>
        <w:pStyle w:val="HD0"/>
        <w:adjustRightInd w:val="0"/>
        <w:ind w:firstLine="480"/>
        <w:rPr>
          <w:sz w:val="24"/>
        </w:rPr>
      </w:pPr>
      <w:r>
        <w:rPr>
          <w:rFonts w:hint="eastAsia"/>
          <w:sz w:val="24"/>
        </w:rPr>
        <w:t>九、本基金投资于科创板股票，会面临科创板机制下因投资标的、市场制度以及交易规则等差异带来的特有风险，包括但不限于科创板上市公司股票价格波动较大的风险、流动性风险、退市风险和投资集中风险等。</w:t>
      </w:r>
    </w:p>
    <w:p w14:paraId="48A6C6D9" w14:textId="77777777" w:rsidR="00E82AF4" w:rsidRDefault="005B2E6A">
      <w:pPr>
        <w:pStyle w:val="HD0"/>
        <w:adjustRightInd w:val="0"/>
        <w:ind w:firstLine="480"/>
        <w:rPr>
          <w:sz w:val="24"/>
        </w:rPr>
      </w:pPr>
      <w:r>
        <w:rPr>
          <w:rFonts w:hint="eastAsia"/>
          <w:sz w:val="24"/>
        </w:rPr>
        <w:t>十、本基金可根据投资策略需要或市场环境变化，选择将部分基金资产投资于北京证券交易所（以下简称“北交所”）股票或选择不将基金资产投资于北交</w:t>
      </w:r>
      <w:r>
        <w:rPr>
          <w:rFonts w:hint="eastAsia"/>
          <w:sz w:val="24"/>
        </w:rPr>
        <w:lastRenderedPageBreak/>
        <w:t>所股票，基金资产并非必然投资于北交所股票。基金资产投资于北交所股票的特有风险包括但不限于上市公司经营风险、市场风险、股价大幅波动风险、流动性风险、转板风险、退市风险、系统性风险、集中度风险、政策风险和监管规则变化风险等。</w:t>
      </w:r>
    </w:p>
    <w:p w14:paraId="05B68AAD" w14:textId="77777777" w:rsidR="00E82AF4" w:rsidRDefault="00E82AF4">
      <w:pPr>
        <w:pStyle w:val="HD0"/>
      </w:pPr>
    </w:p>
    <w:p w14:paraId="3BD094CD" w14:textId="77777777" w:rsidR="00E82AF4" w:rsidRDefault="00E82AF4">
      <w:pPr>
        <w:pStyle w:val="1"/>
        <w:spacing w:before="0" w:after="0"/>
        <w:jc w:val="center"/>
        <w:rPr>
          <w:rFonts w:ascii="Times New Roman"/>
          <w:color w:val="auto"/>
          <w:sz w:val="32"/>
          <w:szCs w:val="32"/>
        </w:rPr>
        <w:sectPr w:rsidR="00E82AF4">
          <w:footerReference w:type="default" r:id="rId11"/>
          <w:pgSz w:w="11906" w:h="16838"/>
          <w:pgMar w:top="1440" w:right="1800" w:bottom="1440" w:left="1800" w:header="851" w:footer="992" w:gutter="0"/>
          <w:pgNumType w:start="1"/>
          <w:cols w:space="720"/>
          <w:docGrid w:type="lines" w:linePitch="312"/>
        </w:sectPr>
      </w:pPr>
      <w:bookmarkStart w:id="73" w:name="_Toc15067"/>
      <w:bookmarkStart w:id="74" w:name="_Toc22864"/>
      <w:bookmarkStart w:id="75" w:name="_Toc2465"/>
      <w:bookmarkStart w:id="76" w:name="_Toc19592"/>
      <w:bookmarkStart w:id="77" w:name="_Toc13020"/>
      <w:bookmarkStart w:id="78" w:name="_Toc21301"/>
      <w:bookmarkStart w:id="79" w:name="_Toc819"/>
      <w:bookmarkStart w:id="80" w:name="_Toc3224"/>
      <w:bookmarkStart w:id="81" w:name="_Toc24860"/>
      <w:bookmarkStart w:id="82" w:name="_Toc6617"/>
      <w:bookmarkEnd w:id="68"/>
    </w:p>
    <w:p w14:paraId="77E39A88" w14:textId="77777777" w:rsidR="00E82AF4" w:rsidRDefault="005B2E6A">
      <w:pPr>
        <w:pStyle w:val="1"/>
        <w:spacing w:before="0" w:after="0"/>
        <w:jc w:val="center"/>
        <w:rPr>
          <w:rFonts w:ascii="Times New Roman"/>
          <w:color w:val="auto"/>
          <w:sz w:val="32"/>
        </w:rPr>
      </w:pPr>
      <w:bookmarkStart w:id="83" w:name="CTS_e4ae87ec033a4d4f9beebe781472c336"/>
      <w:bookmarkStart w:id="84" w:name="CTS_ad1593e50c6a438a88c160b22b5bc97b"/>
      <w:bookmarkStart w:id="85" w:name="CTS_fc0fee800a6f41d4ac4115bfe7595f55"/>
      <w:bookmarkStart w:id="86" w:name="_Toc17034"/>
      <w:bookmarkStart w:id="87" w:name="_Toc32307757"/>
      <w:bookmarkStart w:id="88" w:name="_Toc31551"/>
      <w:bookmarkStart w:id="89" w:name="CLAUSE_fc0fee800a6f41d4ac4115bfe7595f55"/>
      <w:bookmarkStart w:id="90" w:name="CLAUSE_ad1593e50c6a438a88c160b22b5bc97b"/>
      <w:bookmarkStart w:id="91" w:name="CLAUSE_e4ae87ec033a4d4f9beebe781472c336"/>
      <w:bookmarkEnd w:id="69"/>
      <w:bookmarkEnd w:id="70"/>
      <w:bookmarkEnd w:id="83"/>
      <w:bookmarkEnd w:id="84"/>
      <w:bookmarkEnd w:id="85"/>
      <w:r>
        <w:rPr>
          <w:rFonts w:ascii="Times New Roman" w:hint="eastAsia"/>
          <w:color w:val="auto"/>
          <w:sz w:val="32"/>
        </w:rPr>
        <w:lastRenderedPageBreak/>
        <w:t>第二部分</w:t>
      </w:r>
      <w:r>
        <w:rPr>
          <w:rFonts w:ascii="Times New Roman"/>
          <w:color w:val="auto"/>
          <w:sz w:val="32"/>
        </w:rPr>
        <w:t xml:space="preserve"> </w:t>
      </w:r>
      <w:r>
        <w:rPr>
          <w:rFonts w:ascii="Times New Roman"/>
          <w:color w:val="auto"/>
          <w:sz w:val="32"/>
          <w:szCs w:val="32"/>
        </w:rPr>
        <w:t xml:space="preserve"> </w:t>
      </w:r>
      <w:r>
        <w:rPr>
          <w:rFonts w:ascii="Times New Roman" w:hint="eastAsia"/>
          <w:color w:val="auto"/>
          <w:sz w:val="32"/>
        </w:rPr>
        <w:t>释义</w:t>
      </w:r>
      <w:bookmarkEnd w:id="61"/>
      <w:bookmarkEnd w:id="72"/>
      <w:bookmarkEnd w:id="73"/>
      <w:bookmarkEnd w:id="74"/>
      <w:bookmarkEnd w:id="75"/>
      <w:bookmarkEnd w:id="76"/>
      <w:bookmarkEnd w:id="77"/>
      <w:bookmarkEnd w:id="78"/>
      <w:bookmarkEnd w:id="79"/>
      <w:bookmarkEnd w:id="80"/>
      <w:bookmarkEnd w:id="81"/>
      <w:bookmarkEnd w:id="82"/>
      <w:bookmarkEnd w:id="86"/>
      <w:bookmarkEnd w:id="87"/>
      <w:bookmarkEnd w:id="88"/>
    </w:p>
    <w:p w14:paraId="25D3F23E" w14:textId="77777777" w:rsidR="00E82AF4" w:rsidRDefault="00E82AF4">
      <w:pPr>
        <w:pStyle w:val="HD0"/>
      </w:pPr>
    </w:p>
    <w:p w14:paraId="3657A457" w14:textId="77777777" w:rsidR="00E82AF4" w:rsidRDefault="005B2E6A">
      <w:pPr>
        <w:pStyle w:val="HD0"/>
        <w:adjustRightInd w:val="0"/>
        <w:ind w:firstLine="480"/>
        <w:rPr>
          <w:rFonts w:ascii="宋体" w:hAnsi="宋体"/>
          <w:sz w:val="24"/>
        </w:rPr>
      </w:pPr>
      <w:r>
        <w:rPr>
          <w:rFonts w:ascii="宋体" w:hAnsi="宋体" w:hint="eastAsia"/>
          <w:sz w:val="24"/>
        </w:rPr>
        <w:t>在本基金合同中，除非文意另有所指，下列词语或简称具有如下含义：</w:t>
      </w:r>
    </w:p>
    <w:p w14:paraId="27647B1F" w14:textId="6616AA98"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、基金或本基金：指</w:t>
      </w:r>
      <w:r>
        <w:rPr>
          <w:rFonts w:ascii="宋体" w:hAnsi="宋体" w:hint="eastAsia"/>
          <w:sz w:val="24"/>
          <w:szCs w:val="24"/>
        </w:rPr>
        <w:t>银华中证全指红利质量交易型开放式指数证券投资基金</w:t>
      </w:r>
    </w:p>
    <w:p w14:paraId="73F4040C" w14:textId="77777777" w:rsidR="00E82AF4" w:rsidRDefault="005B2E6A">
      <w:pPr>
        <w:pStyle w:val="HD0"/>
        <w:adjustRightInd w:val="0"/>
        <w:ind w:firstLine="480"/>
        <w:rPr>
          <w:rFonts w:ascii="宋体" w:hAnsi="宋体"/>
          <w:sz w:val="24"/>
        </w:rPr>
      </w:pPr>
      <w:r>
        <w:rPr>
          <w:rFonts w:ascii="宋体" w:hAnsi="宋体"/>
          <w:sz w:val="24"/>
        </w:rPr>
        <w:t>2</w:t>
      </w:r>
      <w:r>
        <w:rPr>
          <w:rFonts w:ascii="宋体" w:hAnsi="宋体" w:hint="eastAsia"/>
          <w:sz w:val="24"/>
        </w:rPr>
        <w:t>、基金管理人：指</w:t>
      </w:r>
      <w:r>
        <w:rPr>
          <w:rFonts w:ascii="宋体" w:hAnsi="宋体" w:hint="eastAsia"/>
          <w:sz w:val="24"/>
          <w:szCs w:val="24"/>
        </w:rPr>
        <w:t>银华基金管理股份有限公司</w:t>
      </w:r>
    </w:p>
    <w:p w14:paraId="393449A8" w14:textId="77777777" w:rsidR="00E82AF4" w:rsidRDefault="005B2E6A">
      <w:pPr>
        <w:pStyle w:val="HD0"/>
        <w:adjustRightInd w:val="0"/>
        <w:ind w:firstLine="480"/>
        <w:rPr>
          <w:rFonts w:ascii="宋体" w:hAnsi="宋体"/>
          <w:sz w:val="24"/>
        </w:rPr>
      </w:pPr>
      <w:r>
        <w:rPr>
          <w:rFonts w:ascii="宋体" w:hAnsi="宋体"/>
          <w:sz w:val="24"/>
        </w:rPr>
        <w:t>3</w:t>
      </w:r>
      <w:r>
        <w:rPr>
          <w:rFonts w:ascii="宋体" w:hAnsi="宋体" w:hint="eastAsia"/>
          <w:sz w:val="24"/>
        </w:rPr>
        <w:t>、基金托管人：指中国建设银行股份有限公司</w:t>
      </w:r>
    </w:p>
    <w:p w14:paraId="6627A80A" w14:textId="0E9B7771" w:rsidR="00E82AF4" w:rsidRDefault="005B2E6A">
      <w:pPr>
        <w:adjustRightInd w:val="0"/>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、基金合同</w:t>
      </w:r>
      <w:r>
        <w:rPr>
          <w:rFonts w:ascii="宋体" w:hAnsi="宋体"/>
          <w:sz w:val="24"/>
          <w:szCs w:val="24"/>
        </w:rPr>
        <w:t>、《</w:t>
      </w:r>
      <w:r>
        <w:rPr>
          <w:rFonts w:ascii="宋体" w:hAnsi="宋体" w:hint="eastAsia"/>
          <w:sz w:val="24"/>
          <w:szCs w:val="24"/>
        </w:rPr>
        <w:t>基金合同</w:t>
      </w:r>
      <w:r>
        <w:rPr>
          <w:rFonts w:ascii="宋体" w:hAnsi="宋体"/>
          <w:sz w:val="24"/>
          <w:szCs w:val="24"/>
        </w:rPr>
        <w:t>》</w:t>
      </w:r>
      <w:r>
        <w:rPr>
          <w:rFonts w:ascii="宋体" w:hAnsi="宋体" w:hint="eastAsia"/>
          <w:sz w:val="24"/>
        </w:rPr>
        <w:t>或本基金合同：指</w:t>
      </w:r>
      <w:r>
        <w:rPr>
          <w:rFonts w:ascii="宋体" w:hAnsi="宋体"/>
          <w:bCs/>
          <w:sz w:val="24"/>
          <w:szCs w:val="24"/>
        </w:rPr>
        <w:t>《</w:t>
      </w:r>
      <w:r>
        <w:rPr>
          <w:rFonts w:ascii="宋体" w:hAnsi="宋体" w:hint="eastAsia"/>
          <w:bCs/>
          <w:sz w:val="24"/>
          <w:szCs w:val="24"/>
        </w:rPr>
        <w:t>银华</w:t>
      </w:r>
      <w:r>
        <w:rPr>
          <w:rFonts w:ascii="宋体" w:hAnsi="宋体" w:hint="eastAsia"/>
          <w:sz w:val="24"/>
          <w:szCs w:val="24"/>
        </w:rPr>
        <w:t>中证全指红利质量</w:t>
      </w:r>
      <w:r>
        <w:rPr>
          <w:rFonts w:ascii="宋体" w:hAnsi="宋体" w:hint="eastAsia"/>
          <w:bCs/>
          <w:sz w:val="24"/>
          <w:szCs w:val="24"/>
        </w:rPr>
        <w:t>交易型开放式指数证券投资基金</w:t>
      </w:r>
      <w:r>
        <w:rPr>
          <w:rFonts w:ascii="宋体" w:hAnsi="宋体"/>
          <w:bCs/>
          <w:sz w:val="24"/>
          <w:szCs w:val="24"/>
        </w:rPr>
        <w:t>基金合同》</w:t>
      </w:r>
      <w:r>
        <w:rPr>
          <w:rFonts w:ascii="宋体" w:hAnsi="宋体" w:hint="eastAsia"/>
          <w:sz w:val="24"/>
        </w:rPr>
        <w:t>及对本基金合同的任何有效修订和补充</w:t>
      </w:r>
    </w:p>
    <w:p w14:paraId="196D8A88" w14:textId="7D41E4F1" w:rsidR="00E82AF4" w:rsidRDefault="005B2E6A">
      <w:pPr>
        <w:adjustRightInd w:val="0"/>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、托管协议：指基金管理人与基金托管人就本基金签订之</w:t>
      </w:r>
      <w:r>
        <w:rPr>
          <w:rFonts w:ascii="宋体" w:hAnsi="宋体"/>
          <w:bCs/>
          <w:sz w:val="24"/>
          <w:szCs w:val="24"/>
        </w:rPr>
        <w:t>《</w:t>
      </w:r>
      <w:r>
        <w:rPr>
          <w:rFonts w:ascii="宋体" w:hAnsi="宋体" w:hint="eastAsia"/>
          <w:bCs/>
          <w:sz w:val="24"/>
          <w:szCs w:val="24"/>
        </w:rPr>
        <w:t>银华</w:t>
      </w:r>
      <w:r>
        <w:rPr>
          <w:rFonts w:ascii="宋体" w:hAnsi="宋体" w:hint="eastAsia"/>
          <w:sz w:val="24"/>
          <w:szCs w:val="24"/>
        </w:rPr>
        <w:t>中证全指红利质量</w:t>
      </w:r>
      <w:r>
        <w:rPr>
          <w:rFonts w:ascii="宋体" w:hAnsi="宋体" w:hint="eastAsia"/>
          <w:bCs/>
          <w:sz w:val="24"/>
          <w:szCs w:val="24"/>
        </w:rPr>
        <w:t>交易型开放式指数证券投资基金</w:t>
      </w:r>
      <w:r>
        <w:rPr>
          <w:rFonts w:ascii="宋体" w:hAnsi="宋体"/>
          <w:bCs/>
          <w:sz w:val="24"/>
          <w:szCs w:val="24"/>
        </w:rPr>
        <w:t>托管协议》</w:t>
      </w:r>
      <w:r>
        <w:rPr>
          <w:rFonts w:ascii="宋体" w:hAnsi="宋体" w:hint="eastAsia"/>
          <w:sz w:val="24"/>
        </w:rPr>
        <w:t>及对该托管协议的任何有效修订和补充</w:t>
      </w:r>
    </w:p>
    <w:p w14:paraId="4D1B8363" w14:textId="63F8E8E9" w:rsidR="00E82AF4" w:rsidRDefault="005B2E6A">
      <w:pPr>
        <w:pStyle w:val="HD0"/>
        <w:adjustRightInd w:val="0"/>
        <w:ind w:firstLine="480"/>
        <w:rPr>
          <w:rFonts w:ascii="宋体" w:hAnsi="宋体"/>
          <w:sz w:val="24"/>
        </w:rPr>
      </w:pPr>
      <w:r>
        <w:rPr>
          <w:rFonts w:ascii="宋体" w:hAnsi="宋体"/>
          <w:sz w:val="24"/>
        </w:rPr>
        <w:t>6</w:t>
      </w:r>
      <w:r>
        <w:rPr>
          <w:rFonts w:ascii="宋体" w:hAnsi="宋体" w:hint="eastAsia"/>
          <w:sz w:val="24"/>
        </w:rPr>
        <w:t>、招募说明书：指《</w:t>
      </w:r>
      <w:r>
        <w:rPr>
          <w:rFonts w:ascii="宋体" w:hAnsi="宋体" w:hint="eastAsia"/>
          <w:bCs/>
          <w:sz w:val="24"/>
          <w:szCs w:val="24"/>
        </w:rPr>
        <w:t>银华</w:t>
      </w:r>
      <w:r>
        <w:rPr>
          <w:rFonts w:ascii="宋体" w:hAnsi="宋体" w:hint="eastAsia"/>
          <w:sz w:val="24"/>
          <w:szCs w:val="24"/>
        </w:rPr>
        <w:t>中证全指红利质量</w:t>
      </w:r>
      <w:r>
        <w:rPr>
          <w:rFonts w:ascii="宋体" w:hAnsi="宋体" w:hint="eastAsia"/>
          <w:bCs/>
          <w:sz w:val="24"/>
          <w:szCs w:val="24"/>
        </w:rPr>
        <w:t>交易型开放式指数证券投资基金</w:t>
      </w:r>
      <w:r>
        <w:rPr>
          <w:rFonts w:ascii="宋体" w:hAnsi="宋体"/>
          <w:bCs/>
          <w:sz w:val="24"/>
          <w:szCs w:val="24"/>
        </w:rPr>
        <w:t>招募说明书》及其</w:t>
      </w:r>
      <w:r>
        <w:rPr>
          <w:rFonts w:ascii="宋体" w:hAnsi="宋体" w:hint="eastAsia"/>
          <w:sz w:val="24"/>
        </w:rPr>
        <w:t>更新</w:t>
      </w:r>
    </w:p>
    <w:p w14:paraId="636D952C" w14:textId="5F0C1A1E" w:rsidR="00E82AF4" w:rsidRDefault="005B2E6A">
      <w:pPr>
        <w:adjustRightInd w:val="0"/>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、基金产品资料概要：指《</w:t>
      </w:r>
      <w:r>
        <w:rPr>
          <w:rFonts w:ascii="宋体" w:hAnsi="宋体" w:hint="eastAsia"/>
          <w:bCs/>
          <w:sz w:val="24"/>
          <w:szCs w:val="24"/>
        </w:rPr>
        <w:t>银华</w:t>
      </w:r>
      <w:r>
        <w:rPr>
          <w:rFonts w:ascii="宋体" w:hAnsi="宋体" w:hint="eastAsia"/>
          <w:sz w:val="24"/>
          <w:szCs w:val="24"/>
        </w:rPr>
        <w:t>中证全指红利质量</w:t>
      </w:r>
      <w:r>
        <w:rPr>
          <w:rFonts w:ascii="宋体" w:hAnsi="宋体" w:hint="eastAsia"/>
          <w:bCs/>
          <w:sz w:val="24"/>
          <w:szCs w:val="24"/>
        </w:rPr>
        <w:t>交易型开放式指数证券投资基金</w:t>
      </w:r>
      <w:r>
        <w:rPr>
          <w:rFonts w:ascii="宋体" w:hAnsi="宋体"/>
          <w:bCs/>
          <w:sz w:val="24"/>
          <w:szCs w:val="24"/>
        </w:rPr>
        <w:t>基金</w:t>
      </w:r>
      <w:r>
        <w:rPr>
          <w:rFonts w:ascii="宋体" w:hAnsi="宋体" w:hint="eastAsia"/>
          <w:bCs/>
          <w:sz w:val="24"/>
          <w:szCs w:val="24"/>
        </w:rPr>
        <w:t>产品资料</w:t>
      </w:r>
      <w:r>
        <w:rPr>
          <w:rFonts w:ascii="宋体" w:hAnsi="宋体"/>
          <w:bCs/>
          <w:sz w:val="24"/>
          <w:szCs w:val="24"/>
        </w:rPr>
        <w:t>概要》</w:t>
      </w:r>
      <w:r>
        <w:rPr>
          <w:rFonts w:ascii="宋体" w:hAnsi="宋体" w:hint="eastAsia"/>
          <w:sz w:val="24"/>
        </w:rPr>
        <w:t>及其更新</w:t>
      </w:r>
    </w:p>
    <w:p w14:paraId="50B12756" w14:textId="6E52EB2E"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8、基金份额发售公告：指</w:t>
      </w:r>
      <w:r>
        <w:rPr>
          <w:rFonts w:ascii="宋体" w:hAnsi="宋体"/>
          <w:bCs/>
          <w:sz w:val="24"/>
          <w:szCs w:val="24"/>
        </w:rPr>
        <w:t>《</w:t>
      </w:r>
      <w:r>
        <w:rPr>
          <w:rFonts w:ascii="宋体" w:hAnsi="宋体" w:hint="eastAsia"/>
          <w:bCs/>
          <w:sz w:val="24"/>
          <w:szCs w:val="24"/>
        </w:rPr>
        <w:t>银华</w:t>
      </w:r>
      <w:r>
        <w:rPr>
          <w:rFonts w:ascii="宋体" w:hAnsi="宋体" w:hint="eastAsia"/>
          <w:sz w:val="24"/>
          <w:szCs w:val="24"/>
        </w:rPr>
        <w:t>中证全指红利质量</w:t>
      </w:r>
      <w:r>
        <w:rPr>
          <w:rFonts w:ascii="宋体" w:hAnsi="宋体" w:hint="eastAsia"/>
          <w:bCs/>
          <w:sz w:val="24"/>
          <w:szCs w:val="24"/>
        </w:rPr>
        <w:t>交易型开放式指数证券投资基金</w:t>
      </w:r>
      <w:r>
        <w:rPr>
          <w:rFonts w:ascii="宋体" w:hAnsi="宋体"/>
          <w:bCs/>
          <w:sz w:val="24"/>
          <w:szCs w:val="24"/>
        </w:rPr>
        <w:t>基金份额发售公告》</w:t>
      </w:r>
    </w:p>
    <w:p w14:paraId="4FEBC606" w14:textId="7E152E55" w:rsidR="00E82AF4" w:rsidRDefault="005B2E6A">
      <w:pPr>
        <w:pStyle w:val="HD0"/>
        <w:adjustRightInd w:val="0"/>
        <w:ind w:firstLine="480"/>
        <w:rPr>
          <w:rFonts w:ascii="宋体" w:hAnsi="宋体"/>
          <w:bCs/>
          <w:sz w:val="24"/>
          <w:szCs w:val="24"/>
        </w:rPr>
      </w:pPr>
      <w:r>
        <w:rPr>
          <w:rFonts w:ascii="宋体" w:hAnsi="宋体"/>
          <w:sz w:val="24"/>
          <w:szCs w:val="24"/>
        </w:rPr>
        <w:t>9</w:t>
      </w:r>
      <w:r>
        <w:rPr>
          <w:rFonts w:ascii="宋体" w:hAnsi="宋体" w:hint="eastAsia"/>
          <w:sz w:val="24"/>
          <w:szCs w:val="24"/>
        </w:rPr>
        <w:t>、</w:t>
      </w:r>
      <w:r>
        <w:rPr>
          <w:rFonts w:ascii="宋体" w:hAnsi="宋体" w:hint="eastAsia"/>
          <w:bCs/>
          <w:sz w:val="24"/>
          <w:szCs w:val="24"/>
        </w:rPr>
        <w:t>上市交易公告书：指《银华</w:t>
      </w:r>
      <w:r>
        <w:rPr>
          <w:rFonts w:ascii="宋体" w:hAnsi="宋体" w:hint="eastAsia"/>
          <w:sz w:val="24"/>
          <w:szCs w:val="24"/>
        </w:rPr>
        <w:t>中证全指红利质量</w:t>
      </w:r>
      <w:r>
        <w:rPr>
          <w:rFonts w:ascii="宋体" w:hAnsi="宋体" w:hint="eastAsia"/>
          <w:bCs/>
          <w:sz w:val="24"/>
          <w:szCs w:val="24"/>
        </w:rPr>
        <w:t>交易型开放式指数证券投资基金上市交易公告书》</w:t>
      </w:r>
    </w:p>
    <w:p w14:paraId="4ECE1C67" w14:textId="0D9F5F01" w:rsidR="00E82AF4" w:rsidRDefault="005B2E6A">
      <w:pPr>
        <w:pStyle w:val="HD0"/>
        <w:adjustRightInd w:val="0"/>
        <w:ind w:firstLine="480"/>
        <w:rPr>
          <w:rFonts w:ascii="宋体" w:hAnsi="宋体"/>
          <w:bCs/>
          <w:sz w:val="24"/>
          <w:szCs w:val="24"/>
        </w:rPr>
      </w:pPr>
      <w:r>
        <w:rPr>
          <w:rFonts w:ascii="宋体" w:hAnsi="宋体"/>
          <w:bCs/>
          <w:sz w:val="24"/>
          <w:szCs w:val="24"/>
        </w:rPr>
        <w:t>10</w:t>
      </w:r>
      <w:r>
        <w:rPr>
          <w:rFonts w:ascii="宋体" w:hAnsi="宋体" w:hint="eastAsia"/>
          <w:bCs/>
          <w:sz w:val="24"/>
          <w:szCs w:val="24"/>
        </w:rPr>
        <w:t>、上市交易公告书提示性公告：指《银华</w:t>
      </w:r>
      <w:r>
        <w:rPr>
          <w:rFonts w:ascii="宋体" w:hAnsi="宋体" w:hint="eastAsia"/>
          <w:sz w:val="24"/>
          <w:szCs w:val="24"/>
        </w:rPr>
        <w:t>中证全指红利质量</w:t>
      </w:r>
      <w:r>
        <w:rPr>
          <w:rFonts w:ascii="宋体" w:hAnsi="宋体" w:hint="eastAsia"/>
          <w:bCs/>
          <w:sz w:val="24"/>
          <w:szCs w:val="24"/>
        </w:rPr>
        <w:t>交易型开放式指数证券投资基金上市交易公告书提示性公告》</w:t>
      </w:r>
    </w:p>
    <w:p w14:paraId="4E31FE6C" w14:textId="77777777" w:rsidR="00E82AF4" w:rsidRDefault="005B2E6A">
      <w:pPr>
        <w:pStyle w:val="HD0"/>
        <w:adjustRightInd w:val="0"/>
        <w:ind w:firstLine="480"/>
        <w:rPr>
          <w:rFonts w:ascii="宋体" w:hAnsi="宋体"/>
          <w:sz w:val="24"/>
        </w:rPr>
      </w:pPr>
      <w:r>
        <w:rPr>
          <w:rFonts w:ascii="宋体" w:hAnsi="宋体"/>
          <w:sz w:val="24"/>
          <w:szCs w:val="24"/>
        </w:rPr>
        <w:t>11</w:t>
      </w:r>
      <w:r>
        <w:rPr>
          <w:rFonts w:ascii="宋体" w:hAnsi="宋体" w:hint="eastAsia"/>
          <w:sz w:val="24"/>
        </w:rPr>
        <w:t>、法律法规：指中国现行有效并公布实施的法律、行政法规、规范性文件、司法解释、行政规章以及其他对基金合同当事人有约束力的决定、决议、通知等</w:t>
      </w:r>
    </w:p>
    <w:p w14:paraId="58D7DB03" w14:textId="77777777" w:rsidR="00E82AF4" w:rsidRDefault="005B2E6A">
      <w:pPr>
        <w:pStyle w:val="HD0"/>
        <w:adjustRightInd w:val="0"/>
        <w:ind w:firstLine="480"/>
        <w:rPr>
          <w:rFonts w:ascii="宋体" w:hAnsi="宋体"/>
          <w:sz w:val="24"/>
        </w:rPr>
      </w:pPr>
      <w:r>
        <w:rPr>
          <w:rFonts w:ascii="宋体" w:hAnsi="宋体"/>
          <w:sz w:val="24"/>
          <w:szCs w:val="24"/>
        </w:rPr>
        <w:t>12</w:t>
      </w:r>
      <w:r>
        <w:rPr>
          <w:rFonts w:ascii="宋体" w:hAnsi="宋体" w:hint="eastAsia"/>
          <w:sz w:val="24"/>
        </w:rPr>
        <w:t>、《基金法》：指2003年10月28日经第十届全国人民代表大会常务委员会第五次会议通过，经2012年12月28日第十一届全国人民代表大会常务委员会第三十次会议修订，自20</w:t>
      </w:r>
      <w:r>
        <w:rPr>
          <w:rFonts w:ascii="宋体" w:hAnsi="宋体"/>
          <w:sz w:val="24"/>
        </w:rPr>
        <w:t>13</w:t>
      </w:r>
      <w:r>
        <w:rPr>
          <w:rFonts w:ascii="宋体" w:hAnsi="宋体" w:hint="eastAsia"/>
          <w:sz w:val="24"/>
        </w:rPr>
        <w:t>年6月1日起实施，并经2015年4月24日第十二届全国人民代表大会常务委员会第十四次会议《全国人民代表大会常务委员会关于修改</w:t>
      </w:r>
      <w:r>
        <w:rPr>
          <w:rFonts w:ascii="宋体" w:hAnsi="宋体"/>
          <w:sz w:val="24"/>
        </w:rPr>
        <w:t>&lt;</w:t>
      </w:r>
      <w:r>
        <w:rPr>
          <w:rFonts w:ascii="宋体" w:hAnsi="宋体" w:hint="eastAsia"/>
          <w:sz w:val="24"/>
        </w:rPr>
        <w:t>中华人民共和国港口法</w:t>
      </w:r>
      <w:r>
        <w:rPr>
          <w:rFonts w:ascii="宋体" w:hAnsi="宋体"/>
          <w:sz w:val="24"/>
        </w:rPr>
        <w:t>&gt;</w:t>
      </w:r>
      <w:r>
        <w:rPr>
          <w:rFonts w:ascii="宋体" w:hAnsi="宋体" w:hint="eastAsia"/>
          <w:sz w:val="24"/>
        </w:rPr>
        <w:t>等七部法律的决定》修正的《中华人民共和国证券投资基金法》及颁布机关对其不时做出的修订</w:t>
      </w:r>
    </w:p>
    <w:p w14:paraId="6CBE8639" w14:textId="77777777" w:rsidR="00E82AF4" w:rsidRDefault="005B2E6A">
      <w:pPr>
        <w:pStyle w:val="HD0"/>
        <w:adjustRightInd w:val="0"/>
        <w:ind w:firstLine="480"/>
        <w:rPr>
          <w:rFonts w:ascii="宋体" w:hAnsi="宋体"/>
          <w:sz w:val="24"/>
        </w:rPr>
      </w:pPr>
      <w:r>
        <w:rPr>
          <w:rFonts w:ascii="宋体" w:hAnsi="宋体"/>
          <w:sz w:val="24"/>
          <w:szCs w:val="24"/>
        </w:rPr>
        <w:lastRenderedPageBreak/>
        <w:t>13</w:t>
      </w:r>
      <w:r>
        <w:rPr>
          <w:rFonts w:ascii="宋体" w:hAnsi="宋体" w:hint="eastAsia"/>
          <w:sz w:val="24"/>
        </w:rPr>
        <w:t>、《销售办法》：指中国证监会2020年8月28日颁布、同年10月1日实施的《公开募集证券投资基金销售机构监督管理办法》及颁布机关对其不时做出的修订</w:t>
      </w:r>
    </w:p>
    <w:p w14:paraId="089828A4" w14:textId="77777777" w:rsidR="00E82AF4" w:rsidRDefault="005B2E6A">
      <w:pPr>
        <w:pStyle w:val="HD0"/>
        <w:adjustRightInd w:val="0"/>
        <w:ind w:firstLine="480"/>
        <w:rPr>
          <w:rFonts w:ascii="宋体" w:hAnsi="宋体"/>
          <w:sz w:val="24"/>
        </w:rPr>
      </w:pPr>
      <w:r>
        <w:rPr>
          <w:rFonts w:ascii="宋体" w:hAnsi="宋体"/>
          <w:sz w:val="24"/>
          <w:szCs w:val="24"/>
        </w:rPr>
        <w:t>14</w:t>
      </w:r>
      <w:r>
        <w:rPr>
          <w:rFonts w:ascii="宋体" w:hAnsi="宋体" w:hint="eastAsia"/>
          <w:sz w:val="24"/>
        </w:rPr>
        <w:t>、《信息披露办法》：指中国证监会2019年7月26日颁布、同年9月1日实施的，并经2020年3月20日中国证监会《关于修改部分证券期货规章的决定》修正的《公开募集证券投资基金信息披露管理办法》及颁布机关对其不时做出的修订</w:t>
      </w:r>
    </w:p>
    <w:p w14:paraId="09311A4C"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szCs w:val="24"/>
        </w:rPr>
        <w:t>15</w:t>
      </w:r>
      <w:r>
        <w:rPr>
          <w:rFonts w:ascii="宋体" w:hAnsi="宋体" w:hint="eastAsia"/>
          <w:sz w:val="24"/>
        </w:rPr>
        <w:t>、《运作办法》：指中国证监会</w:t>
      </w:r>
      <w:r>
        <w:rPr>
          <w:rFonts w:ascii="宋体" w:hAnsi="宋体" w:hint="eastAsia"/>
          <w:bCs/>
          <w:sz w:val="24"/>
          <w:szCs w:val="24"/>
        </w:rPr>
        <w:t>2014年7月7日</w:t>
      </w:r>
      <w:r>
        <w:rPr>
          <w:rFonts w:ascii="宋体" w:hAnsi="宋体" w:hint="eastAsia"/>
          <w:sz w:val="24"/>
        </w:rPr>
        <w:t>颁布、同年</w:t>
      </w:r>
      <w:r>
        <w:rPr>
          <w:rFonts w:ascii="宋体" w:hAnsi="宋体" w:hint="eastAsia"/>
          <w:bCs/>
          <w:sz w:val="24"/>
          <w:szCs w:val="24"/>
        </w:rPr>
        <w:t>8月8日</w:t>
      </w:r>
      <w:r>
        <w:rPr>
          <w:rFonts w:ascii="宋体" w:hAnsi="宋体" w:hint="eastAsia"/>
          <w:sz w:val="24"/>
        </w:rPr>
        <w:t>实施的</w:t>
      </w:r>
      <w:r>
        <w:rPr>
          <w:rFonts w:ascii="宋体" w:hAnsi="宋体"/>
          <w:bCs/>
          <w:sz w:val="24"/>
          <w:szCs w:val="24"/>
        </w:rPr>
        <w:t>《公开募集证券投资基金运作管理办法》</w:t>
      </w:r>
      <w:r>
        <w:rPr>
          <w:rFonts w:ascii="宋体" w:hAnsi="宋体" w:hint="eastAsia"/>
          <w:sz w:val="24"/>
        </w:rPr>
        <w:t>及颁布机关对其不时做出的修订</w:t>
      </w:r>
    </w:p>
    <w:p w14:paraId="6DED9A3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bCs/>
          <w:sz w:val="24"/>
          <w:szCs w:val="24"/>
        </w:rPr>
        <w:t>1</w:t>
      </w:r>
      <w:r>
        <w:rPr>
          <w:rFonts w:ascii="宋体" w:hAnsi="宋体"/>
          <w:bCs/>
          <w:sz w:val="24"/>
          <w:szCs w:val="24"/>
        </w:rPr>
        <w:t>6</w:t>
      </w:r>
      <w:r>
        <w:rPr>
          <w:rFonts w:ascii="宋体" w:hAnsi="宋体" w:hint="eastAsia"/>
          <w:sz w:val="24"/>
        </w:rPr>
        <w:t>、《流动性风险管理规定》：指中国证监会2017年8月31日颁布、同年10月1日实施的《公开募集开放式证券投资基金流动性风险管理规定》及颁布机关对其不时做出的修订</w:t>
      </w:r>
    </w:p>
    <w:p w14:paraId="278E1BF1" w14:textId="77777777" w:rsidR="00E82AF4" w:rsidRDefault="005B2E6A">
      <w:pPr>
        <w:adjustRightInd w:val="0"/>
        <w:snapToGrid w:val="0"/>
        <w:spacing w:line="360" w:lineRule="auto"/>
        <w:ind w:firstLineChars="200" w:firstLine="480"/>
        <w:rPr>
          <w:rFonts w:ascii="宋体" w:hAnsi="宋体"/>
          <w:bCs/>
          <w:sz w:val="24"/>
          <w:szCs w:val="21"/>
        </w:rPr>
      </w:pPr>
      <w:r>
        <w:rPr>
          <w:sz w:val="24"/>
        </w:rPr>
        <w:t>17</w:t>
      </w:r>
      <w:r>
        <w:rPr>
          <w:rFonts w:ascii="宋体" w:hAnsi="宋体" w:hint="eastAsia"/>
          <w:bCs/>
          <w:sz w:val="24"/>
          <w:szCs w:val="21"/>
        </w:rPr>
        <w:t>、《指数基金指引》：指中国证监会2021年1月18日颁布、同年2月1日实施的《公开募集证券投资基金运作指引第3号——指数基金指引》及颁布机关对其不时做出的修订</w:t>
      </w:r>
    </w:p>
    <w:p w14:paraId="34F589F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1</w:t>
      </w:r>
      <w:r>
        <w:rPr>
          <w:rFonts w:ascii="宋体" w:hAnsi="宋体"/>
          <w:sz w:val="24"/>
          <w:szCs w:val="24"/>
        </w:rPr>
        <w:t>8</w:t>
      </w:r>
      <w:r>
        <w:rPr>
          <w:rFonts w:ascii="宋体" w:hAnsi="宋体" w:hint="eastAsia"/>
          <w:sz w:val="24"/>
          <w:szCs w:val="24"/>
        </w:rPr>
        <w:t>、交易型开放式指数证券投资基金：指</w:t>
      </w:r>
      <w:r>
        <w:rPr>
          <w:rFonts w:ascii="宋体" w:hAnsi="宋体" w:hint="eastAsia"/>
          <w:bCs/>
          <w:sz w:val="24"/>
          <w:szCs w:val="24"/>
        </w:rPr>
        <w:t>《深圳证券交易所证券投资基金交易和申购赎回实施细则》</w:t>
      </w:r>
      <w:r>
        <w:rPr>
          <w:rFonts w:ascii="宋体" w:hAnsi="宋体" w:hint="eastAsia"/>
          <w:sz w:val="24"/>
          <w:szCs w:val="24"/>
        </w:rPr>
        <w:t>定义的“交易型开放式基金”，</w:t>
      </w:r>
      <w:r>
        <w:rPr>
          <w:rFonts w:ascii="宋体" w:hAnsi="宋体"/>
          <w:sz w:val="24"/>
          <w:szCs w:val="24"/>
        </w:rPr>
        <w:t>简称</w:t>
      </w:r>
      <w:r>
        <w:rPr>
          <w:rFonts w:ascii="宋体" w:hAnsi="宋体" w:hint="eastAsia"/>
          <w:sz w:val="24"/>
          <w:szCs w:val="24"/>
        </w:rPr>
        <w:t>“ETF”（Exchange</w:t>
      </w:r>
      <w:r>
        <w:rPr>
          <w:rFonts w:ascii="宋体" w:hAnsi="宋体"/>
          <w:sz w:val="24"/>
          <w:szCs w:val="24"/>
        </w:rPr>
        <w:t xml:space="preserve"> Traded Fund</w:t>
      </w:r>
      <w:r>
        <w:rPr>
          <w:rFonts w:ascii="宋体" w:hAnsi="宋体" w:hint="eastAsia"/>
          <w:sz w:val="24"/>
          <w:szCs w:val="24"/>
        </w:rPr>
        <w:t>）</w:t>
      </w:r>
    </w:p>
    <w:p w14:paraId="11F3D5FD" w14:textId="77777777" w:rsidR="00E82AF4" w:rsidRDefault="005B2E6A">
      <w:pPr>
        <w:adjustRightInd w:val="0"/>
        <w:snapToGrid w:val="0"/>
        <w:spacing w:line="360" w:lineRule="auto"/>
        <w:ind w:firstLineChars="200" w:firstLine="480"/>
        <w:rPr>
          <w:rFonts w:ascii="宋体" w:hAnsi="宋体" w:cs="Arial"/>
          <w:sz w:val="24"/>
          <w:szCs w:val="24"/>
        </w:rPr>
      </w:pPr>
      <w:r>
        <w:rPr>
          <w:rFonts w:ascii="宋体" w:hAnsi="宋体"/>
          <w:sz w:val="24"/>
          <w:szCs w:val="24"/>
        </w:rPr>
        <w:t>19</w:t>
      </w:r>
      <w:r>
        <w:rPr>
          <w:rFonts w:ascii="宋体" w:hAnsi="宋体" w:hint="eastAsia"/>
          <w:sz w:val="24"/>
          <w:szCs w:val="24"/>
        </w:rPr>
        <w:t>、ETF联接基金：</w:t>
      </w:r>
      <w:r>
        <w:rPr>
          <w:rFonts w:ascii="宋体" w:hAnsi="宋体" w:cs="Arial" w:hint="eastAsia"/>
          <w:sz w:val="24"/>
          <w:szCs w:val="24"/>
        </w:rPr>
        <w:t>指将其绝大部分基金财产投资于本基金，与本基金的投资目标类似，</w:t>
      </w:r>
      <w:r>
        <w:rPr>
          <w:rFonts w:hint="eastAsia"/>
          <w:sz w:val="24"/>
        </w:rPr>
        <w:t>跟踪同一标的指数，</w:t>
      </w:r>
      <w:r>
        <w:rPr>
          <w:rFonts w:ascii="宋体" w:hAnsi="宋体" w:hint="eastAsia"/>
          <w:sz w:val="24"/>
          <w:szCs w:val="24"/>
        </w:rPr>
        <w:t>紧密跟踪标的指数表现，追求跟踪偏离度和跟踪误差最小化，</w:t>
      </w:r>
      <w:r>
        <w:rPr>
          <w:rFonts w:ascii="宋体" w:hAnsi="宋体" w:cs="Arial" w:hint="eastAsia"/>
          <w:sz w:val="24"/>
          <w:szCs w:val="24"/>
        </w:rPr>
        <w:t>采用开放式运作方式的基金，简称联接基金</w:t>
      </w:r>
    </w:p>
    <w:p w14:paraId="0F767B7A" w14:textId="77777777" w:rsidR="00E82AF4" w:rsidRDefault="005B2E6A">
      <w:pPr>
        <w:pStyle w:val="HD0"/>
        <w:adjustRightInd w:val="0"/>
        <w:ind w:firstLine="480"/>
        <w:rPr>
          <w:rFonts w:ascii="宋体" w:hAnsi="宋体"/>
          <w:sz w:val="24"/>
        </w:rPr>
      </w:pPr>
      <w:r>
        <w:rPr>
          <w:rFonts w:ascii="宋体" w:hAnsi="宋体" w:cs="Arial"/>
          <w:sz w:val="24"/>
          <w:szCs w:val="24"/>
        </w:rPr>
        <w:t>20</w:t>
      </w:r>
      <w:r>
        <w:rPr>
          <w:rFonts w:ascii="宋体" w:hAnsi="宋体" w:hint="eastAsia"/>
          <w:sz w:val="24"/>
        </w:rPr>
        <w:t>、中国证监会：指中国证券监督管理委员会</w:t>
      </w:r>
    </w:p>
    <w:p w14:paraId="4BF4CFC3" w14:textId="77777777" w:rsidR="00E82AF4" w:rsidRDefault="005B2E6A">
      <w:pPr>
        <w:pStyle w:val="HD0"/>
        <w:ind w:firstLine="480"/>
        <w:rPr>
          <w:rFonts w:ascii="宋体" w:hAnsi="宋体"/>
          <w:sz w:val="24"/>
        </w:rPr>
      </w:pPr>
      <w:r>
        <w:rPr>
          <w:bCs/>
          <w:sz w:val="24"/>
        </w:rPr>
        <w:t>21</w:t>
      </w:r>
      <w:r>
        <w:rPr>
          <w:rFonts w:hint="eastAsia"/>
          <w:sz w:val="24"/>
        </w:rPr>
        <w:t>、</w:t>
      </w:r>
      <w:r>
        <w:rPr>
          <w:rFonts w:ascii="宋体" w:hAnsi="宋体" w:hint="eastAsia"/>
          <w:sz w:val="24"/>
        </w:rPr>
        <w:t>银行业监督管理机构：指中国人民银行和/或国家金融监督管理总局</w:t>
      </w:r>
    </w:p>
    <w:p w14:paraId="18CFA928" w14:textId="77777777" w:rsidR="00E82AF4" w:rsidRDefault="005B2E6A">
      <w:pPr>
        <w:pStyle w:val="HD0"/>
        <w:adjustRightInd w:val="0"/>
        <w:ind w:firstLine="480"/>
        <w:rPr>
          <w:rFonts w:ascii="宋体" w:hAnsi="宋体"/>
          <w:sz w:val="24"/>
        </w:rPr>
      </w:pPr>
      <w:r>
        <w:rPr>
          <w:rFonts w:ascii="宋体" w:hAnsi="宋体" w:hint="eastAsia"/>
          <w:sz w:val="24"/>
        </w:rPr>
        <w:t>2</w:t>
      </w:r>
      <w:r>
        <w:rPr>
          <w:rFonts w:ascii="宋体" w:hAnsi="宋体"/>
          <w:sz w:val="24"/>
        </w:rPr>
        <w:t>2</w:t>
      </w:r>
      <w:r>
        <w:rPr>
          <w:rFonts w:ascii="宋体" w:hAnsi="宋体" w:hint="eastAsia"/>
          <w:sz w:val="24"/>
        </w:rPr>
        <w:t>、基金合同当事人：指受基金合同约束，根据基金合同享有权利并承担义务的法律主体，包括基金管理人、基金托管人和基金份额持有人</w:t>
      </w:r>
    </w:p>
    <w:p w14:paraId="745D6236" w14:textId="77777777" w:rsidR="00E82AF4" w:rsidRDefault="005B2E6A">
      <w:pPr>
        <w:pStyle w:val="HD0"/>
        <w:adjustRightInd w:val="0"/>
        <w:ind w:firstLine="480"/>
        <w:rPr>
          <w:rFonts w:ascii="宋体" w:hAnsi="宋体"/>
          <w:sz w:val="24"/>
        </w:rPr>
      </w:pPr>
      <w:r>
        <w:rPr>
          <w:rFonts w:ascii="宋体" w:hAnsi="宋体" w:cs="Arial"/>
          <w:sz w:val="24"/>
          <w:szCs w:val="24"/>
        </w:rPr>
        <w:t>23</w:t>
      </w:r>
      <w:r>
        <w:rPr>
          <w:rFonts w:ascii="宋体" w:hAnsi="宋体" w:hint="eastAsia"/>
          <w:sz w:val="24"/>
        </w:rPr>
        <w:t>、个人投资者：指依据有关法律法规规定可投资于证券投资基金的自然人</w:t>
      </w:r>
    </w:p>
    <w:p w14:paraId="634548F1" w14:textId="77777777" w:rsidR="00E82AF4" w:rsidRDefault="005B2E6A">
      <w:pPr>
        <w:pStyle w:val="HD0"/>
        <w:adjustRightInd w:val="0"/>
        <w:ind w:firstLine="480"/>
        <w:rPr>
          <w:rFonts w:ascii="宋体" w:hAnsi="宋体"/>
          <w:sz w:val="24"/>
        </w:rPr>
      </w:pPr>
      <w:r>
        <w:rPr>
          <w:rFonts w:ascii="宋体" w:hAnsi="宋体"/>
          <w:sz w:val="24"/>
          <w:szCs w:val="24"/>
        </w:rPr>
        <w:t>24</w:t>
      </w:r>
      <w:r>
        <w:rPr>
          <w:rFonts w:ascii="宋体" w:hAnsi="宋体" w:hint="eastAsia"/>
          <w:sz w:val="24"/>
        </w:rPr>
        <w:t>、机构投资者：指依法可以投资证券投资基金的、在中华人民共和国境内合法登记并存续或经有关政府部门批准设立并存续的企业法人、事业法人、社会团体或其他组织</w:t>
      </w:r>
    </w:p>
    <w:p w14:paraId="5A1BF1D1" w14:textId="77777777" w:rsidR="00E82AF4" w:rsidRDefault="005B2E6A">
      <w:pPr>
        <w:pStyle w:val="HD0"/>
        <w:adjustRightInd w:val="0"/>
        <w:ind w:firstLine="480"/>
        <w:rPr>
          <w:rFonts w:ascii="宋体" w:hAnsi="宋体"/>
          <w:sz w:val="24"/>
        </w:rPr>
      </w:pPr>
      <w:r>
        <w:rPr>
          <w:rFonts w:ascii="宋体" w:hAnsi="宋体"/>
          <w:sz w:val="24"/>
          <w:szCs w:val="24"/>
        </w:rPr>
        <w:t>25</w:t>
      </w:r>
      <w:r>
        <w:rPr>
          <w:rFonts w:ascii="宋体" w:hAnsi="宋体" w:hint="eastAsia"/>
          <w:sz w:val="24"/>
        </w:rPr>
        <w:t>、合格境外投资者：指符合《合格境外机构投资者和人民币合格境外机构</w:t>
      </w:r>
      <w:r>
        <w:rPr>
          <w:rFonts w:ascii="宋体" w:hAnsi="宋体" w:hint="eastAsia"/>
          <w:sz w:val="24"/>
        </w:rPr>
        <w:lastRenderedPageBreak/>
        <w:t>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6811A397" w14:textId="77777777" w:rsidR="00E82AF4" w:rsidRDefault="005B2E6A">
      <w:pPr>
        <w:pStyle w:val="HD0"/>
        <w:adjustRightInd w:val="0"/>
        <w:ind w:firstLine="480"/>
        <w:rPr>
          <w:rFonts w:ascii="宋体" w:hAnsi="宋体"/>
          <w:sz w:val="24"/>
        </w:rPr>
      </w:pPr>
      <w:r>
        <w:rPr>
          <w:rFonts w:ascii="宋体" w:hAnsi="宋体" w:hint="eastAsia"/>
          <w:sz w:val="24"/>
          <w:szCs w:val="24"/>
        </w:rPr>
        <w:t>2</w:t>
      </w:r>
      <w:r>
        <w:rPr>
          <w:rFonts w:ascii="宋体" w:hAnsi="宋体"/>
          <w:sz w:val="24"/>
          <w:szCs w:val="24"/>
        </w:rPr>
        <w:t>6</w:t>
      </w:r>
      <w:r>
        <w:rPr>
          <w:rFonts w:ascii="宋体" w:hAnsi="宋体" w:hint="eastAsia"/>
          <w:sz w:val="24"/>
        </w:rPr>
        <w:t>、投资人</w:t>
      </w:r>
      <w:r>
        <w:rPr>
          <w:rFonts w:ascii="宋体" w:hAnsi="宋体" w:hint="eastAsia"/>
          <w:sz w:val="24"/>
          <w:szCs w:val="24"/>
        </w:rPr>
        <w:t>、投资者</w:t>
      </w:r>
      <w:r>
        <w:rPr>
          <w:rFonts w:ascii="宋体" w:hAnsi="宋体" w:hint="eastAsia"/>
          <w:sz w:val="24"/>
        </w:rPr>
        <w:t>：指个人投资者、机构投资者、合格境外投资者以及法律法规或中国证监会允许购买证券投资基金的其他投资人的合称</w:t>
      </w:r>
    </w:p>
    <w:p w14:paraId="702E2E1B" w14:textId="77777777" w:rsidR="00E82AF4" w:rsidRDefault="005B2E6A">
      <w:pPr>
        <w:pStyle w:val="HD0"/>
        <w:adjustRightInd w:val="0"/>
        <w:ind w:firstLine="480"/>
        <w:rPr>
          <w:rFonts w:ascii="宋体" w:hAnsi="宋体"/>
          <w:sz w:val="24"/>
        </w:rPr>
      </w:pPr>
      <w:r>
        <w:rPr>
          <w:rFonts w:ascii="宋体" w:hAnsi="宋体"/>
          <w:sz w:val="24"/>
          <w:szCs w:val="24"/>
        </w:rPr>
        <w:t>27</w:t>
      </w:r>
      <w:r>
        <w:rPr>
          <w:rFonts w:ascii="宋体" w:hAnsi="宋体" w:hint="eastAsia"/>
          <w:sz w:val="24"/>
        </w:rPr>
        <w:t>、基金份额持有人：指依基金合同和招募说明书合法取得本基金基金份额的投资人</w:t>
      </w:r>
    </w:p>
    <w:p w14:paraId="22AF4832" w14:textId="77777777" w:rsidR="00E82AF4" w:rsidRDefault="005B2E6A">
      <w:pPr>
        <w:pStyle w:val="HD0"/>
        <w:adjustRightInd w:val="0"/>
        <w:ind w:firstLine="480"/>
        <w:rPr>
          <w:rFonts w:ascii="宋体" w:hAnsi="宋体"/>
          <w:sz w:val="24"/>
        </w:rPr>
      </w:pPr>
      <w:r>
        <w:rPr>
          <w:rFonts w:ascii="宋体" w:hAnsi="宋体" w:hint="eastAsia"/>
          <w:sz w:val="24"/>
        </w:rPr>
        <w:t>2</w:t>
      </w:r>
      <w:r>
        <w:rPr>
          <w:rFonts w:ascii="宋体" w:hAnsi="宋体"/>
          <w:sz w:val="24"/>
        </w:rPr>
        <w:t>8</w:t>
      </w:r>
      <w:r>
        <w:rPr>
          <w:rFonts w:ascii="宋体" w:hAnsi="宋体" w:hint="eastAsia"/>
          <w:sz w:val="24"/>
        </w:rPr>
        <w:t>、基金销售业务：指基金管理人或其他销售机构宣传推介基金，发售基金份额，办理基金份额的申购、赎回等业务</w:t>
      </w:r>
    </w:p>
    <w:p w14:paraId="478F1ECD" w14:textId="77777777" w:rsidR="00E82AF4" w:rsidRDefault="005B2E6A">
      <w:pPr>
        <w:pStyle w:val="HD0"/>
        <w:adjustRightInd w:val="0"/>
        <w:ind w:firstLine="480"/>
        <w:rPr>
          <w:rFonts w:ascii="宋体" w:hAnsi="宋体"/>
          <w:sz w:val="24"/>
          <w:szCs w:val="24"/>
        </w:rPr>
      </w:pPr>
      <w:r>
        <w:rPr>
          <w:rFonts w:ascii="宋体" w:hAnsi="宋体"/>
          <w:sz w:val="24"/>
          <w:szCs w:val="24"/>
        </w:rPr>
        <w:t>29</w:t>
      </w:r>
      <w:r>
        <w:rPr>
          <w:rFonts w:ascii="宋体" w:hAnsi="宋体" w:hint="eastAsia"/>
          <w:sz w:val="24"/>
        </w:rPr>
        <w:t>、销售机构：指银华基金管理股份有限公司以及符合《销售办法》和中国证监会规定的其他条件，取得基金销售业务资格并与基金管理人签订了基金销售服务协议，办理基金销售业务的其他机构，包括</w:t>
      </w:r>
      <w:r>
        <w:rPr>
          <w:rFonts w:ascii="宋体" w:hAnsi="宋体" w:hint="eastAsia"/>
          <w:sz w:val="24"/>
          <w:szCs w:val="24"/>
        </w:rPr>
        <w:t>发售代理机构及申购赎回代理券商</w:t>
      </w:r>
    </w:p>
    <w:p w14:paraId="3C3216AF" w14:textId="77777777" w:rsidR="00E82AF4" w:rsidRDefault="005B2E6A">
      <w:pPr>
        <w:pStyle w:val="HD0"/>
        <w:adjustRightInd w:val="0"/>
        <w:ind w:firstLine="480"/>
        <w:rPr>
          <w:rFonts w:ascii="宋体" w:hAnsi="宋体"/>
          <w:sz w:val="24"/>
          <w:szCs w:val="24"/>
        </w:rPr>
      </w:pPr>
      <w:r>
        <w:rPr>
          <w:rFonts w:ascii="宋体" w:hAnsi="宋体"/>
          <w:sz w:val="24"/>
          <w:szCs w:val="24"/>
        </w:rPr>
        <w:t>30</w:t>
      </w:r>
      <w:r>
        <w:rPr>
          <w:rFonts w:ascii="宋体" w:hAnsi="宋体" w:hint="eastAsia"/>
          <w:sz w:val="24"/>
          <w:szCs w:val="24"/>
        </w:rPr>
        <w:t>、基金销售网点：指销售机构的销售网点</w:t>
      </w:r>
    </w:p>
    <w:p w14:paraId="3BE72BCB" w14:textId="77777777" w:rsidR="00E82AF4" w:rsidRDefault="005B2E6A">
      <w:pPr>
        <w:pStyle w:val="HD0"/>
        <w:adjustRightInd w:val="0"/>
        <w:ind w:firstLine="480"/>
        <w:rPr>
          <w:rFonts w:ascii="宋体" w:hAnsi="宋体"/>
          <w:sz w:val="24"/>
          <w:szCs w:val="24"/>
        </w:rPr>
      </w:pPr>
      <w:r>
        <w:rPr>
          <w:rFonts w:ascii="宋体" w:hAnsi="宋体"/>
          <w:sz w:val="24"/>
          <w:szCs w:val="24"/>
        </w:rPr>
        <w:t>31</w:t>
      </w:r>
      <w:r>
        <w:rPr>
          <w:rFonts w:ascii="宋体" w:hAnsi="宋体" w:hint="eastAsia"/>
          <w:sz w:val="24"/>
          <w:szCs w:val="24"/>
        </w:rPr>
        <w:t>、发售代理机构：指符合《销售办法》和中国证监会规定的其他条件，基金管理人指定的在募集期间代理本基金发售业务的机构</w:t>
      </w:r>
    </w:p>
    <w:p w14:paraId="47644E90" w14:textId="77777777" w:rsidR="00E82AF4" w:rsidRDefault="005B2E6A">
      <w:pPr>
        <w:pStyle w:val="HD0"/>
        <w:adjustRightInd w:val="0"/>
        <w:ind w:firstLine="480"/>
        <w:rPr>
          <w:rFonts w:ascii="宋体" w:hAnsi="宋体"/>
          <w:sz w:val="24"/>
        </w:rPr>
      </w:pPr>
      <w:r>
        <w:rPr>
          <w:rFonts w:ascii="宋体" w:hAnsi="宋体"/>
          <w:sz w:val="24"/>
          <w:szCs w:val="24"/>
        </w:rPr>
        <w:t>32</w:t>
      </w:r>
      <w:r>
        <w:rPr>
          <w:rFonts w:ascii="宋体" w:hAnsi="宋体" w:hint="eastAsia"/>
          <w:sz w:val="24"/>
          <w:szCs w:val="24"/>
        </w:rPr>
        <w:t>、申购赎回代理券商：指</w:t>
      </w:r>
      <w:r>
        <w:rPr>
          <w:rFonts w:ascii="宋体" w:hAnsi="宋体" w:hint="eastAsia"/>
          <w:sz w:val="24"/>
        </w:rPr>
        <w:t>符合《销售办法》和中国证监会规定的其他条件，</w:t>
      </w:r>
      <w:r>
        <w:rPr>
          <w:rFonts w:ascii="宋体" w:hAnsi="宋体" w:hint="eastAsia"/>
          <w:sz w:val="24"/>
          <w:szCs w:val="24"/>
        </w:rPr>
        <w:t>由</w:t>
      </w:r>
      <w:r>
        <w:rPr>
          <w:rFonts w:ascii="宋体" w:hAnsi="宋体" w:hint="eastAsia"/>
          <w:sz w:val="24"/>
        </w:rPr>
        <w:t>基金管理人</w:t>
      </w:r>
      <w:r>
        <w:rPr>
          <w:rFonts w:ascii="宋体" w:hAnsi="宋体" w:hint="eastAsia"/>
          <w:sz w:val="24"/>
          <w:szCs w:val="24"/>
        </w:rPr>
        <w:t>指定的</w:t>
      </w:r>
      <w:r>
        <w:rPr>
          <w:rFonts w:ascii="宋体" w:hAnsi="宋体" w:hint="eastAsia"/>
          <w:sz w:val="24"/>
        </w:rPr>
        <w:t>办理</w:t>
      </w:r>
      <w:r>
        <w:rPr>
          <w:rFonts w:ascii="宋体" w:hAnsi="宋体" w:hint="eastAsia"/>
          <w:sz w:val="24"/>
          <w:szCs w:val="24"/>
        </w:rPr>
        <w:t>本</w:t>
      </w:r>
      <w:r>
        <w:rPr>
          <w:rFonts w:ascii="宋体" w:hAnsi="宋体" w:hint="eastAsia"/>
          <w:sz w:val="24"/>
        </w:rPr>
        <w:t>基金</w:t>
      </w:r>
      <w:r>
        <w:rPr>
          <w:rFonts w:ascii="宋体" w:hAnsi="宋体" w:hint="eastAsia"/>
          <w:sz w:val="24"/>
          <w:szCs w:val="24"/>
        </w:rPr>
        <w:t>申购、赎回</w:t>
      </w:r>
      <w:r>
        <w:rPr>
          <w:rFonts w:ascii="宋体" w:hAnsi="宋体" w:hint="eastAsia"/>
          <w:sz w:val="24"/>
        </w:rPr>
        <w:t>业务的</w:t>
      </w:r>
      <w:r>
        <w:rPr>
          <w:rFonts w:ascii="宋体" w:hAnsi="宋体" w:hint="eastAsia"/>
          <w:sz w:val="24"/>
          <w:szCs w:val="24"/>
        </w:rPr>
        <w:t>证券公司</w:t>
      </w:r>
    </w:p>
    <w:p w14:paraId="3407777E" w14:textId="77777777" w:rsidR="00E82AF4" w:rsidRDefault="005B2E6A">
      <w:pPr>
        <w:pStyle w:val="HD0"/>
        <w:adjustRightInd w:val="0"/>
        <w:ind w:firstLine="480"/>
        <w:rPr>
          <w:rFonts w:ascii="宋体" w:hAnsi="宋体"/>
          <w:sz w:val="24"/>
        </w:rPr>
      </w:pPr>
      <w:r>
        <w:rPr>
          <w:rFonts w:ascii="宋体" w:hAnsi="宋体"/>
          <w:sz w:val="24"/>
          <w:szCs w:val="24"/>
        </w:rPr>
        <w:t>33</w:t>
      </w:r>
      <w:r>
        <w:rPr>
          <w:rFonts w:ascii="宋体" w:hAnsi="宋体" w:hint="eastAsia"/>
          <w:sz w:val="24"/>
        </w:rPr>
        <w:t>、</w:t>
      </w:r>
      <w:r>
        <w:rPr>
          <w:rFonts w:hint="eastAsia"/>
          <w:sz w:val="24"/>
          <w:szCs w:val="24"/>
        </w:rPr>
        <w:t>登记业务：</w:t>
      </w:r>
      <w:r>
        <w:rPr>
          <w:rFonts w:ascii="宋体" w:hAnsi="宋体" w:hint="eastAsia"/>
          <w:sz w:val="24"/>
        </w:rPr>
        <w:t>指</w:t>
      </w:r>
      <w:r>
        <w:rPr>
          <w:rFonts w:ascii="宋体" w:hAnsi="宋体" w:hint="eastAsia"/>
          <w:sz w:val="24"/>
          <w:szCs w:val="24"/>
        </w:rPr>
        <w:t>《</w:t>
      </w:r>
      <w:r>
        <w:rPr>
          <w:rFonts w:ascii="宋体" w:hAnsi="宋体" w:hint="eastAsia"/>
          <w:bCs/>
          <w:sz w:val="24"/>
          <w:szCs w:val="24"/>
        </w:rPr>
        <w:t>中国证券登记结算有限责任公司关于交易所交易型开放式证券投资基金登记结算业务</w:t>
      </w:r>
      <w:r>
        <w:rPr>
          <w:rFonts w:ascii="宋体" w:hAnsi="宋体"/>
          <w:bCs/>
          <w:sz w:val="24"/>
          <w:szCs w:val="24"/>
        </w:rPr>
        <w:t>实施细则</w:t>
      </w:r>
      <w:r>
        <w:rPr>
          <w:rFonts w:ascii="宋体" w:hAnsi="宋体" w:hint="eastAsia"/>
          <w:bCs/>
          <w:sz w:val="24"/>
          <w:szCs w:val="24"/>
        </w:rPr>
        <w:t>》（及其不时修订）</w:t>
      </w:r>
      <w:r>
        <w:rPr>
          <w:rFonts w:ascii="宋体" w:hAnsi="宋体" w:hint="eastAsia"/>
          <w:sz w:val="24"/>
          <w:szCs w:val="24"/>
        </w:rPr>
        <w:t>定义</w:t>
      </w:r>
      <w:r>
        <w:rPr>
          <w:rFonts w:ascii="宋体" w:hAnsi="宋体" w:hint="eastAsia"/>
          <w:sz w:val="24"/>
        </w:rPr>
        <w:t>的基金份额</w:t>
      </w:r>
      <w:r>
        <w:rPr>
          <w:rFonts w:ascii="宋体" w:hAnsi="宋体" w:hint="eastAsia"/>
          <w:sz w:val="24"/>
          <w:szCs w:val="24"/>
        </w:rPr>
        <w:t>的</w:t>
      </w:r>
      <w:r>
        <w:rPr>
          <w:rFonts w:ascii="宋体" w:hAnsi="宋体" w:hint="eastAsia"/>
          <w:sz w:val="24"/>
        </w:rPr>
        <w:t>登记、存管、结算</w:t>
      </w:r>
      <w:r>
        <w:rPr>
          <w:rFonts w:ascii="宋体" w:hAnsi="宋体" w:hint="eastAsia"/>
          <w:sz w:val="24"/>
          <w:szCs w:val="24"/>
        </w:rPr>
        <w:t>及相关</w:t>
      </w:r>
      <w:r>
        <w:rPr>
          <w:rFonts w:ascii="宋体" w:hAnsi="宋体" w:hint="eastAsia"/>
          <w:sz w:val="24"/>
        </w:rPr>
        <w:t>业务</w:t>
      </w:r>
    </w:p>
    <w:p w14:paraId="63A42424" w14:textId="77777777" w:rsidR="00E82AF4" w:rsidRDefault="005B2E6A">
      <w:pPr>
        <w:pStyle w:val="HD0"/>
        <w:adjustRightInd w:val="0"/>
        <w:ind w:firstLine="480"/>
        <w:rPr>
          <w:rFonts w:ascii="宋体" w:hAnsi="宋体"/>
          <w:sz w:val="24"/>
        </w:rPr>
      </w:pPr>
      <w:r>
        <w:rPr>
          <w:rFonts w:ascii="宋体" w:hAnsi="宋体"/>
          <w:sz w:val="24"/>
          <w:szCs w:val="24"/>
        </w:rPr>
        <w:t>34</w:t>
      </w:r>
      <w:r>
        <w:rPr>
          <w:rFonts w:ascii="宋体" w:hAnsi="宋体" w:hint="eastAsia"/>
          <w:sz w:val="24"/>
        </w:rPr>
        <w:t>、登记机构：指办理登记业务的机构。</w:t>
      </w:r>
      <w:r>
        <w:rPr>
          <w:rFonts w:ascii="宋体" w:hAnsi="宋体" w:hint="eastAsia"/>
          <w:sz w:val="24"/>
          <w:szCs w:val="24"/>
        </w:rPr>
        <w:t>本</w:t>
      </w:r>
      <w:r>
        <w:rPr>
          <w:rFonts w:ascii="宋体" w:hAnsi="宋体" w:hint="eastAsia"/>
          <w:sz w:val="24"/>
        </w:rPr>
        <w:t>基金的登记机构为</w:t>
      </w:r>
      <w:r>
        <w:rPr>
          <w:rFonts w:ascii="宋体" w:hAnsi="宋体" w:hint="eastAsia"/>
          <w:sz w:val="24"/>
          <w:szCs w:val="24"/>
        </w:rPr>
        <w:t>中国证券登记结算有限责任公司</w:t>
      </w:r>
    </w:p>
    <w:p w14:paraId="4B6ED686" w14:textId="77777777" w:rsidR="00E82AF4" w:rsidRDefault="005B2E6A">
      <w:pPr>
        <w:pStyle w:val="HD0"/>
        <w:adjustRightInd w:val="0"/>
        <w:ind w:firstLine="480"/>
        <w:rPr>
          <w:rFonts w:ascii="宋体" w:hAnsi="宋体"/>
          <w:sz w:val="24"/>
        </w:rPr>
      </w:pPr>
      <w:r>
        <w:rPr>
          <w:rFonts w:ascii="宋体" w:hAnsi="宋体" w:hint="eastAsia"/>
          <w:sz w:val="24"/>
          <w:szCs w:val="24"/>
        </w:rPr>
        <w:t>3</w:t>
      </w:r>
      <w:r>
        <w:rPr>
          <w:rFonts w:ascii="宋体" w:hAnsi="宋体"/>
          <w:sz w:val="24"/>
          <w:szCs w:val="24"/>
        </w:rPr>
        <w:t>5</w:t>
      </w:r>
      <w:r>
        <w:rPr>
          <w:rFonts w:ascii="宋体" w:hAnsi="宋体" w:hint="eastAsia"/>
          <w:sz w:val="24"/>
        </w:rPr>
        <w:t>、基金合同生效日：指基金募集达到法律法规规定及基金合同规定的条件，基金管理人向中国证监会办理基金备案手续完毕，并获得中国证监会书面确认的日期</w:t>
      </w:r>
    </w:p>
    <w:p w14:paraId="47591C8A" w14:textId="77777777" w:rsidR="00E82AF4" w:rsidRDefault="005B2E6A">
      <w:pPr>
        <w:pStyle w:val="HD0"/>
        <w:adjustRightInd w:val="0"/>
        <w:ind w:firstLine="480"/>
        <w:rPr>
          <w:rFonts w:ascii="宋体" w:hAnsi="宋体"/>
          <w:sz w:val="24"/>
        </w:rPr>
      </w:pPr>
      <w:r>
        <w:rPr>
          <w:rFonts w:ascii="宋体" w:hAnsi="宋体" w:hint="eastAsia"/>
          <w:sz w:val="24"/>
          <w:szCs w:val="24"/>
        </w:rPr>
        <w:t>3</w:t>
      </w:r>
      <w:r>
        <w:rPr>
          <w:rFonts w:ascii="宋体" w:hAnsi="宋体"/>
          <w:sz w:val="24"/>
          <w:szCs w:val="24"/>
        </w:rPr>
        <w:t>6</w:t>
      </w:r>
      <w:r>
        <w:rPr>
          <w:rFonts w:ascii="宋体" w:hAnsi="宋体" w:hint="eastAsia"/>
          <w:sz w:val="24"/>
        </w:rPr>
        <w:t>、基金合同终止日：指基金合同规定的基金合同终止事由出现后，基金财产清算完毕，清算结果报中国证监会备案并予以公告的日期</w:t>
      </w:r>
    </w:p>
    <w:p w14:paraId="4B5DC4BC" w14:textId="77777777" w:rsidR="00E82AF4" w:rsidRDefault="005B2E6A">
      <w:pPr>
        <w:pStyle w:val="HD0"/>
        <w:adjustRightInd w:val="0"/>
        <w:ind w:firstLine="480"/>
        <w:rPr>
          <w:rFonts w:ascii="宋体" w:hAnsi="宋体"/>
          <w:sz w:val="24"/>
        </w:rPr>
      </w:pPr>
      <w:r>
        <w:rPr>
          <w:rFonts w:ascii="宋体" w:hAnsi="宋体" w:hint="eastAsia"/>
          <w:sz w:val="24"/>
          <w:szCs w:val="24"/>
        </w:rPr>
        <w:t>3</w:t>
      </w:r>
      <w:r>
        <w:rPr>
          <w:rFonts w:ascii="宋体" w:hAnsi="宋体"/>
          <w:sz w:val="24"/>
          <w:szCs w:val="24"/>
        </w:rPr>
        <w:t>7</w:t>
      </w:r>
      <w:r>
        <w:rPr>
          <w:rFonts w:ascii="宋体" w:hAnsi="宋体" w:hint="eastAsia"/>
          <w:sz w:val="24"/>
        </w:rPr>
        <w:t>、基金募集期：指自基金份额发售之日起至发售结束之日止的期间，最长不得超过</w:t>
      </w:r>
      <w:r>
        <w:rPr>
          <w:rFonts w:ascii="宋体" w:hAnsi="宋体"/>
          <w:sz w:val="24"/>
        </w:rPr>
        <w:t>3</w:t>
      </w:r>
      <w:r>
        <w:rPr>
          <w:rFonts w:ascii="宋体" w:hAnsi="宋体" w:hint="eastAsia"/>
          <w:sz w:val="24"/>
        </w:rPr>
        <w:t>个月</w:t>
      </w:r>
    </w:p>
    <w:p w14:paraId="05AB01E7" w14:textId="77777777" w:rsidR="00E82AF4" w:rsidRDefault="005B2E6A">
      <w:pPr>
        <w:pStyle w:val="HD0"/>
        <w:adjustRightInd w:val="0"/>
        <w:ind w:firstLine="480"/>
        <w:rPr>
          <w:rFonts w:ascii="宋体" w:hAnsi="宋体"/>
          <w:sz w:val="24"/>
        </w:rPr>
      </w:pPr>
      <w:r>
        <w:rPr>
          <w:rFonts w:ascii="宋体" w:hAnsi="宋体" w:hint="eastAsia"/>
          <w:sz w:val="24"/>
        </w:rPr>
        <w:lastRenderedPageBreak/>
        <w:t>3</w:t>
      </w:r>
      <w:r>
        <w:rPr>
          <w:rFonts w:ascii="宋体" w:hAnsi="宋体"/>
          <w:sz w:val="24"/>
        </w:rPr>
        <w:t>8</w:t>
      </w:r>
      <w:r>
        <w:rPr>
          <w:rFonts w:ascii="宋体" w:hAnsi="宋体" w:hint="eastAsia"/>
          <w:sz w:val="24"/>
        </w:rPr>
        <w:t>、存续期：指基金合同生效至终止之间的不定期期限</w:t>
      </w:r>
    </w:p>
    <w:p w14:paraId="35F41542" w14:textId="77777777" w:rsidR="00E82AF4" w:rsidRDefault="005B2E6A">
      <w:pPr>
        <w:pStyle w:val="HD0"/>
        <w:adjustRightInd w:val="0"/>
        <w:ind w:firstLine="480"/>
        <w:rPr>
          <w:rFonts w:ascii="宋体" w:hAnsi="宋体"/>
          <w:sz w:val="24"/>
        </w:rPr>
      </w:pPr>
      <w:r>
        <w:rPr>
          <w:rFonts w:ascii="宋体" w:hAnsi="宋体"/>
          <w:sz w:val="24"/>
          <w:szCs w:val="24"/>
        </w:rPr>
        <w:t>39</w:t>
      </w:r>
      <w:r>
        <w:rPr>
          <w:rFonts w:ascii="宋体" w:hAnsi="宋体" w:hint="eastAsia"/>
          <w:sz w:val="24"/>
        </w:rPr>
        <w:t>、工作日：指上海证券交易所、深圳证券交易所的正常交易日</w:t>
      </w:r>
    </w:p>
    <w:p w14:paraId="35C9916E" w14:textId="77777777" w:rsidR="00E82AF4" w:rsidRDefault="005B2E6A">
      <w:pPr>
        <w:pStyle w:val="HD0"/>
        <w:adjustRightInd w:val="0"/>
        <w:ind w:firstLine="480"/>
        <w:rPr>
          <w:rFonts w:ascii="宋体" w:hAnsi="宋体"/>
          <w:sz w:val="24"/>
        </w:rPr>
      </w:pPr>
      <w:r>
        <w:rPr>
          <w:rFonts w:ascii="宋体" w:hAnsi="宋体"/>
          <w:sz w:val="24"/>
          <w:szCs w:val="24"/>
        </w:rPr>
        <w:t>40</w:t>
      </w:r>
      <w:r>
        <w:rPr>
          <w:rFonts w:ascii="宋体" w:hAnsi="宋体" w:hint="eastAsia"/>
          <w:sz w:val="24"/>
        </w:rPr>
        <w:t>、T日：指销售机构在规定时间受理投资人申购、赎回或其他业务申请的开放日</w:t>
      </w:r>
    </w:p>
    <w:p w14:paraId="5134D497" w14:textId="77777777" w:rsidR="00E82AF4" w:rsidRDefault="005B2E6A">
      <w:pPr>
        <w:pStyle w:val="HD0"/>
        <w:adjustRightInd w:val="0"/>
        <w:ind w:firstLine="480"/>
        <w:rPr>
          <w:rFonts w:ascii="宋体" w:hAnsi="宋体"/>
          <w:sz w:val="24"/>
        </w:rPr>
      </w:pPr>
      <w:r>
        <w:rPr>
          <w:rFonts w:ascii="宋体" w:hAnsi="宋体"/>
          <w:sz w:val="24"/>
          <w:szCs w:val="24"/>
        </w:rPr>
        <w:t>41</w:t>
      </w:r>
      <w:r>
        <w:rPr>
          <w:rFonts w:ascii="宋体" w:hAnsi="宋体" w:hint="eastAsia"/>
          <w:sz w:val="24"/>
        </w:rPr>
        <w:t>、T+n日：指自T日起第n个工作日</w:t>
      </w:r>
      <w:r>
        <w:rPr>
          <w:rFonts w:ascii="宋体" w:hAnsi="宋体"/>
          <w:bCs/>
          <w:sz w:val="24"/>
          <w:szCs w:val="24"/>
        </w:rPr>
        <w:t>（</w:t>
      </w:r>
      <w:r>
        <w:rPr>
          <w:rFonts w:ascii="宋体" w:hAnsi="宋体" w:hint="eastAsia"/>
          <w:sz w:val="24"/>
        </w:rPr>
        <w:t>不包含T日</w:t>
      </w:r>
      <w:r>
        <w:rPr>
          <w:rFonts w:ascii="宋体" w:hAnsi="宋体"/>
          <w:bCs/>
          <w:sz w:val="24"/>
          <w:szCs w:val="24"/>
        </w:rPr>
        <w:t>）</w:t>
      </w:r>
      <w:r>
        <w:rPr>
          <w:rFonts w:ascii="宋体" w:hAnsi="宋体" w:hint="eastAsia"/>
          <w:bCs/>
          <w:sz w:val="24"/>
          <w:szCs w:val="24"/>
        </w:rPr>
        <w:t>，</w:t>
      </w:r>
      <w:r>
        <w:rPr>
          <w:rFonts w:ascii="宋体" w:hAnsi="宋体"/>
          <w:bCs/>
          <w:sz w:val="24"/>
          <w:szCs w:val="24"/>
        </w:rPr>
        <w:t>n</w:t>
      </w:r>
      <w:r>
        <w:rPr>
          <w:rFonts w:ascii="宋体" w:hAnsi="宋体" w:hint="eastAsia"/>
          <w:bCs/>
          <w:sz w:val="24"/>
          <w:szCs w:val="24"/>
        </w:rPr>
        <w:t>为自然数</w:t>
      </w:r>
    </w:p>
    <w:p w14:paraId="375BB3A2" w14:textId="77777777" w:rsidR="00E82AF4" w:rsidRDefault="005B2E6A">
      <w:pPr>
        <w:pStyle w:val="HD0"/>
        <w:adjustRightInd w:val="0"/>
        <w:ind w:firstLine="480"/>
        <w:rPr>
          <w:rFonts w:ascii="宋体" w:hAnsi="宋体"/>
          <w:sz w:val="24"/>
        </w:rPr>
      </w:pPr>
      <w:r>
        <w:rPr>
          <w:rFonts w:ascii="宋体" w:hAnsi="宋体"/>
          <w:sz w:val="24"/>
          <w:szCs w:val="24"/>
        </w:rPr>
        <w:t>42</w:t>
      </w:r>
      <w:r>
        <w:rPr>
          <w:rFonts w:ascii="宋体" w:hAnsi="宋体" w:hint="eastAsia"/>
          <w:sz w:val="24"/>
        </w:rPr>
        <w:t>、开放日：指为投资人办理基金份额申购、赎回或其他业务的工作日</w:t>
      </w:r>
    </w:p>
    <w:p w14:paraId="0CD3C819" w14:textId="77777777" w:rsidR="00E82AF4" w:rsidRDefault="005B2E6A">
      <w:pPr>
        <w:pStyle w:val="HD0"/>
        <w:adjustRightInd w:val="0"/>
        <w:ind w:firstLine="480"/>
        <w:rPr>
          <w:rFonts w:ascii="宋体" w:hAnsi="宋体"/>
          <w:sz w:val="24"/>
        </w:rPr>
      </w:pPr>
      <w:r>
        <w:rPr>
          <w:rFonts w:ascii="宋体" w:hAnsi="宋体"/>
          <w:sz w:val="24"/>
          <w:szCs w:val="24"/>
        </w:rPr>
        <w:t>43</w:t>
      </w:r>
      <w:r>
        <w:rPr>
          <w:rFonts w:ascii="宋体" w:hAnsi="宋体" w:hint="eastAsia"/>
          <w:sz w:val="24"/>
        </w:rPr>
        <w:t>、开放时间：指开放日基金接受申购、赎回或其他交易的时间段</w:t>
      </w:r>
    </w:p>
    <w:p w14:paraId="54EA0957" w14:textId="77777777" w:rsidR="00E82AF4" w:rsidRDefault="005B2E6A">
      <w:pPr>
        <w:pStyle w:val="HD0"/>
        <w:adjustRightInd w:val="0"/>
        <w:ind w:firstLine="480"/>
        <w:rPr>
          <w:rFonts w:ascii="宋体" w:hAnsi="宋体"/>
          <w:sz w:val="24"/>
        </w:rPr>
      </w:pPr>
      <w:r>
        <w:rPr>
          <w:rFonts w:ascii="宋体" w:hAnsi="宋体" w:hint="eastAsia"/>
          <w:sz w:val="24"/>
          <w:szCs w:val="24"/>
        </w:rPr>
        <w:t>4</w:t>
      </w:r>
      <w:r>
        <w:rPr>
          <w:rFonts w:ascii="宋体" w:hAnsi="宋体"/>
          <w:sz w:val="24"/>
          <w:szCs w:val="24"/>
        </w:rPr>
        <w:t>4</w:t>
      </w:r>
      <w:r>
        <w:rPr>
          <w:rFonts w:ascii="宋体" w:hAnsi="宋体" w:hint="eastAsia"/>
          <w:sz w:val="24"/>
        </w:rPr>
        <w:t>、《业务规则》或业务规则：指</w:t>
      </w:r>
      <w:r>
        <w:rPr>
          <w:rFonts w:ascii="宋体" w:hAnsi="宋体" w:hint="eastAsia"/>
          <w:sz w:val="24"/>
          <w:szCs w:val="24"/>
        </w:rPr>
        <w:t>银华</w:t>
      </w:r>
      <w:r>
        <w:rPr>
          <w:rFonts w:ascii="宋体" w:hAnsi="宋体" w:hint="eastAsia"/>
          <w:sz w:val="24"/>
        </w:rPr>
        <w:t>基金管理</w:t>
      </w:r>
      <w:r>
        <w:rPr>
          <w:rFonts w:ascii="宋体" w:hAnsi="宋体" w:hint="eastAsia"/>
          <w:sz w:val="24"/>
          <w:szCs w:val="24"/>
        </w:rPr>
        <w:t>股份有限公司、深圳证券交易所和中国证券</w:t>
      </w:r>
      <w:r>
        <w:rPr>
          <w:rFonts w:ascii="宋体" w:hAnsi="宋体" w:hint="eastAsia"/>
          <w:sz w:val="24"/>
        </w:rPr>
        <w:t>登记</w:t>
      </w:r>
      <w:r>
        <w:rPr>
          <w:rFonts w:ascii="宋体" w:hAnsi="宋体" w:hint="eastAsia"/>
          <w:sz w:val="24"/>
          <w:szCs w:val="24"/>
        </w:rPr>
        <w:t>结算有限责任公司及销售机构的相关业务规则及后续修订</w:t>
      </w:r>
      <w:r>
        <w:rPr>
          <w:rFonts w:ascii="宋体" w:hAnsi="宋体" w:hint="eastAsia"/>
          <w:sz w:val="24"/>
        </w:rPr>
        <w:t>的业务规则</w:t>
      </w:r>
    </w:p>
    <w:p w14:paraId="298A9250" w14:textId="360C6109"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4</w:t>
      </w:r>
      <w:r>
        <w:rPr>
          <w:rFonts w:ascii="宋体" w:hAnsi="宋体"/>
          <w:sz w:val="24"/>
          <w:szCs w:val="24"/>
        </w:rPr>
        <w:t>5</w:t>
      </w:r>
      <w:r>
        <w:rPr>
          <w:rFonts w:ascii="宋体" w:hAnsi="宋体" w:hint="eastAsia"/>
          <w:sz w:val="24"/>
        </w:rPr>
        <w:t>、认购：指在基金募集期内，投资人</w:t>
      </w:r>
      <w:r>
        <w:rPr>
          <w:rFonts w:ascii="宋体" w:hAnsi="宋体" w:hint="eastAsia"/>
          <w:bCs/>
          <w:sz w:val="24"/>
          <w:szCs w:val="24"/>
        </w:rPr>
        <w:t>根据基金合同和招募说明书的规定</w:t>
      </w:r>
      <w:r>
        <w:rPr>
          <w:rFonts w:ascii="宋体" w:hAnsi="宋体"/>
          <w:bCs/>
          <w:sz w:val="24"/>
          <w:szCs w:val="24"/>
        </w:rPr>
        <w:t>申请购买</w:t>
      </w:r>
      <w:r>
        <w:rPr>
          <w:rFonts w:ascii="宋体" w:hAnsi="宋体" w:hint="eastAsia"/>
          <w:bCs/>
          <w:sz w:val="24"/>
          <w:szCs w:val="24"/>
        </w:rPr>
        <w:t>本基金</w:t>
      </w:r>
      <w:r>
        <w:rPr>
          <w:rFonts w:ascii="宋体" w:hAnsi="宋体" w:hint="eastAsia"/>
          <w:sz w:val="24"/>
        </w:rPr>
        <w:t>基金份额的行为</w:t>
      </w:r>
    </w:p>
    <w:p w14:paraId="43CD3FDE" w14:textId="77777777" w:rsidR="00E82AF4" w:rsidRDefault="005B2E6A">
      <w:pPr>
        <w:pStyle w:val="HD0"/>
        <w:adjustRightInd w:val="0"/>
        <w:ind w:firstLine="480"/>
        <w:rPr>
          <w:rFonts w:ascii="宋体" w:hAnsi="宋体"/>
          <w:sz w:val="24"/>
        </w:rPr>
      </w:pPr>
      <w:r>
        <w:rPr>
          <w:rFonts w:ascii="宋体" w:hAnsi="宋体" w:hint="eastAsia"/>
          <w:sz w:val="24"/>
          <w:szCs w:val="24"/>
        </w:rPr>
        <w:t>4</w:t>
      </w:r>
      <w:r>
        <w:rPr>
          <w:rFonts w:ascii="宋体" w:hAnsi="宋体"/>
          <w:sz w:val="24"/>
          <w:szCs w:val="24"/>
        </w:rPr>
        <w:t>6</w:t>
      </w:r>
      <w:r>
        <w:rPr>
          <w:rFonts w:ascii="宋体" w:hAnsi="宋体" w:hint="eastAsia"/>
          <w:sz w:val="24"/>
        </w:rPr>
        <w:t>、申购：指基金合同生效后，投资人根据基金合同和招募说明书的规定</w:t>
      </w:r>
      <w:r>
        <w:rPr>
          <w:rFonts w:ascii="宋体" w:hAnsi="宋体" w:hint="eastAsia"/>
          <w:sz w:val="24"/>
          <w:szCs w:val="24"/>
        </w:rPr>
        <w:t>，以申购赎回清单规定的申购对价向基金管理人购买本基金</w:t>
      </w:r>
      <w:r>
        <w:rPr>
          <w:rFonts w:ascii="宋体" w:hAnsi="宋体" w:hint="eastAsia"/>
          <w:sz w:val="24"/>
        </w:rPr>
        <w:t>基金份额的行为</w:t>
      </w:r>
    </w:p>
    <w:p w14:paraId="3D764704" w14:textId="77777777" w:rsidR="00E82AF4" w:rsidRDefault="005B2E6A">
      <w:pPr>
        <w:pStyle w:val="HD0"/>
        <w:adjustRightInd w:val="0"/>
        <w:ind w:firstLine="480"/>
        <w:rPr>
          <w:rFonts w:ascii="宋体" w:hAnsi="宋体"/>
          <w:sz w:val="24"/>
        </w:rPr>
      </w:pPr>
      <w:r>
        <w:rPr>
          <w:rFonts w:ascii="宋体" w:hAnsi="宋体" w:hint="eastAsia"/>
          <w:sz w:val="24"/>
          <w:szCs w:val="24"/>
        </w:rPr>
        <w:t>4</w:t>
      </w:r>
      <w:r>
        <w:rPr>
          <w:rFonts w:ascii="宋体" w:hAnsi="宋体"/>
          <w:sz w:val="24"/>
          <w:szCs w:val="24"/>
        </w:rPr>
        <w:t>7</w:t>
      </w:r>
      <w:r>
        <w:rPr>
          <w:rFonts w:ascii="宋体" w:hAnsi="宋体" w:hint="eastAsia"/>
          <w:sz w:val="24"/>
        </w:rPr>
        <w:t>、赎回：指基金合同生效后，基金份额持有人按基金合同</w:t>
      </w:r>
      <w:r>
        <w:rPr>
          <w:rFonts w:ascii="宋体" w:hAnsi="宋体"/>
          <w:bCs/>
          <w:sz w:val="24"/>
          <w:szCs w:val="24"/>
        </w:rPr>
        <w:t>和招募说明书</w:t>
      </w:r>
      <w:r>
        <w:rPr>
          <w:rFonts w:ascii="宋体" w:hAnsi="宋体" w:hint="eastAsia"/>
          <w:sz w:val="24"/>
        </w:rPr>
        <w:t>规定的条件</w:t>
      </w:r>
      <w:r>
        <w:rPr>
          <w:rFonts w:ascii="宋体" w:hAnsi="宋体" w:cs="Arial" w:hint="eastAsia"/>
          <w:sz w:val="24"/>
          <w:szCs w:val="24"/>
        </w:rPr>
        <w:t>，</w:t>
      </w:r>
      <w:r>
        <w:rPr>
          <w:rFonts w:ascii="宋体" w:hAnsi="宋体" w:hint="eastAsia"/>
          <w:sz w:val="24"/>
        </w:rPr>
        <w:t>要求将基金份额兑换为</w:t>
      </w:r>
      <w:r>
        <w:rPr>
          <w:rFonts w:ascii="宋体" w:hAnsi="宋体" w:cs="Arial" w:hint="eastAsia"/>
          <w:sz w:val="24"/>
          <w:szCs w:val="24"/>
        </w:rPr>
        <w:t>申购赎回清单所规定的赎回对价</w:t>
      </w:r>
      <w:r>
        <w:rPr>
          <w:rFonts w:ascii="宋体" w:hAnsi="宋体" w:hint="eastAsia"/>
          <w:sz w:val="24"/>
        </w:rPr>
        <w:t>的行为</w:t>
      </w:r>
    </w:p>
    <w:p w14:paraId="707A5B35" w14:textId="77777777" w:rsidR="00E82AF4" w:rsidRDefault="005B2E6A">
      <w:pPr>
        <w:pStyle w:val="HD0"/>
        <w:adjustRightInd w:val="0"/>
        <w:ind w:firstLine="480"/>
        <w:rPr>
          <w:rFonts w:ascii="宋体" w:hAnsi="宋体"/>
          <w:sz w:val="24"/>
          <w:szCs w:val="24"/>
        </w:rPr>
      </w:pPr>
      <w:r>
        <w:rPr>
          <w:rFonts w:ascii="宋体" w:hAnsi="宋体" w:hint="eastAsia"/>
          <w:sz w:val="24"/>
          <w:szCs w:val="24"/>
        </w:rPr>
        <w:t>4</w:t>
      </w:r>
      <w:r>
        <w:rPr>
          <w:rFonts w:ascii="宋体" w:hAnsi="宋体"/>
          <w:sz w:val="24"/>
          <w:szCs w:val="24"/>
        </w:rPr>
        <w:t>8</w:t>
      </w:r>
      <w:r>
        <w:rPr>
          <w:rFonts w:ascii="宋体" w:hAnsi="宋体" w:hint="eastAsia"/>
          <w:sz w:val="24"/>
          <w:szCs w:val="24"/>
        </w:rPr>
        <w:t>、申购赎回清单：指由基金管理人编制的用以公告申购对价、赎回对价等信息的文件</w:t>
      </w:r>
    </w:p>
    <w:p w14:paraId="29646655" w14:textId="77777777" w:rsidR="00E82AF4" w:rsidRDefault="005B2E6A">
      <w:pPr>
        <w:pStyle w:val="HD0"/>
        <w:adjustRightInd w:val="0"/>
        <w:ind w:firstLine="480"/>
        <w:rPr>
          <w:rFonts w:ascii="宋体" w:hAnsi="宋体"/>
          <w:sz w:val="24"/>
          <w:szCs w:val="24"/>
        </w:rPr>
      </w:pPr>
      <w:r>
        <w:rPr>
          <w:rFonts w:ascii="宋体" w:hAnsi="宋体"/>
          <w:sz w:val="24"/>
          <w:szCs w:val="24"/>
        </w:rPr>
        <w:t>49</w:t>
      </w:r>
      <w:r>
        <w:rPr>
          <w:rFonts w:ascii="宋体" w:hAnsi="宋体" w:hint="eastAsia"/>
          <w:sz w:val="24"/>
          <w:szCs w:val="24"/>
        </w:rPr>
        <w:t>、申购对价：指投资人申购基金份额时，按基金合同和招募说明书规定应交付的组合证券、现金替代、现金差额及其他对价</w:t>
      </w:r>
    </w:p>
    <w:p w14:paraId="716470EB" w14:textId="77777777" w:rsidR="00E82AF4" w:rsidRDefault="005B2E6A">
      <w:pPr>
        <w:pStyle w:val="HD0"/>
        <w:adjustRightInd w:val="0"/>
        <w:ind w:firstLine="480"/>
        <w:rPr>
          <w:rFonts w:ascii="宋体" w:hAnsi="宋体"/>
          <w:sz w:val="24"/>
          <w:szCs w:val="24"/>
        </w:rPr>
      </w:pPr>
      <w:r>
        <w:rPr>
          <w:rFonts w:ascii="宋体" w:hAnsi="宋体"/>
          <w:sz w:val="24"/>
          <w:szCs w:val="24"/>
        </w:rPr>
        <w:t>50</w:t>
      </w:r>
      <w:r>
        <w:rPr>
          <w:rFonts w:ascii="宋体" w:hAnsi="宋体" w:hint="eastAsia"/>
          <w:sz w:val="24"/>
          <w:szCs w:val="24"/>
        </w:rPr>
        <w:t>、赎回对价</w:t>
      </w:r>
      <w:r>
        <w:rPr>
          <w:rFonts w:ascii="宋体" w:hAnsi="宋体" w:hint="eastAsia"/>
          <w:sz w:val="24"/>
        </w:rPr>
        <w:t>：指基金份额持有人</w:t>
      </w:r>
      <w:r>
        <w:rPr>
          <w:rFonts w:ascii="宋体" w:hAnsi="宋体" w:hint="eastAsia"/>
          <w:sz w:val="24"/>
          <w:szCs w:val="24"/>
        </w:rPr>
        <w:t>赎回基金份额时，</w:t>
      </w:r>
      <w:r>
        <w:rPr>
          <w:rFonts w:ascii="宋体" w:hAnsi="宋体" w:hint="eastAsia"/>
          <w:sz w:val="24"/>
        </w:rPr>
        <w:t>基金管理人</w:t>
      </w:r>
      <w:r>
        <w:rPr>
          <w:rFonts w:ascii="宋体" w:hAnsi="宋体" w:hint="eastAsia"/>
          <w:sz w:val="24"/>
          <w:szCs w:val="24"/>
        </w:rPr>
        <w:t>按</w:t>
      </w:r>
      <w:r>
        <w:rPr>
          <w:rFonts w:ascii="宋体" w:hAnsi="宋体" w:hint="eastAsia"/>
          <w:sz w:val="24"/>
        </w:rPr>
        <w:t>基金</w:t>
      </w:r>
      <w:r>
        <w:rPr>
          <w:rFonts w:ascii="宋体" w:hAnsi="宋体" w:hint="eastAsia"/>
          <w:sz w:val="24"/>
          <w:szCs w:val="24"/>
        </w:rPr>
        <w:t>合同和招募说明书规定应交付给赎回人的组合证券、现金替代、现金差额及其他对价</w:t>
      </w:r>
    </w:p>
    <w:p w14:paraId="499C34BA" w14:textId="13F36E8A" w:rsidR="00E82AF4" w:rsidRDefault="005B2E6A">
      <w:pPr>
        <w:adjustRightInd w:val="0"/>
        <w:snapToGrid w:val="0"/>
        <w:spacing w:line="360" w:lineRule="auto"/>
        <w:ind w:firstLineChars="200" w:firstLine="480"/>
        <w:rPr>
          <w:rFonts w:ascii="宋体" w:hAnsi="宋体" w:cs="Arial"/>
          <w:sz w:val="24"/>
          <w:szCs w:val="24"/>
        </w:rPr>
      </w:pPr>
      <w:r>
        <w:rPr>
          <w:rFonts w:ascii="宋体" w:hAnsi="宋体"/>
          <w:sz w:val="24"/>
          <w:szCs w:val="24"/>
        </w:rPr>
        <w:t>51</w:t>
      </w:r>
      <w:r>
        <w:rPr>
          <w:rFonts w:ascii="宋体" w:hAnsi="宋体" w:hint="eastAsia"/>
          <w:sz w:val="24"/>
          <w:szCs w:val="24"/>
        </w:rPr>
        <w:t>、标</w:t>
      </w:r>
      <w:r>
        <w:rPr>
          <w:rFonts w:ascii="宋体" w:hAnsi="宋体" w:hint="eastAsia"/>
          <w:sz w:val="24"/>
        </w:rPr>
        <w:t>的</w:t>
      </w:r>
      <w:r>
        <w:rPr>
          <w:rFonts w:ascii="宋体" w:hAnsi="宋体" w:hint="eastAsia"/>
          <w:sz w:val="24"/>
          <w:szCs w:val="24"/>
        </w:rPr>
        <w:t>指数：</w:t>
      </w:r>
      <w:r>
        <w:rPr>
          <w:rFonts w:ascii="宋体" w:hAnsi="宋体" w:cs="Arial" w:hint="eastAsia"/>
          <w:sz w:val="24"/>
          <w:szCs w:val="24"/>
        </w:rPr>
        <w:t>指</w:t>
      </w:r>
      <w:r>
        <w:rPr>
          <w:rFonts w:ascii="宋体" w:hAnsi="宋体" w:cs="Arial" w:hint="eastAsia"/>
          <w:bCs/>
          <w:sz w:val="24"/>
          <w:szCs w:val="24"/>
        </w:rPr>
        <w:t>中证指数有限公司</w:t>
      </w:r>
      <w:r>
        <w:rPr>
          <w:rFonts w:ascii="宋体" w:hAnsi="宋体" w:cs="Arial" w:hint="eastAsia"/>
          <w:sz w:val="24"/>
          <w:szCs w:val="24"/>
        </w:rPr>
        <w:t>编制并发布的中证全指红利质量指数</w:t>
      </w:r>
    </w:p>
    <w:p w14:paraId="25841C77" w14:textId="77777777" w:rsidR="00E82AF4" w:rsidRDefault="005B2E6A">
      <w:pPr>
        <w:pStyle w:val="HD0"/>
        <w:adjustRightInd w:val="0"/>
        <w:ind w:firstLine="480"/>
        <w:rPr>
          <w:rFonts w:ascii="宋体" w:hAnsi="宋体"/>
          <w:sz w:val="24"/>
          <w:szCs w:val="24"/>
        </w:rPr>
      </w:pPr>
      <w:r>
        <w:rPr>
          <w:rFonts w:ascii="宋体" w:hAnsi="宋体"/>
          <w:sz w:val="24"/>
          <w:szCs w:val="24"/>
        </w:rPr>
        <w:t>52</w:t>
      </w:r>
      <w:r>
        <w:rPr>
          <w:rFonts w:ascii="宋体" w:hAnsi="宋体" w:hint="eastAsia"/>
          <w:sz w:val="24"/>
          <w:szCs w:val="24"/>
        </w:rPr>
        <w:t>、组合证券：指本</w:t>
      </w:r>
      <w:r>
        <w:rPr>
          <w:rFonts w:ascii="宋体" w:hAnsi="宋体" w:hint="eastAsia"/>
          <w:sz w:val="24"/>
        </w:rPr>
        <w:t>基金</w:t>
      </w:r>
      <w:r>
        <w:rPr>
          <w:rFonts w:ascii="宋体" w:hAnsi="宋体" w:hint="eastAsia"/>
          <w:sz w:val="24"/>
          <w:szCs w:val="24"/>
        </w:rPr>
        <w:t>标的指数所包含的全部或部分证券</w:t>
      </w:r>
    </w:p>
    <w:p w14:paraId="01CD98C7" w14:textId="77777777" w:rsidR="00E82AF4" w:rsidRDefault="005B2E6A">
      <w:pPr>
        <w:pStyle w:val="HD0"/>
        <w:adjustRightInd w:val="0"/>
        <w:ind w:firstLine="480"/>
        <w:rPr>
          <w:rFonts w:ascii="宋体" w:hAnsi="宋体"/>
          <w:sz w:val="24"/>
        </w:rPr>
      </w:pPr>
      <w:r>
        <w:rPr>
          <w:rFonts w:ascii="宋体" w:hAnsi="宋体"/>
          <w:sz w:val="24"/>
          <w:szCs w:val="24"/>
        </w:rPr>
        <w:t>53</w:t>
      </w:r>
      <w:r>
        <w:rPr>
          <w:rFonts w:ascii="宋体" w:hAnsi="宋体" w:hint="eastAsia"/>
          <w:sz w:val="24"/>
          <w:szCs w:val="24"/>
        </w:rPr>
        <w:t>、最小申购赎回单位：指本基金申购</w:t>
      </w:r>
      <w:r>
        <w:rPr>
          <w:rFonts w:ascii="宋体" w:hAnsi="宋体" w:hint="eastAsia"/>
          <w:sz w:val="24"/>
        </w:rPr>
        <w:t>份额</w:t>
      </w:r>
      <w:r>
        <w:rPr>
          <w:rFonts w:ascii="宋体" w:hAnsi="宋体" w:hint="eastAsia"/>
          <w:sz w:val="24"/>
          <w:szCs w:val="24"/>
        </w:rPr>
        <w:t>、赎回份额的最低数量，投资人申购或赎回的基金份额数应</w:t>
      </w:r>
      <w:r>
        <w:rPr>
          <w:rFonts w:ascii="宋体" w:hAnsi="宋体" w:hint="eastAsia"/>
          <w:sz w:val="24"/>
        </w:rPr>
        <w:t>为</w:t>
      </w:r>
      <w:r>
        <w:rPr>
          <w:rFonts w:ascii="宋体" w:hAnsi="宋体" w:hint="eastAsia"/>
          <w:sz w:val="24"/>
          <w:szCs w:val="24"/>
        </w:rPr>
        <w:t>最小申购赎回单位的整数倍</w:t>
      </w:r>
    </w:p>
    <w:p w14:paraId="2E8AB87A" w14:textId="77777777" w:rsidR="00E82AF4" w:rsidRDefault="005B2E6A">
      <w:pPr>
        <w:pStyle w:val="HD0"/>
        <w:adjustRightInd w:val="0"/>
        <w:ind w:firstLine="480"/>
        <w:rPr>
          <w:rFonts w:ascii="宋体" w:hAnsi="宋体"/>
          <w:sz w:val="24"/>
          <w:szCs w:val="24"/>
        </w:rPr>
      </w:pPr>
      <w:r>
        <w:rPr>
          <w:rFonts w:ascii="宋体" w:hAnsi="宋体" w:hint="eastAsia"/>
          <w:sz w:val="24"/>
          <w:szCs w:val="24"/>
        </w:rPr>
        <w:t>5</w:t>
      </w:r>
      <w:r>
        <w:rPr>
          <w:rFonts w:ascii="宋体" w:hAnsi="宋体"/>
          <w:sz w:val="24"/>
          <w:szCs w:val="24"/>
        </w:rPr>
        <w:t>4</w:t>
      </w:r>
      <w:r>
        <w:rPr>
          <w:rFonts w:ascii="宋体" w:hAnsi="宋体" w:hint="eastAsia"/>
          <w:sz w:val="24"/>
          <w:szCs w:val="24"/>
        </w:rPr>
        <w:t>、现金替代：指申购或赎回过程中，投资人按基金合同和招募说明书的规定，用于替代组合证券中部分证券的一定数量的现金</w:t>
      </w:r>
    </w:p>
    <w:p w14:paraId="3568CDA0" w14:textId="77777777" w:rsidR="00E82AF4" w:rsidRDefault="005B2E6A">
      <w:pPr>
        <w:pStyle w:val="HD0"/>
        <w:adjustRightInd w:val="0"/>
        <w:ind w:firstLine="480"/>
        <w:rPr>
          <w:rFonts w:ascii="宋体" w:hAnsi="宋体"/>
          <w:sz w:val="24"/>
          <w:szCs w:val="24"/>
        </w:rPr>
      </w:pPr>
      <w:r>
        <w:rPr>
          <w:rFonts w:ascii="宋体" w:hAnsi="宋体" w:hint="eastAsia"/>
          <w:sz w:val="24"/>
          <w:szCs w:val="24"/>
        </w:rPr>
        <w:t>5</w:t>
      </w:r>
      <w:r>
        <w:rPr>
          <w:rFonts w:ascii="宋体" w:hAnsi="宋体"/>
          <w:sz w:val="24"/>
          <w:szCs w:val="24"/>
        </w:rPr>
        <w:t>5</w:t>
      </w:r>
      <w:r>
        <w:rPr>
          <w:rFonts w:ascii="宋体" w:hAnsi="宋体" w:hint="eastAsia"/>
          <w:sz w:val="24"/>
          <w:szCs w:val="24"/>
        </w:rPr>
        <w:t>、现金差额：指最小申购赎回单位的资产净值与按当日收盘价计算的最小申购赎回单位中的组合证券市值和现金替代之差；投资人申购或赎回时应支付或</w:t>
      </w:r>
      <w:r>
        <w:rPr>
          <w:rFonts w:ascii="宋体" w:hAnsi="宋体" w:hint="eastAsia"/>
          <w:sz w:val="24"/>
          <w:szCs w:val="24"/>
        </w:rPr>
        <w:lastRenderedPageBreak/>
        <w:t>应获得的现金差额根据最小申购赎回单位对应的现金差额、申购或赎回的基金份额数计算</w:t>
      </w:r>
    </w:p>
    <w:p w14:paraId="2CF84AEE" w14:textId="77777777" w:rsidR="00E82AF4" w:rsidRDefault="005B2E6A">
      <w:pPr>
        <w:pStyle w:val="HD0"/>
        <w:adjustRightInd w:val="0"/>
        <w:ind w:firstLine="480"/>
        <w:rPr>
          <w:rFonts w:ascii="宋体" w:hAnsi="宋体"/>
          <w:sz w:val="24"/>
          <w:szCs w:val="24"/>
        </w:rPr>
      </w:pPr>
      <w:r>
        <w:rPr>
          <w:rFonts w:ascii="宋体" w:hAnsi="宋体" w:hint="eastAsia"/>
          <w:sz w:val="24"/>
          <w:szCs w:val="24"/>
        </w:rPr>
        <w:t>5</w:t>
      </w:r>
      <w:r>
        <w:rPr>
          <w:rFonts w:ascii="宋体" w:hAnsi="宋体"/>
          <w:sz w:val="24"/>
          <w:szCs w:val="24"/>
        </w:rPr>
        <w:t>6</w:t>
      </w:r>
      <w:r>
        <w:rPr>
          <w:rFonts w:ascii="宋体" w:hAnsi="宋体" w:hint="eastAsia"/>
          <w:sz w:val="24"/>
          <w:szCs w:val="24"/>
        </w:rPr>
        <w:t>、预估现金差额：指由基金管理人估计并在T日申购赎回清单中公布的当日现金差额的估计值，预估现金差额由申购赎回代理券商预先冻结</w:t>
      </w:r>
    </w:p>
    <w:p w14:paraId="6C269B37" w14:textId="77777777" w:rsidR="00E82AF4" w:rsidRDefault="005B2E6A">
      <w:pPr>
        <w:pStyle w:val="HD0"/>
        <w:adjustRightInd w:val="0"/>
        <w:ind w:firstLine="480"/>
        <w:rPr>
          <w:rFonts w:ascii="宋体" w:hAnsi="宋体"/>
          <w:sz w:val="24"/>
        </w:rPr>
      </w:pPr>
      <w:r>
        <w:rPr>
          <w:rFonts w:ascii="宋体" w:hAnsi="宋体" w:hint="eastAsia"/>
          <w:sz w:val="24"/>
          <w:szCs w:val="24"/>
        </w:rPr>
        <w:t>5</w:t>
      </w:r>
      <w:r>
        <w:rPr>
          <w:rFonts w:ascii="宋体" w:hAnsi="宋体"/>
          <w:sz w:val="24"/>
          <w:szCs w:val="24"/>
        </w:rPr>
        <w:t>7</w:t>
      </w:r>
      <w:r>
        <w:rPr>
          <w:rFonts w:ascii="宋体" w:hAnsi="宋体" w:hint="eastAsia"/>
          <w:sz w:val="24"/>
        </w:rPr>
        <w:t>、元：指人民币元</w:t>
      </w:r>
    </w:p>
    <w:p w14:paraId="49E3E445" w14:textId="77777777" w:rsidR="00E82AF4" w:rsidRDefault="005B2E6A">
      <w:pPr>
        <w:pStyle w:val="HD0"/>
        <w:adjustRightInd w:val="0"/>
        <w:ind w:firstLine="480"/>
        <w:rPr>
          <w:rFonts w:ascii="宋体" w:hAnsi="宋体"/>
          <w:sz w:val="24"/>
        </w:rPr>
      </w:pPr>
      <w:r>
        <w:rPr>
          <w:rFonts w:ascii="宋体" w:hAnsi="宋体" w:hint="eastAsia"/>
          <w:sz w:val="24"/>
        </w:rPr>
        <w:t>5</w:t>
      </w:r>
      <w:r>
        <w:rPr>
          <w:rFonts w:ascii="宋体" w:hAnsi="宋体"/>
          <w:sz w:val="24"/>
        </w:rPr>
        <w:t>8</w:t>
      </w:r>
      <w:r>
        <w:rPr>
          <w:rFonts w:ascii="宋体" w:hAnsi="宋体" w:hint="eastAsia"/>
          <w:sz w:val="24"/>
        </w:rPr>
        <w:t>、基金</w:t>
      </w:r>
      <w:r>
        <w:rPr>
          <w:rFonts w:ascii="宋体" w:hAnsi="宋体" w:hint="eastAsia"/>
          <w:sz w:val="24"/>
          <w:szCs w:val="24"/>
        </w:rPr>
        <w:t>利润</w:t>
      </w:r>
      <w:r>
        <w:rPr>
          <w:rFonts w:ascii="宋体" w:hAnsi="宋体" w:hint="eastAsia"/>
          <w:sz w:val="24"/>
        </w:rPr>
        <w:t>：指基金</w:t>
      </w:r>
      <w:r>
        <w:rPr>
          <w:rFonts w:ascii="宋体" w:hAnsi="宋体" w:hint="eastAsia"/>
          <w:sz w:val="24"/>
          <w:szCs w:val="24"/>
        </w:rPr>
        <w:t>利息收入、</w:t>
      </w:r>
      <w:r>
        <w:rPr>
          <w:rFonts w:ascii="宋体" w:hAnsi="宋体" w:hint="eastAsia"/>
          <w:sz w:val="24"/>
        </w:rPr>
        <w:t>投资</w:t>
      </w:r>
      <w:r>
        <w:rPr>
          <w:rFonts w:ascii="宋体" w:hAnsi="宋体" w:hint="eastAsia"/>
          <w:sz w:val="24"/>
          <w:szCs w:val="24"/>
        </w:rPr>
        <w:t>收益、公允价值变动收益和</w:t>
      </w:r>
      <w:r>
        <w:rPr>
          <w:rFonts w:ascii="宋体" w:hAnsi="宋体" w:hint="eastAsia"/>
          <w:sz w:val="24"/>
        </w:rPr>
        <w:t>其他收入</w:t>
      </w:r>
      <w:r>
        <w:rPr>
          <w:rFonts w:ascii="宋体" w:hAnsi="宋体" w:hint="eastAsia"/>
          <w:sz w:val="24"/>
          <w:szCs w:val="24"/>
        </w:rPr>
        <w:t>扣除相关</w:t>
      </w:r>
      <w:r>
        <w:rPr>
          <w:rFonts w:ascii="宋体" w:hAnsi="宋体" w:hint="eastAsia"/>
          <w:sz w:val="24"/>
        </w:rPr>
        <w:t>费用</w:t>
      </w:r>
      <w:r>
        <w:rPr>
          <w:rFonts w:ascii="宋体" w:hAnsi="宋体" w:hint="eastAsia"/>
          <w:sz w:val="24"/>
          <w:szCs w:val="24"/>
        </w:rPr>
        <w:t>后</w:t>
      </w:r>
      <w:r>
        <w:rPr>
          <w:rFonts w:ascii="宋体" w:hAnsi="宋体" w:hint="eastAsia"/>
          <w:sz w:val="24"/>
        </w:rPr>
        <w:t>的</w:t>
      </w:r>
      <w:r>
        <w:rPr>
          <w:rFonts w:ascii="宋体" w:hAnsi="宋体" w:hint="eastAsia"/>
          <w:sz w:val="24"/>
          <w:szCs w:val="24"/>
        </w:rPr>
        <w:t>余额</w:t>
      </w:r>
    </w:p>
    <w:p w14:paraId="013C1E93" w14:textId="77777777" w:rsidR="00E82AF4" w:rsidRDefault="005B2E6A">
      <w:pPr>
        <w:pStyle w:val="HD0"/>
        <w:adjustRightInd w:val="0"/>
        <w:ind w:firstLine="480"/>
        <w:rPr>
          <w:rFonts w:ascii="宋体" w:hAnsi="宋体"/>
          <w:sz w:val="24"/>
        </w:rPr>
      </w:pPr>
      <w:r>
        <w:rPr>
          <w:rFonts w:ascii="宋体" w:hAnsi="宋体"/>
          <w:sz w:val="24"/>
          <w:szCs w:val="24"/>
        </w:rPr>
        <w:t>59</w:t>
      </w:r>
      <w:r>
        <w:rPr>
          <w:rFonts w:ascii="宋体" w:hAnsi="宋体" w:hint="eastAsia"/>
          <w:sz w:val="24"/>
        </w:rPr>
        <w:t>、基金资产总值：指</w:t>
      </w:r>
      <w:r>
        <w:rPr>
          <w:rFonts w:ascii="宋体" w:hAnsi="宋体"/>
          <w:bCs/>
          <w:sz w:val="24"/>
          <w:szCs w:val="24"/>
        </w:rPr>
        <w:t>基金拥有的各类有价证券、银行存款本息、基金应收</w:t>
      </w:r>
      <w:r>
        <w:rPr>
          <w:rFonts w:ascii="宋体" w:hAnsi="宋体" w:hint="eastAsia"/>
          <w:bCs/>
          <w:sz w:val="24"/>
          <w:szCs w:val="24"/>
        </w:rPr>
        <w:t>款项</w:t>
      </w:r>
      <w:r>
        <w:rPr>
          <w:rFonts w:ascii="宋体" w:hAnsi="宋体"/>
          <w:bCs/>
          <w:sz w:val="24"/>
          <w:szCs w:val="24"/>
        </w:rPr>
        <w:t>及其他资产的价值总和</w:t>
      </w:r>
    </w:p>
    <w:p w14:paraId="478B9C66" w14:textId="77777777" w:rsidR="00E82AF4" w:rsidRDefault="005B2E6A">
      <w:pPr>
        <w:pStyle w:val="HD0"/>
        <w:adjustRightInd w:val="0"/>
        <w:ind w:firstLine="480"/>
        <w:rPr>
          <w:rFonts w:ascii="宋体" w:hAnsi="宋体"/>
          <w:sz w:val="24"/>
        </w:rPr>
      </w:pPr>
      <w:r>
        <w:rPr>
          <w:rFonts w:ascii="宋体" w:hAnsi="宋体"/>
          <w:sz w:val="24"/>
          <w:szCs w:val="24"/>
        </w:rPr>
        <w:t>60</w:t>
      </w:r>
      <w:r>
        <w:rPr>
          <w:rFonts w:ascii="宋体" w:hAnsi="宋体" w:hint="eastAsia"/>
          <w:sz w:val="24"/>
        </w:rPr>
        <w:t>、基金资产净值：指基金资产总值减去基金负债后的价值</w:t>
      </w:r>
    </w:p>
    <w:p w14:paraId="626FEEF6" w14:textId="77777777" w:rsidR="00E82AF4" w:rsidRDefault="005B2E6A">
      <w:pPr>
        <w:pStyle w:val="HD0"/>
        <w:adjustRightInd w:val="0"/>
        <w:ind w:firstLine="480"/>
        <w:rPr>
          <w:rFonts w:ascii="宋体" w:hAnsi="宋体"/>
          <w:sz w:val="24"/>
        </w:rPr>
      </w:pPr>
      <w:r>
        <w:rPr>
          <w:rFonts w:ascii="宋体" w:hAnsi="宋体"/>
          <w:sz w:val="24"/>
          <w:szCs w:val="24"/>
        </w:rPr>
        <w:t>61</w:t>
      </w:r>
      <w:r>
        <w:rPr>
          <w:rFonts w:ascii="宋体" w:hAnsi="宋体" w:hint="eastAsia"/>
          <w:sz w:val="24"/>
        </w:rPr>
        <w:t>、基金份额净值：指计算日基金资产净值除以计算日基金份额总数所得价值</w:t>
      </w:r>
    </w:p>
    <w:p w14:paraId="4F30CEF9" w14:textId="77777777" w:rsidR="00E82AF4" w:rsidRDefault="005B2E6A">
      <w:pPr>
        <w:pStyle w:val="HD0"/>
        <w:adjustRightInd w:val="0"/>
        <w:ind w:firstLine="480"/>
        <w:rPr>
          <w:rFonts w:ascii="宋体" w:hAnsi="宋体"/>
          <w:sz w:val="24"/>
        </w:rPr>
      </w:pPr>
      <w:r>
        <w:rPr>
          <w:rFonts w:ascii="宋体" w:hAnsi="宋体"/>
          <w:sz w:val="24"/>
          <w:szCs w:val="24"/>
        </w:rPr>
        <w:t>62</w:t>
      </w:r>
      <w:r>
        <w:rPr>
          <w:rFonts w:ascii="宋体" w:hAnsi="宋体" w:hint="eastAsia"/>
          <w:sz w:val="24"/>
        </w:rPr>
        <w:t>、基金资产估值：指计算评估基金资产和负债的价值，以确定基金资产净值和基金份额净值的过程</w:t>
      </w:r>
    </w:p>
    <w:p w14:paraId="4A762BD6" w14:textId="77777777" w:rsidR="00E82AF4" w:rsidRDefault="005B2E6A">
      <w:pPr>
        <w:pStyle w:val="HD0"/>
        <w:adjustRightInd w:val="0"/>
        <w:ind w:firstLine="480"/>
        <w:rPr>
          <w:rFonts w:ascii="宋体" w:hAnsi="宋体"/>
          <w:sz w:val="24"/>
          <w:szCs w:val="24"/>
        </w:rPr>
      </w:pPr>
      <w:r>
        <w:rPr>
          <w:rFonts w:ascii="宋体" w:hAnsi="宋体"/>
          <w:sz w:val="24"/>
          <w:szCs w:val="24"/>
        </w:rPr>
        <w:t>63</w:t>
      </w:r>
      <w:r>
        <w:rPr>
          <w:rFonts w:ascii="宋体" w:hAnsi="宋体" w:hint="eastAsia"/>
          <w:sz w:val="24"/>
          <w:szCs w:val="24"/>
        </w:rPr>
        <w:t>、基金份额参考净值：指基金管理人或者基金管理人委托其他机构根据申购赎回清单和组合证券内各只证券的实时成交数据计算并由深圳证券交易所在交易时间内发布的基金份额参考净值，简称IOPV</w:t>
      </w:r>
    </w:p>
    <w:p w14:paraId="00CDCCAA" w14:textId="77777777" w:rsidR="00E82AF4" w:rsidRDefault="005B2E6A">
      <w:pPr>
        <w:pStyle w:val="HD0"/>
        <w:adjustRightInd w:val="0"/>
        <w:ind w:firstLine="480"/>
        <w:rPr>
          <w:rFonts w:ascii="宋体" w:hAnsi="宋体"/>
          <w:bCs/>
          <w:sz w:val="24"/>
          <w:szCs w:val="24"/>
        </w:rPr>
      </w:pPr>
      <w:r>
        <w:rPr>
          <w:rFonts w:ascii="宋体" w:hAnsi="宋体"/>
          <w:bCs/>
          <w:sz w:val="24"/>
          <w:szCs w:val="24"/>
        </w:rPr>
        <w:t>64</w:t>
      </w:r>
      <w:r>
        <w:rPr>
          <w:rFonts w:ascii="宋体" w:hAnsi="宋体" w:hint="eastAsia"/>
          <w:bCs/>
          <w:sz w:val="24"/>
          <w:szCs w:val="24"/>
        </w:rPr>
        <w:t>、基金份额折算：指基金管理人根据基金运作的需要，在基金资产净值不变的前提下，按照一定比例调整基金份额总额及基金份额净值，并由登记机构进行基金份额变更登记的行为</w:t>
      </w:r>
    </w:p>
    <w:p w14:paraId="5BAA3DE6" w14:textId="77777777" w:rsidR="00E82AF4" w:rsidRDefault="005B2E6A">
      <w:pPr>
        <w:pStyle w:val="HD0"/>
        <w:adjustRightInd w:val="0"/>
        <w:ind w:firstLine="480"/>
        <w:rPr>
          <w:rFonts w:ascii="宋体" w:hAnsi="宋体"/>
          <w:sz w:val="24"/>
          <w:szCs w:val="24"/>
        </w:rPr>
      </w:pPr>
      <w:r>
        <w:rPr>
          <w:bCs/>
          <w:sz w:val="24"/>
        </w:rPr>
        <w:t>65</w:t>
      </w:r>
      <w:r>
        <w:rPr>
          <w:rFonts w:hint="eastAsia"/>
          <w:bCs/>
          <w:sz w:val="24"/>
        </w:rPr>
        <w:t>、收益评价日：指基金管理人计算本基金基金份额净值增长率与标的指数同期增长率差额之日</w:t>
      </w:r>
    </w:p>
    <w:p w14:paraId="4B49AD40"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6</w:t>
      </w:r>
      <w:r>
        <w:rPr>
          <w:rFonts w:ascii="宋体" w:hAnsi="宋体"/>
          <w:bCs/>
          <w:sz w:val="24"/>
          <w:szCs w:val="24"/>
        </w:rPr>
        <w:t>6</w:t>
      </w:r>
      <w:r>
        <w:rPr>
          <w:rFonts w:ascii="宋体" w:hAnsi="宋体" w:hint="eastAsia"/>
          <w:bCs/>
          <w:sz w:val="24"/>
          <w:szCs w:val="24"/>
        </w:rPr>
        <w:t>、基金份额净值增长率：指收益评价日基金份额净值与基金上市前一日基金份额净值之比减去</w:t>
      </w:r>
      <w:r>
        <w:rPr>
          <w:rFonts w:ascii="宋体" w:hAnsi="宋体"/>
          <w:bCs/>
          <w:sz w:val="24"/>
          <w:szCs w:val="24"/>
        </w:rPr>
        <w:t>1</w:t>
      </w:r>
      <w:r>
        <w:rPr>
          <w:rFonts w:ascii="宋体" w:hAnsi="宋体" w:hint="eastAsia"/>
          <w:bCs/>
          <w:sz w:val="24"/>
          <w:szCs w:val="24"/>
        </w:rPr>
        <w:t>乘以</w:t>
      </w:r>
      <w:r>
        <w:rPr>
          <w:rFonts w:ascii="宋体" w:hAnsi="宋体"/>
          <w:bCs/>
          <w:sz w:val="24"/>
          <w:szCs w:val="24"/>
        </w:rPr>
        <w:t>100</w:t>
      </w:r>
      <w:r>
        <w:rPr>
          <w:sz w:val="24"/>
        </w:rPr>
        <w:t>%</w:t>
      </w:r>
      <w:r>
        <w:rPr>
          <w:rFonts w:ascii="宋体" w:hAnsi="宋体" w:hint="eastAsia"/>
          <w:bCs/>
          <w:sz w:val="24"/>
          <w:szCs w:val="24"/>
        </w:rPr>
        <w:t>（期间如发生基金份额折算或拆分、合并，则以基金份额折算或拆分、合并日为初始日重新计算）</w:t>
      </w:r>
    </w:p>
    <w:p w14:paraId="7C806E59"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6</w:t>
      </w:r>
      <w:r>
        <w:rPr>
          <w:rFonts w:ascii="宋体" w:hAnsi="宋体"/>
          <w:bCs/>
          <w:sz w:val="24"/>
          <w:szCs w:val="24"/>
        </w:rPr>
        <w:t>7</w:t>
      </w:r>
      <w:r>
        <w:rPr>
          <w:rFonts w:ascii="宋体" w:hAnsi="宋体" w:hint="eastAsia"/>
          <w:bCs/>
          <w:sz w:val="24"/>
          <w:szCs w:val="24"/>
        </w:rPr>
        <w:t>、标的指数同期增长率：指收益评价日标的指数收盘值与基金上市前一日标的指数收盘值之比减去</w:t>
      </w:r>
      <w:r>
        <w:rPr>
          <w:rFonts w:ascii="宋体" w:hAnsi="宋体"/>
          <w:bCs/>
          <w:sz w:val="24"/>
          <w:szCs w:val="24"/>
        </w:rPr>
        <w:t>1</w:t>
      </w:r>
      <w:r>
        <w:rPr>
          <w:rFonts w:ascii="宋体" w:hAnsi="宋体" w:hint="eastAsia"/>
          <w:bCs/>
          <w:sz w:val="24"/>
          <w:szCs w:val="24"/>
        </w:rPr>
        <w:t>乘以</w:t>
      </w:r>
      <w:r>
        <w:rPr>
          <w:rFonts w:ascii="宋体" w:hAnsi="宋体"/>
          <w:bCs/>
          <w:sz w:val="24"/>
          <w:szCs w:val="24"/>
        </w:rPr>
        <w:t>100</w:t>
      </w:r>
      <w:r>
        <w:rPr>
          <w:sz w:val="24"/>
        </w:rPr>
        <w:t>%</w:t>
      </w:r>
      <w:r>
        <w:rPr>
          <w:rFonts w:ascii="宋体" w:hAnsi="宋体" w:hint="eastAsia"/>
          <w:bCs/>
          <w:sz w:val="24"/>
          <w:szCs w:val="24"/>
        </w:rPr>
        <w:t>（期间如发生基金份额折算或拆分、合并，则以基金份额折算或拆分、合并日为初始日重新计算）</w:t>
      </w:r>
    </w:p>
    <w:p w14:paraId="0A51BF0E" w14:textId="77777777" w:rsidR="00E82AF4" w:rsidRDefault="005B2E6A">
      <w:pPr>
        <w:pStyle w:val="HD0"/>
        <w:adjustRightInd w:val="0"/>
        <w:ind w:firstLine="480"/>
        <w:rPr>
          <w:rFonts w:ascii="宋体" w:hAnsi="宋体"/>
          <w:sz w:val="24"/>
          <w:szCs w:val="24"/>
        </w:rPr>
      </w:pPr>
      <w:r>
        <w:rPr>
          <w:rFonts w:ascii="宋体" w:hAnsi="宋体" w:hint="eastAsia"/>
          <w:sz w:val="24"/>
          <w:szCs w:val="24"/>
        </w:rPr>
        <w:t>6</w:t>
      </w:r>
      <w:r>
        <w:rPr>
          <w:rFonts w:ascii="宋体" w:hAnsi="宋体"/>
          <w:sz w:val="24"/>
          <w:szCs w:val="24"/>
        </w:rPr>
        <w:t>8</w:t>
      </w:r>
      <w:r>
        <w:rPr>
          <w:rFonts w:ascii="宋体" w:hAnsi="宋体" w:hint="eastAsia"/>
          <w:sz w:val="24"/>
          <w:szCs w:val="24"/>
        </w:rPr>
        <w:t>、</w:t>
      </w:r>
      <w:bookmarkStart w:id="92" w:name="_Hlk155301617"/>
      <w:r>
        <w:rPr>
          <w:rFonts w:ascii="宋体" w:hAnsi="宋体" w:hint="eastAsia"/>
          <w:sz w:val="24"/>
          <w:szCs w:val="24"/>
        </w:rPr>
        <w:t>转托管：指基金份额持有人在本基金的不同销售机构之间实施的变更所持基金份额销售机构的操作</w:t>
      </w:r>
      <w:bookmarkEnd w:id="92"/>
    </w:p>
    <w:p w14:paraId="1CDF5498" w14:textId="77777777" w:rsidR="00E82AF4" w:rsidRDefault="005B2E6A">
      <w:pPr>
        <w:pStyle w:val="HD0"/>
        <w:adjustRightInd w:val="0"/>
        <w:ind w:firstLine="480"/>
        <w:rPr>
          <w:rFonts w:ascii="宋体" w:hAnsi="宋体"/>
          <w:sz w:val="24"/>
        </w:rPr>
      </w:pPr>
      <w:r>
        <w:rPr>
          <w:rFonts w:ascii="宋体" w:hAnsi="宋体"/>
          <w:sz w:val="24"/>
          <w:szCs w:val="24"/>
        </w:rPr>
        <w:lastRenderedPageBreak/>
        <w:t>69</w:t>
      </w:r>
      <w:r>
        <w:rPr>
          <w:rFonts w:ascii="宋体" w:hAnsi="宋体" w:hint="eastAsia"/>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4CF13816" w14:textId="77777777" w:rsidR="00E82AF4" w:rsidRDefault="005B2E6A">
      <w:pPr>
        <w:pStyle w:val="HD0"/>
        <w:adjustRightInd w:val="0"/>
        <w:ind w:firstLine="480"/>
        <w:rPr>
          <w:rFonts w:ascii="宋体" w:hAnsi="宋体"/>
          <w:sz w:val="24"/>
          <w:szCs w:val="24"/>
        </w:rPr>
      </w:pPr>
      <w:r>
        <w:rPr>
          <w:rFonts w:ascii="宋体" w:hAnsi="宋体" w:hint="eastAsia"/>
          <w:sz w:val="24"/>
          <w:szCs w:val="24"/>
        </w:rPr>
        <w:t>7</w:t>
      </w:r>
      <w:r>
        <w:rPr>
          <w:rFonts w:ascii="宋体" w:hAnsi="宋体"/>
          <w:sz w:val="24"/>
          <w:szCs w:val="24"/>
        </w:rPr>
        <w:t>0</w:t>
      </w:r>
      <w:r>
        <w:rPr>
          <w:rFonts w:ascii="宋体" w:hAnsi="宋体" w:hint="eastAsia"/>
          <w:sz w:val="24"/>
          <w:szCs w:val="24"/>
        </w:rPr>
        <w:t>、转融通证券出借业务：指本基金以一定费率，通过证券交易所综合业务平台向中国证券金融股份有限公司出借证券，中国证券金融股份有限公司到期归还所借证券及相应权益补偿并支付费用的业务</w:t>
      </w:r>
    </w:p>
    <w:p w14:paraId="2025FA00" w14:textId="77777777" w:rsidR="00E82AF4" w:rsidRDefault="005B2E6A">
      <w:pPr>
        <w:pStyle w:val="HD0"/>
        <w:adjustRightInd w:val="0"/>
        <w:ind w:firstLine="480"/>
        <w:rPr>
          <w:rFonts w:ascii="宋体" w:hAnsi="宋体"/>
          <w:sz w:val="24"/>
        </w:rPr>
      </w:pPr>
      <w:r>
        <w:rPr>
          <w:rFonts w:ascii="宋体" w:hAnsi="宋体"/>
          <w:sz w:val="24"/>
        </w:rPr>
        <w:t>71</w:t>
      </w:r>
      <w:r>
        <w:rPr>
          <w:rFonts w:ascii="宋体" w:hAnsi="宋体" w:hint="eastAsia"/>
          <w:sz w:val="24"/>
        </w:rPr>
        <w:t>、规定媒介：指符合中国证监会规定条件的用以进行信息披露的全国性报刊及《信息披露办法》规定的互联网网站（包括基金管理人网站、基金托管人网站、中国证监会基金电子披露网站）等媒介</w:t>
      </w:r>
    </w:p>
    <w:p w14:paraId="6E5F8386" w14:textId="77777777" w:rsidR="00E82AF4" w:rsidRDefault="005B2E6A">
      <w:pPr>
        <w:pStyle w:val="HD0"/>
        <w:adjustRightInd w:val="0"/>
        <w:ind w:firstLine="480"/>
        <w:rPr>
          <w:rFonts w:ascii="宋体" w:hAnsi="宋体"/>
          <w:sz w:val="24"/>
        </w:rPr>
      </w:pPr>
      <w:r>
        <w:rPr>
          <w:rFonts w:ascii="宋体" w:hAnsi="宋体"/>
          <w:sz w:val="24"/>
          <w:szCs w:val="24"/>
        </w:rPr>
        <w:t>72</w:t>
      </w:r>
      <w:r>
        <w:rPr>
          <w:rFonts w:ascii="宋体" w:hAnsi="宋体" w:hint="eastAsia"/>
          <w:sz w:val="24"/>
        </w:rPr>
        <w:t>、不可抗力：指本</w:t>
      </w:r>
      <w:r>
        <w:rPr>
          <w:rFonts w:ascii="宋体" w:hAnsi="宋体" w:hint="eastAsia"/>
          <w:sz w:val="24"/>
          <w:szCs w:val="24"/>
        </w:rPr>
        <w:t>基金</w:t>
      </w:r>
      <w:r>
        <w:rPr>
          <w:rFonts w:ascii="宋体" w:hAnsi="宋体" w:hint="eastAsia"/>
          <w:sz w:val="24"/>
        </w:rPr>
        <w:t>合同当事人不能预见、不能避免且不能克服的客观事件</w:t>
      </w:r>
    </w:p>
    <w:p w14:paraId="7A1D4FE0" w14:textId="77777777" w:rsidR="00E82AF4" w:rsidRDefault="005B2E6A">
      <w:pPr>
        <w:pStyle w:val="HD0"/>
        <w:adjustRightInd w:val="0"/>
        <w:ind w:firstLine="480"/>
        <w:rPr>
          <w:rFonts w:ascii="宋体" w:hAnsi="宋体"/>
          <w:sz w:val="24"/>
        </w:rPr>
      </w:pPr>
      <w:r>
        <w:rPr>
          <w:rFonts w:ascii="宋体" w:hAnsi="宋体" w:hint="eastAsia"/>
          <w:sz w:val="24"/>
        </w:rPr>
        <w:t>7</w:t>
      </w:r>
      <w:r>
        <w:rPr>
          <w:rFonts w:ascii="宋体" w:hAnsi="宋体"/>
          <w:sz w:val="24"/>
        </w:rPr>
        <w:t>3</w:t>
      </w:r>
      <w:r>
        <w:rPr>
          <w:rFonts w:ascii="宋体" w:hAnsi="宋体" w:hint="eastAsia"/>
          <w:sz w:val="24"/>
        </w:rPr>
        <w:t>、中国：指中华人民共和国</w:t>
      </w:r>
    </w:p>
    <w:p w14:paraId="0522200A" w14:textId="77777777" w:rsidR="00E82AF4" w:rsidRDefault="005B2E6A">
      <w:pPr>
        <w:pStyle w:val="1"/>
        <w:spacing w:before="0" w:after="0"/>
        <w:jc w:val="center"/>
        <w:rPr>
          <w:rFonts w:ascii="Times New Roman"/>
          <w:color w:val="auto"/>
          <w:sz w:val="32"/>
        </w:rPr>
      </w:pPr>
      <w:r>
        <w:br w:type="page"/>
      </w:r>
      <w:bookmarkStart w:id="93" w:name="_Toc20318"/>
      <w:bookmarkStart w:id="94" w:name="_Toc18631"/>
      <w:bookmarkStart w:id="95" w:name="_Toc5246"/>
      <w:bookmarkStart w:id="96" w:name="_Toc20627"/>
      <w:bookmarkStart w:id="97" w:name="_Toc6683"/>
      <w:bookmarkStart w:id="98" w:name="_Toc6149"/>
      <w:bookmarkStart w:id="99" w:name="_Toc733"/>
      <w:bookmarkStart w:id="100" w:name="_Toc13288"/>
      <w:bookmarkStart w:id="101" w:name="_Toc5173"/>
      <w:bookmarkStart w:id="102" w:name="_Toc545"/>
      <w:bookmarkStart w:id="103" w:name="_Toc24571"/>
      <w:bookmarkStart w:id="104" w:name="_Toc32307758"/>
      <w:bookmarkStart w:id="105" w:name="_Toc22708"/>
      <w:bookmarkStart w:id="106" w:name="_Toc233456272"/>
      <w:bookmarkStart w:id="107" w:name="_Toc258829400"/>
      <w:r>
        <w:rPr>
          <w:rFonts w:ascii="Times New Roman" w:hint="eastAsia"/>
          <w:color w:val="auto"/>
          <w:sz w:val="32"/>
        </w:rPr>
        <w:lastRenderedPageBreak/>
        <w:t>第三部分</w:t>
      </w:r>
      <w:r>
        <w:rPr>
          <w:rFonts w:ascii="Times New Roman"/>
          <w:color w:val="auto"/>
          <w:sz w:val="32"/>
        </w:rPr>
        <w:t xml:space="preserve">  </w:t>
      </w:r>
      <w:r>
        <w:rPr>
          <w:rFonts w:ascii="Times New Roman" w:hint="eastAsia"/>
          <w:color w:val="auto"/>
          <w:sz w:val="32"/>
        </w:rPr>
        <w:t>基金的基本情况</w:t>
      </w:r>
      <w:bookmarkStart w:id="108" w:name="_Toc79392573"/>
      <w:bookmarkEnd w:id="93"/>
      <w:bookmarkEnd w:id="94"/>
      <w:bookmarkEnd w:id="95"/>
      <w:bookmarkEnd w:id="96"/>
      <w:bookmarkEnd w:id="97"/>
      <w:bookmarkEnd w:id="98"/>
      <w:bookmarkEnd w:id="99"/>
      <w:bookmarkEnd w:id="100"/>
      <w:bookmarkEnd w:id="101"/>
      <w:bookmarkEnd w:id="102"/>
      <w:bookmarkEnd w:id="103"/>
      <w:bookmarkEnd w:id="104"/>
      <w:bookmarkEnd w:id="105"/>
    </w:p>
    <w:p w14:paraId="57F8ED93" w14:textId="77777777" w:rsidR="00E82AF4" w:rsidRDefault="00E82AF4">
      <w:pPr>
        <w:spacing w:line="360" w:lineRule="auto"/>
        <w:ind w:firstLine="540"/>
        <w:rPr>
          <w:bCs/>
          <w:sz w:val="24"/>
        </w:rPr>
      </w:pPr>
      <w:bookmarkStart w:id="109" w:name="_Hlt88031774"/>
      <w:bookmarkStart w:id="110" w:name="_Hlt88031741"/>
      <w:bookmarkEnd w:id="109"/>
    </w:p>
    <w:bookmarkEnd w:id="110"/>
    <w:p w14:paraId="62756AE5" w14:textId="77777777" w:rsidR="00E82AF4" w:rsidRDefault="005B2E6A">
      <w:pPr>
        <w:pStyle w:val="HD0"/>
        <w:adjustRightInd w:val="0"/>
        <w:ind w:firstLine="480"/>
        <w:rPr>
          <w:rFonts w:ascii="宋体" w:hAnsi="宋体"/>
          <w:sz w:val="24"/>
        </w:rPr>
      </w:pPr>
      <w:r>
        <w:rPr>
          <w:rFonts w:ascii="宋体" w:hAnsi="宋体" w:hint="eastAsia"/>
          <w:sz w:val="24"/>
        </w:rPr>
        <w:t>一、基金名称</w:t>
      </w:r>
      <w:bookmarkEnd w:id="108"/>
    </w:p>
    <w:p w14:paraId="0BA35896" w14:textId="7CE4568E" w:rsidR="00E82AF4" w:rsidRDefault="005B2E6A">
      <w:pPr>
        <w:pStyle w:val="HD0"/>
        <w:adjustRightInd w:val="0"/>
        <w:ind w:firstLine="480"/>
        <w:rPr>
          <w:rFonts w:ascii="宋体" w:hAnsi="宋体"/>
          <w:sz w:val="24"/>
        </w:rPr>
      </w:pPr>
      <w:r>
        <w:rPr>
          <w:rFonts w:ascii="宋体" w:hAnsi="宋体" w:hint="eastAsia"/>
          <w:sz w:val="24"/>
          <w:szCs w:val="24"/>
        </w:rPr>
        <w:t>银华中证全指红利质量交易型开放式指数证券投资基金</w:t>
      </w:r>
    </w:p>
    <w:p w14:paraId="4E60CB56" w14:textId="77777777" w:rsidR="00E82AF4" w:rsidRDefault="005B2E6A">
      <w:pPr>
        <w:pStyle w:val="HD0"/>
        <w:adjustRightInd w:val="0"/>
        <w:ind w:firstLine="480"/>
        <w:rPr>
          <w:rFonts w:ascii="宋体" w:hAnsi="宋体"/>
          <w:sz w:val="24"/>
        </w:rPr>
      </w:pPr>
      <w:bookmarkStart w:id="111" w:name="_Toc79392574"/>
      <w:r>
        <w:rPr>
          <w:rFonts w:ascii="宋体" w:hAnsi="宋体" w:hint="eastAsia"/>
          <w:sz w:val="24"/>
        </w:rPr>
        <w:t>二、基金的类别</w:t>
      </w:r>
      <w:bookmarkEnd w:id="111"/>
    </w:p>
    <w:p w14:paraId="1F8C869B" w14:textId="77777777" w:rsidR="00E82AF4" w:rsidRDefault="005B2E6A">
      <w:pPr>
        <w:pStyle w:val="HD0"/>
        <w:adjustRightInd w:val="0"/>
        <w:ind w:firstLine="480"/>
        <w:rPr>
          <w:rFonts w:ascii="宋体" w:hAnsi="宋体"/>
          <w:sz w:val="24"/>
        </w:rPr>
      </w:pPr>
      <w:r>
        <w:rPr>
          <w:rFonts w:ascii="宋体" w:hAnsi="宋体" w:hint="eastAsia"/>
          <w:sz w:val="24"/>
        </w:rPr>
        <w:t>股票型证券投资基金</w:t>
      </w:r>
    </w:p>
    <w:p w14:paraId="0A306C39" w14:textId="77777777" w:rsidR="00E82AF4" w:rsidRDefault="005B2E6A">
      <w:pPr>
        <w:pStyle w:val="HD0"/>
        <w:adjustRightInd w:val="0"/>
        <w:ind w:firstLine="480"/>
        <w:rPr>
          <w:rFonts w:ascii="宋体" w:hAnsi="宋体"/>
          <w:sz w:val="24"/>
        </w:rPr>
      </w:pPr>
      <w:bookmarkStart w:id="112" w:name="_Toc79392575"/>
      <w:r>
        <w:rPr>
          <w:rFonts w:ascii="宋体" w:hAnsi="宋体" w:hint="eastAsia"/>
          <w:sz w:val="24"/>
        </w:rPr>
        <w:t>三、基金的运作方式</w:t>
      </w:r>
    </w:p>
    <w:p w14:paraId="50623407" w14:textId="77777777" w:rsidR="00E82AF4" w:rsidRDefault="005B2E6A">
      <w:pPr>
        <w:pStyle w:val="HD0"/>
        <w:adjustRightInd w:val="0"/>
        <w:ind w:firstLine="480"/>
        <w:rPr>
          <w:rFonts w:ascii="宋体" w:hAnsi="宋体"/>
          <w:sz w:val="24"/>
        </w:rPr>
      </w:pPr>
      <w:r>
        <w:rPr>
          <w:rFonts w:ascii="宋体" w:hAnsi="宋体" w:hint="eastAsia"/>
          <w:sz w:val="24"/>
          <w:szCs w:val="24"/>
        </w:rPr>
        <w:t>交易型</w:t>
      </w:r>
      <w:r>
        <w:rPr>
          <w:rFonts w:ascii="宋体" w:hAnsi="宋体" w:hint="eastAsia"/>
          <w:sz w:val="24"/>
        </w:rPr>
        <w:t>开放式</w:t>
      </w:r>
    </w:p>
    <w:p w14:paraId="45F89025" w14:textId="77777777" w:rsidR="00E82AF4" w:rsidRDefault="005B2E6A">
      <w:pPr>
        <w:pStyle w:val="HD0"/>
        <w:adjustRightInd w:val="0"/>
        <w:ind w:firstLine="480"/>
        <w:rPr>
          <w:rFonts w:ascii="宋体" w:hAnsi="宋体"/>
          <w:sz w:val="24"/>
        </w:rPr>
      </w:pPr>
      <w:r>
        <w:rPr>
          <w:rFonts w:ascii="宋体" w:hAnsi="宋体" w:hint="eastAsia"/>
          <w:sz w:val="24"/>
        </w:rPr>
        <w:t>四、基金的投资目标</w:t>
      </w:r>
      <w:bookmarkEnd w:id="112"/>
    </w:p>
    <w:p w14:paraId="10C4CCD5" w14:textId="77777777" w:rsidR="00E82AF4" w:rsidRDefault="005B2E6A">
      <w:pPr>
        <w:pStyle w:val="HD0"/>
        <w:adjustRightInd w:val="0"/>
        <w:ind w:firstLine="480"/>
        <w:rPr>
          <w:rFonts w:ascii="宋体" w:hAnsi="宋体"/>
          <w:sz w:val="24"/>
          <w:szCs w:val="24"/>
        </w:rPr>
      </w:pPr>
      <w:r>
        <w:rPr>
          <w:rFonts w:ascii="宋体" w:hAnsi="宋体" w:hint="eastAsia"/>
          <w:sz w:val="24"/>
          <w:szCs w:val="24"/>
        </w:rPr>
        <w:t>本基金采用被动指数化投资，紧密跟踪标的指数，追求跟踪偏离度和跟踪误差最小化</w:t>
      </w:r>
      <w:r>
        <w:rPr>
          <w:rFonts w:ascii="宋体" w:hAnsi="宋体"/>
          <w:sz w:val="24"/>
          <w:szCs w:val="24"/>
        </w:rPr>
        <w:t>。</w:t>
      </w:r>
    </w:p>
    <w:p w14:paraId="0FB6ABB2" w14:textId="77777777" w:rsidR="00E82AF4" w:rsidRDefault="005B2E6A">
      <w:pPr>
        <w:pStyle w:val="HD0"/>
        <w:adjustRightInd w:val="0"/>
        <w:ind w:firstLine="480"/>
        <w:rPr>
          <w:rFonts w:ascii="宋体" w:hAnsi="宋体"/>
          <w:sz w:val="24"/>
        </w:rPr>
      </w:pPr>
      <w:r>
        <w:rPr>
          <w:rFonts w:ascii="宋体" w:hAnsi="宋体" w:hint="eastAsia"/>
          <w:sz w:val="24"/>
        </w:rPr>
        <w:t>五、</w:t>
      </w:r>
      <w:r>
        <w:rPr>
          <w:rFonts w:ascii="宋体" w:hAnsi="宋体" w:hint="eastAsia"/>
          <w:sz w:val="24"/>
          <w:szCs w:val="24"/>
        </w:rPr>
        <w:t>标</w:t>
      </w:r>
      <w:r>
        <w:rPr>
          <w:rFonts w:ascii="宋体" w:hAnsi="宋体" w:hint="eastAsia"/>
          <w:sz w:val="24"/>
        </w:rPr>
        <w:t>的</w:t>
      </w:r>
      <w:r>
        <w:rPr>
          <w:rFonts w:ascii="宋体" w:hAnsi="宋体" w:hint="eastAsia"/>
          <w:sz w:val="24"/>
          <w:szCs w:val="24"/>
        </w:rPr>
        <w:t>指数</w:t>
      </w:r>
    </w:p>
    <w:p w14:paraId="712FCE31" w14:textId="5ED98F27" w:rsidR="00E82AF4" w:rsidRDefault="005B2E6A">
      <w:pPr>
        <w:pStyle w:val="HD0"/>
        <w:adjustRightInd w:val="0"/>
        <w:ind w:firstLine="480"/>
        <w:rPr>
          <w:rFonts w:ascii="宋体" w:hAnsi="宋体"/>
          <w:sz w:val="24"/>
          <w:szCs w:val="24"/>
        </w:rPr>
      </w:pPr>
      <w:r>
        <w:rPr>
          <w:rFonts w:ascii="宋体" w:hAnsi="宋体" w:hint="eastAsia"/>
          <w:sz w:val="24"/>
        </w:rPr>
        <w:t>本基金</w:t>
      </w:r>
      <w:r>
        <w:rPr>
          <w:rFonts w:ascii="宋体" w:hAnsi="宋体" w:hint="eastAsia"/>
          <w:sz w:val="24"/>
          <w:szCs w:val="24"/>
        </w:rPr>
        <w:t>标</w:t>
      </w:r>
      <w:r>
        <w:rPr>
          <w:rFonts w:ascii="宋体" w:hAnsi="宋体" w:hint="eastAsia"/>
          <w:sz w:val="24"/>
        </w:rPr>
        <w:t>的</w:t>
      </w:r>
      <w:r>
        <w:rPr>
          <w:rFonts w:ascii="宋体" w:hAnsi="宋体" w:hint="eastAsia"/>
          <w:sz w:val="24"/>
          <w:szCs w:val="24"/>
        </w:rPr>
        <w:t>指数为中证全指红利质量指数。</w:t>
      </w:r>
    </w:p>
    <w:p w14:paraId="4D2396E3" w14:textId="77777777" w:rsidR="00E82AF4" w:rsidRDefault="005B2E6A">
      <w:pPr>
        <w:pStyle w:val="HD0"/>
        <w:adjustRightInd w:val="0"/>
        <w:ind w:firstLine="480"/>
        <w:rPr>
          <w:rFonts w:ascii="宋体" w:hAnsi="宋体"/>
          <w:sz w:val="24"/>
        </w:rPr>
      </w:pPr>
      <w:bookmarkStart w:id="113" w:name="_Toc79392576"/>
      <w:r>
        <w:rPr>
          <w:rFonts w:ascii="宋体" w:hAnsi="宋体" w:hint="eastAsia"/>
          <w:sz w:val="24"/>
        </w:rPr>
        <w:t>六、基金</w:t>
      </w:r>
      <w:r>
        <w:rPr>
          <w:rFonts w:ascii="宋体" w:hAnsi="宋体"/>
          <w:sz w:val="24"/>
          <w:szCs w:val="24"/>
        </w:rPr>
        <w:t>的最低募集</w:t>
      </w:r>
      <w:r>
        <w:rPr>
          <w:rFonts w:ascii="宋体" w:hAnsi="宋体" w:hint="eastAsia"/>
          <w:sz w:val="24"/>
        </w:rPr>
        <w:t>份额</w:t>
      </w:r>
      <w:r>
        <w:rPr>
          <w:rFonts w:ascii="宋体" w:hAnsi="宋体"/>
          <w:sz w:val="24"/>
          <w:szCs w:val="24"/>
        </w:rPr>
        <w:t>总额</w:t>
      </w:r>
      <w:bookmarkEnd w:id="113"/>
      <w:r>
        <w:rPr>
          <w:rFonts w:ascii="宋体" w:hAnsi="宋体" w:hint="eastAsia"/>
          <w:sz w:val="24"/>
        </w:rPr>
        <w:t>和</w:t>
      </w:r>
      <w:r>
        <w:rPr>
          <w:rFonts w:ascii="宋体" w:hAnsi="宋体" w:hint="eastAsia"/>
          <w:sz w:val="24"/>
          <w:szCs w:val="24"/>
        </w:rPr>
        <w:t>金额</w:t>
      </w:r>
    </w:p>
    <w:p w14:paraId="22D0113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本基金</w:t>
      </w:r>
      <w:r>
        <w:rPr>
          <w:rFonts w:ascii="宋体" w:hAnsi="宋体"/>
          <w:bCs/>
          <w:sz w:val="24"/>
          <w:szCs w:val="24"/>
        </w:rPr>
        <w:t>的最低募集</w:t>
      </w:r>
      <w:r>
        <w:rPr>
          <w:rFonts w:ascii="宋体" w:hAnsi="宋体" w:hint="eastAsia"/>
          <w:sz w:val="24"/>
        </w:rPr>
        <w:t>份额</w:t>
      </w:r>
      <w:r>
        <w:rPr>
          <w:rFonts w:ascii="宋体" w:hAnsi="宋体"/>
          <w:bCs/>
          <w:sz w:val="24"/>
          <w:szCs w:val="24"/>
        </w:rPr>
        <w:t>总额</w:t>
      </w:r>
      <w:r>
        <w:rPr>
          <w:rFonts w:ascii="宋体" w:hAnsi="宋体" w:hint="eastAsia"/>
          <w:sz w:val="24"/>
        </w:rPr>
        <w:t>为</w:t>
      </w:r>
      <w:r>
        <w:rPr>
          <w:rFonts w:ascii="宋体" w:hAnsi="宋体" w:hint="eastAsia"/>
          <w:bCs/>
          <w:sz w:val="24"/>
          <w:szCs w:val="24"/>
        </w:rPr>
        <w:t>2</w:t>
      </w:r>
      <w:r>
        <w:rPr>
          <w:rFonts w:ascii="宋体" w:hAnsi="宋体"/>
          <w:bCs/>
          <w:sz w:val="24"/>
          <w:szCs w:val="24"/>
        </w:rPr>
        <w:t>亿份</w:t>
      </w:r>
      <w:r>
        <w:rPr>
          <w:rFonts w:ascii="宋体" w:hAnsi="宋体" w:hint="eastAsia"/>
          <w:sz w:val="24"/>
        </w:rPr>
        <w:t>。</w:t>
      </w:r>
    </w:p>
    <w:p w14:paraId="7948A26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本基金</w:t>
      </w:r>
      <w:r>
        <w:rPr>
          <w:rFonts w:ascii="宋体" w:hAnsi="宋体"/>
          <w:bCs/>
          <w:sz w:val="24"/>
          <w:szCs w:val="24"/>
        </w:rPr>
        <w:t>的最低募集</w:t>
      </w:r>
      <w:r>
        <w:rPr>
          <w:rFonts w:ascii="宋体" w:hAnsi="宋体" w:hint="eastAsia"/>
          <w:bCs/>
          <w:sz w:val="24"/>
          <w:szCs w:val="24"/>
        </w:rPr>
        <w:t>金</w:t>
      </w:r>
      <w:r>
        <w:rPr>
          <w:rFonts w:ascii="宋体" w:hAnsi="宋体"/>
          <w:bCs/>
          <w:sz w:val="24"/>
          <w:szCs w:val="24"/>
        </w:rPr>
        <w:t>额</w:t>
      </w:r>
      <w:r>
        <w:rPr>
          <w:rFonts w:ascii="宋体" w:hAnsi="宋体" w:hint="eastAsia"/>
          <w:bCs/>
          <w:sz w:val="24"/>
          <w:szCs w:val="24"/>
        </w:rPr>
        <w:t>（含网下股票</w:t>
      </w:r>
      <w:r>
        <w:rPr>
          <w:rFonts w:ascii="宋体" w:hAnsi="宋体" w:hint="eastAsia"/>
          <w:sz w:val="24"/>
        </w:rPr>
        <w:t>认购</w:t>
      </w:r>
      <w:r>
        <w:rPr>
          <w:rFonts w:ascii="宋体" w:hAnsi="宋体" w:hint="eastAsia"/>
          <w:bCs/>
          <w:sz w:val="24"/>
          <w:szCs w:val="24"/>
        </w:rPr>
        <w:t>所募集的股票市值）</w:t>
      </w:r>
      <w:r>
        <w:rPr>
          <w:rFonts w:ascii="宋体" w:hAnsi="宋体"/>
          <w:bCs/>
          <w:sz w:val="24"/>
          <w:szCs w:val="24"/>
        </w:rPr>
        <w:t>为</w:t>
      </w:r>
      <w:r>
        <w:rPr>
          <w:rFonts w:ascii="宋体" w:hAnsi="宋体" w:hint="eastAsia"/>
          <w:bCs/>
          <w:sz w:val="24"/>
          <w:szCs w:val="24"/>
        </w:rPr>
        <w:t>2</w:t>
      </w:r>
      <w:r>
        <w:rPr>
          <w:rFonts w:ascii="宋体" w:hAnsi="宋体"/>
          <w:bCs/>
          <w:sz w:val="24"/>
          <w:szCs w:val="24"/>
        </w:rPr>
        <w:t>亿</w:t>
      </w:r>
      <w:r>
        <w:rPr>
          <w:rFonts w:ascii="宋体" w:hAnsi="宋体" w:hint="eastAsia"/>
          <w:bCs/>
          <w:sz w:val="24"/>
          <w:szCs w:val="24"/>
        </w:rPr>
        <w:t>元人民币</w:t>
      </w:r>
      <w:r>
        <w:rPr>
          <w:rFonts w:ascii="宋体" w:hAnsi="宋体" w:hint="eastAsia"/>
          <w:sz w:val="24"/>
        </w:rPr>
        <w:t>。</w:t>
      </w:r>
    </w:p>
    <w:p w14:paraId="5F78718C" w14:textId="77777777" w:rsidR="00E82AF4" w:rsidRDefault="005B2E6A">
      <w:pPr>
        <w:pStyle w:val="HD0"/>
        <w:adjustRightInd w:val="0"/>
        <w:ind w:firstLine="480"/>
        <w:rPr>
          <w:rFonts w:ascii="宋体" w:hAnsi="宋体"/>
          <w:sz w:val="24"/>
          <w:szCs w:val="24"/>
        </w:rPr>
      </w:pPr>
      <w:bookmarkStart w:id="114" w:name="_Toc79392577"/>
      <w:r>
        <w:rPr>
          <w:rFonts w:ascii="宋体" w:hAnsi="宋体" w:hint="eastAsia"/>
          <w:sz w:val="24"/>
        </w:rPr>
        <w:t>七、基金</w:t>
      </w:r>
      <w:r>
        <w:rPr>
          <w:rFonts w:ascii="宋体" w:hAnsi="宋体"/>
          <w:sz w:val="24"/>
          <w:szCs w:val="24"/>
        </w:rPr>
        <w:t>份额</w:t>
      </w:r>
      <w:r>
        <w:rPr>
          <w:rFonts w:ascii="宋体" w:hAnsi="宋体" w:hint="eastAsia"/>
          <w:sz w:val="24"/>
          <w:szCs w:val="24"/>
        </w:rPr>
        <w:t>发售</w:t>
      </w:r>
      <w:r>
        <w:rPr>
          <w:rFonts w:ascii="宋体" w:hAnsi="宋体"/>
          <w:sz w:val="24"/>
          <w:szCs w:val="24"/>
        </w:rPr>
        <w:t>面值</w:t>
      </w:r>
      <w:bookmarkEnd w:id="114"/>
      <w:r>
        <w:rPr>
          <w:rFonts w:ascii="宋体" w:hAnsi="宋体"/>
          <w:sz w:val="24"/>
          <w:szCs w:val="24"/>
        </w:rPr>
        <w:t>和认购费用</w:t>
      </w:r>
    </w:p>
    <w:p w14:paraId="5BDDCAA2" w14:textId="77777777" w:rsidR="00E82AF4" w:rsidRDefault="005B2E6A">
      <w:pPr>
        <w:pStyle w:val="HD0"/>
        <w:adjustRightInd w:val="0"/>
        <w:ind w:firstLine="480"/>
        <w:rPr>
          <w:rFonts w:ascii="宋体" w:hAnsi="宋体"/>
          <w:sz w:val="24"/>
          <w:szCs w:val="24"/>
        </w:rPr>
      </w:pPr>
      <w:r>
        <w:rPr>
          <w:rFonts w:ascii="宋体" w:hAnsi="宋体"/>
          <w:sz w:val="24"/>
          <w:szCs w:val="24"/>
        </w:rPr>
        <w:t>本基金基金份额发售面值为人民币</w:t>
      </w:r>
      <w:r>
        <w:rPr>
          <w:rFonts w:ascii="宋体" w:hAnsi="宋体" w:hint="eastAsia"/>
          <w:sz w:val="24"/>
          <w:szCs w:val="24"/>
        </w:rPr>
        <w:t>1.00</w:t>
      </w:r>
      <w:r>
        <w:rPr>
          <w:rFonts w:ascii="宋体" w:hAnsi="宋体"/>
          <w:sz w:val="24"/>
          <w:szCs w:val="24"/>
        </w:rPr>
        <w:t>元。</w:t>
      </w:r>
    </w:p>
    <w:p w14:paraId="47F3ADF4" w14:textId="77777777" w:rsidR="00E82AF4" w:rsidRDefault="005B2E6A">
      <w:pPr>
        <w:pStyle w:val="HD0"/>
        <w:adjustRightInd w:val="0"/>
        <w:ind w:firstLine="480"/>
        <w:rPr>
          <w:rFonts w:ascii="宋体" w:hAnsi="宋体"/>
          <w:sz w:val="24"/>
          <w:szCs w:val="24"/>
        </w:rPr>
      </w:pPr>
      <w:r>
        <w:rPr>
          <w:rFonts w:ascii="宋体" w:hAnsi="宋体"/>
          <w:sz w:val="24"/>
          <w:szCs w:val="24"/>
        </w:rPr>
        <w:t>本基金具体</w:t>
      </w:r>
      <w:r>
        <w:rPr>
          <w:rFonts w:ascii="宋体" w:hAnsi="宋体" w:hint="eastAsia"/>
          <w:sz w:val="24"/>
          <w:szCs w:val="24"/>
        </w:rPr>
        <w:t>认购</w:t>
      </w:r>
      <w:r>
        <w:rPr>
          <w:rFonts w:ascii="宋体" w:hAnsi="宋体"/>
          <w:sz w:val="24"/>
          <w:szCs w:val="24"/>
        </w:rPr>
        <w:t>费率按招募说明书</w:t>
      </w:r>
      <w:r>
        <w:rPr>
          <w:rFonts w:ascii="宋体" w:hAnsi="宋体" w:hint="eastAsia"/>
          <w:sz w:val="24"/>
          <w:szCs w:val="24"/>
        </w:rPr>
        <w:t>及基金产品资料概要</w:t>
      </w:r>
      <w:r>
        <w:rPr>
          <w:rFonts w:ascii="宋体" w:hAnsi="宋体"/>
          <w:sz w:val="24"/>
          <w:szCs w:val="24"/>
        </w:rPr>
        <w:t>的规定执行。</w:t>
      </w:r>
    </w:p>
    <w:p w14:paraId="347A1395" w14:textId="77777777" w:rsidR="00E82AF4" w:rsidRDefault="005B2E6A">
      <w:pPr>
        <w:pStyle w:val="HD0"/>
        <w:adjustRightInd w:val="0"/>
        <w:ind w:firstLine="480"/>
        <w:rPr>
          <w:rFonts w:ascii="宋体" w:hAnsi="宋体"/>
          <w:sz w:val="24"/>
        </w:rPr>
      </w:pPr>
      <w:bookmarkStart w:id="115" w:name="_Toc79392578"/>
      <w:r>
        <w:rPr>
          <w:rFonts w:ascii="宋体" w:hAnsi="宋体" w:hint="eastAsia"/>
          <w:sz w:val="24"/>
          <w:szCs w:val="24"/>
        </w:rPr>
        <w:t>八</w:t>
      </w:r>
      <w:r>
        <w:rPr>
          <w:rFonts w:ascii="宋体" w:hAnsi="宋体"/>
          <w:sz w:val="24"/>
          <w:szCs w:val="24"/>
        </w:rPr>
        <w:t>、基金</w:t>
      </w:r>
      <w:r>
        <w:rPr>
          <w:rFonts w:ascii="宋体" w:hAnsi="宋体" w:hint="eastAsia"/>
          <w:sz w:val="24"/>
        </w:rPr>
        <w:t>存续期限</w:t>
      </w:r>
      <w:bookmarkEnd w:id="115"/>
    </w:p>
    <w:p w14:paraId="529E6B64" w14:textId="77777777" w:rsidR="00E82AF4" w:rsidRDefault="005B2E6A">
      <w:pPr>
        <w:pStyle w:val="HD0"/>
        <w:adjustRightInd w:val="0"/>
        <w:ind w:firstLine="480"/>
        <w:rPr>
          <w:rFonts w:ascii="宋体" w:hAnsi="宋体"/>
          <w:sz w:val="24"/>
        </w:rPr>
      </w:pPr>
      <w:r>
        <w:rPr>
          <w:rFonts w:ascii="宋体" w:hAnsi="宋体" w:hint="eastAsia"/>
          <w:sz w:val="24"/>
        </w:rPr>
        <w:t>不定期。</w:t>
      </w:r>
    </w:p>
    <w:p w14:paraId="4E9B75A3" w14:textId="77777777" w:rsidR="00E82AF4" w:rsidRDefault="005B2E6A">
      <w:pPr>
        <w:pStyle w:val="HD0"/>
        <w:adjustRightInd w:val="0"/>
        <w:ind w:firstLine="480"/>
        <w:rPr>
          <w:rFonts w:ascii="宋体" w:hAnsi="宋体"/>
          <w:sz w:val="24"/>
          <w:szCs w:val="24"/>
        </w:rPr>
      </w:pPr>
      <w:r>
        <w:rPr>
          <w:rFonts w:ascii="宋体" w:hAnsi="宋体" w:hint="eastAsia"/>
          <w:sz w:val="24"/>
          <w:szCs w:val="24"/>
        </w:rPr>
        <w:t>九、设立联接基金或增设新的基金份额类别等相关业务</w:t>
      </w:r>
    </w:p>
    <w:p w14:paraId="042C61C6" w14:textId="77777777" w:rsidR="00E82AF4" w:rsidRDefault="005B2E6A">
      <w:pPr>
        <w:adjustRightInd w:val="0"/>
        <w:snapToGrid w:val="0"/>
        <w:spacing w:line="360" w:lineRule="auto"/>
        <w:ind w:firstLineChars="200" w:firstLine="480"/>
      </w:pPr>
      <w:r>
        <w:rPr>
          <w:rFonts w:ascii="宋体" w:hAnsi="宋体" w:hint="eastAsia"/>
          <w:bCs/>
          <w:sz w:val="24"/>
          <w:szCs w:val="24"/>
        </w:rPr>
        <w:t>在不违反法律法规及对基金份额持有人利益无实质性不利影响的前提下，基金管理人可根据基金发展需要，履行适当程序后，募集并管理以本基金为目标</w:t>
      </w:r>
      <w:r>
        <w:rPr>
          <w:rFonts w:ascii="宋体" w:hAnsi="宋体"/>
          <w:bCs/>
          <w:sz w:val="24"/>
          <w:szCs w:val="24"/>
        </w:rPr>
        <w:t>ETF</w:t>
      </w:r>
      <w:r>
        <w:rPr>
          <w:rFonts w:ascii="宋体" w:hAnsi="宋体" w:hint="eastAsia"/>
          <w:bCs/>
          <w:sz w:val="24"/>
          <w:szCs w:val="24"/>
        </w:rPr>
        <w:t>的一只或多只联接基金，或为本基金增设新的基金份额类别或者调整基金份额类别设置，或开通场外申购、赎回等相关业务并制定、公布相应的规则等，无须召开基金份额持有人大会审议。</w:t>
      </w:r>
      <w:r>
        <w:rPr>
          <w:rFonts w:ascii="宋体" w:hAnsi="宋体"/>
          <w:bCs/>
          <w:sz w:val="24"/>
          <w:szCs w:val="24"/>
        </w:rPr>
        <w:t>基金管理人可就增设后的全部或部分</w:t>
      </w:r>
      <w:r>
        <w:rPr>
          <w:rFonts w:ascii="宋体" w:hAnsi="宋体" w:hint="eastAsia"/>
          <w:bCs/>
          <w:sz w:val="24"/>
          <w:szCs w:val="24"/>
        </w:rPr>
        <w:t>基金</w:t>
      </w:r>
      <w:r>
        <w:rPr>
          <w:rFonts w:ascii="宋体" w:hAnsi="宋体"/>
          <w:bCs/>
          <w:sz w:val="24"/>
          <w:szCs w:val="24"/>
        </w:rPr>
        <w:t>份额申请上市，并制定、公布相应的申购、赎回等交易的规则，</w:t>
      </w:r>
      <w:r>
        <w:rPr>
          <w:rFonts w:ascii="宋体" w:hAnsi="宋体" w:hint="eastAsia"/>
          <w:bCs/>
          <w:sz w:val="24"/>
          <w:szCs w:val="24"/>
        </w:rPr>
        <w:t>而无需召开基金份额</w:t>
      </w:r>
      <w:r>
        <w:rPr>
          <w:rFonts w:ascii="宋体" w:hAnsi="宋体" w:hint="eastAsia"/>
          <w:bCs/>
          <w:sz w:val="24"/>
          <w:szCs w:val="24"/>
        </w:rPr>
        <w:lastRenderedPageBreak/>
        <w:t>持有人大会审议。</w:t>
      </w:r>
    </w:p>
    <w:p w14:paraId="7D157CBB" w14:textId="77777777" w:rsidR="00E82AF4" w:rsidRDefault="005B2E6A">
      <w:pPr>
        <w:pStyle w:val="1"/>
        <w:spacing w:before="0" w:after="0"/>
        <w:jc w:val="center"/>
        <w:rPr>
          <w:rFonts w:ascii="Times New Roman"/>
          <w:color w:val="auto"/>
          <w:sz w:val="32"/>
        </w:rPr>
      </w:pPr>
      <w:r>
        <w:rPr>
          <w:kern w:val="44"/>
          <w:sz w:val="21"/>
        </w:rPr>
        <w:br w:type="page"/>
      </w:r>
      <w:bookmarkStart w:id="116" w:name="_Toc32307759"/>
      <w:bookmarkStart w:id="117" w:name="_Toc90742390"/>
      <w:bookmarkStart w:id="118" w:name="_Toc22074"/>
      <w:bookmarkStart w:id="119" w:name="_Toc3266"/>
      <w:bookmarkStart w:id="120" w:name="_Toc15203"/>
      <w:bookmarkStart w:id="121" w:name="_Toc24682"/>
      <w:bookmarkStart w:id="122" w:name="_Toc7151"/>
      <w:bookmarkStart w:id="123" w:name="_Toc6714"/>
      <w:bookmarkStart w:id="124" w:name="_Toc29948"/>
      <w:bookmarkStart w:id="125" w:name="_Toc2449"/>
      <w:bookmarkStart w:id="126" w:name="_Toc27226"/>
      <w:bookmarkStart w:id="127" w:name="_Toc29784"/>
      <w:bookmarkStart w:id="128" w:name="_Toc90742688"/>
      <w:bookmarkStart w:id="129" w:name="_Toc27189"/>
      <w:bookmarkStart w:id="130" w:name="_Toc16265"/>
      <w:bookmarkStart w:id="131" w:name="_Toc90742321"/>
      <w:r>
        <w:rPr>
          <w:rFonts w:ascii="Times New Roman" w:hint="eastAsia"/>
          <w:color w:val="auto"/>
          <w:sz w:val="32"/>
        </w:rPr>
        <w:lastRenderedPageBreak/>
        <w:t>第四部分</w:t>
      </w:r>
      <w:r>
        <w:rPr>
          <w:rFonts w:ascii="Times New Roman"/>
          <w:color w:val="auto"/>
          <w:sz w:val="32"/>
        </w:rPr>
        <w:t xml:space="preserve">  </w:t>
      </w:r>
      <w:r>
        <w:rPr>
          <w:rFonts w:ascii="Times New Roman" w:hint="eastAsia"/>
          <w:color w:val="auto"/>
          <w:sz w:val="32"/>
        </w:rPr>
        <w:t>基金份额的发售</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4DCF42B4" w14:textId="77777777" w:rsidR="00E82AF4" w:rsidRDefault="00E82AF4">
      <w:pPr>
        <w:spacing w:line="360" w:lineRule="auto"/>
        <w:ind w:firstLineChars="200" w:firstLine="420"/>
        <w:rPr>
          <w:bCs/>
          <w:kern w:val="44"/>
        </w:rPr>
      </w:pPr>
    </w:p>
    <w:p w14:paraId="28AF75D4" w14:textId="77777777" w:rsidR="00E82AF4" w:rsidRDefault="005B2E6A">
      <w:pPr>
        <w:pStyle w:val="HD0"/>
        <w:ind w:firstLine="480"/>
        <w:rPr>
          <w:rFonts w:ascii="宋体" w:hAnsi="宋体"/>
          <w:sz w:val="24"/>
        </w:rPr>
      </w:pPr>
      <w:r>
        <w:rPr>
          <w:rFonts w:ascii="宋体" w:hAnsi="宋体" w:hint="eastAsia"/>
          <w:sz w:val="24"/>
        </w:rPr>
        <w:t>一、基金份额的发售时间、发售方式、发售对象</w:t>
      </w:r>
    </w:p>
    <w:p w14:paraId="357307E6" w14:textId="77777777" w:rsidR="00E82AF4" w:rsidRDefault="005B2E6A">
      <w:pPr>
        <w:pStyle w:val="HD0"/>
        <w:ind w:firstLine="480"/>
        <w:rPr>
          <w:rFonts w:ascii="宋体" w:hAnsi="宋体"/>
          <w:sz w:val="24"/>
        </w:rPr>
      </w:pPr>
      <w:r>
        <w:rPr>
          <w:rFonts w:ascii="宋体" w:hAnsi="宋体" w:hint="eastAsia"/>
          <w:sz w:val="24"/>
        </w:rPr>
        <w:t>1、发售时间</w:t>
      </w:r>
    </w:p>
    <w:p w14:paraId="3A54413F" w14:textId="77777777" w:rsidR="00E82AF4" w:rsidRDefault="005B2E6A">
      <w:pPr>
        <w:pStyle w:val="HD0"/>
        <w:ind w:firstLine="480"/>
        <w:rPr>
          <w:rFonts w:ascii="宋体" w:hAnsi="宋体"/>
          <w:sz w:val="24"/>
        </w:rPr>
      </w:pPr>
      <w:r>
        <w:rPr>
          <w:rFonts w:ascii="宋体" w:hAnsi="宋体" w:hint="eastAsia"/>
          <w:sz w:val="24"/>
        </w:rPr>
        <w:t>自基金份额发售之日起最长不得超过</w:t>
      </w:r>
      <w:r>
        <w:rPr>
          <w:rFonts w:ascii="宋体" w:hAnsi="宋体" w:hint="eastAsia"/>
          <w:sz w:val="24"/>
          <w:szCs w:val="24"/>
        </w:rPr>
        <w:t>3</w:t>
      </w:r>
      <w:r>
        <w:rPr>
          <w:rFonts w:ascii="宋体" w:hAnsi="宋体" w:hint="eastAsia"/>
          <w:sz w:val="24"/>
        </w:rPr>
        <w:t>个月，具体发售时间见</w:t>
      </w:r>
      <w:r>
        <w:rPr>
          <w:rFonts w:ascii="宋体" w:hAnsi="宋体" w:hint="eastAsia"/>
          <w:sz w:val="24"/>
          <w:szCs w:val="24"/>
        </w:rPr>
        <w:t>招募说明书及</w:t>
      </w:r>
      <w:r>
        <w:rPr>
          <w:rFonts w:ascii="宋体" w:hAnsi="宋体" w:hint="eastAsia"/>
          <w:sz w:val="24"/>
        </w:rPr>
        <w:t>基金份额发售公告。</w:t>
      </w:r>
    </w:p>
    <w:p w14:paraId="6AC570AF" w14:textId="77777777" w:rsidR="00E82AF4" w:rsidRDefault="005B2E6A">
      <w:pPr>
        <w:pStyle w:val="HD0"/>
        <w:ind w:firstLine="480"/>
        <w:rPr>
          <w:rFonts w:ascii="宋体" w:hAnsi="宋体"/>
          <w:sz w:val="24"/>
        </w:rPr>
      </w:pPr>
      <w:r>
        <w:rPr>
          <w:rFonts w:ascii="宋体" w:hAnsi="宋体" w:hint="eastAsia"/>
          <w:sz w:val="24"/>
        </w:rPr>
        <w:t>2、发售方式</w:t>
      </w:r>
    </w:p>
    <w:p w14:paraId="7F69C57B"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投资人可选择网上现金认购、网下现金认购和网下股票认购三种方式。</w:t>
      </w:r>
    </w:p>
    <w:p w14:paraId="29EB3D43"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网上现金认购是指投资人通过发售代理机构（为深圳证券交易所会员）用深圳证券交易所网上系统以现金进行认购。</w:t>
      </w:r>
    </w:p>
    <w:p w14:paraId="09FF34C6"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网下现金认购是指投资人通过基金管理人和/或其指定的发售代理机构以现金进行认购。</w:t>
      </w:r>
    </w:p>
    <w:p w14:paraId="59938EBB"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网下股票认购是指投资人通过基金管理人和/或其指定的发售代理机构以股票进行认购。</w:t>
      </w:r>
    </w:p>
    <w:p w14:paraId="4A932251"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网上现金认购、网下现金认购和网下股票认购的具体安排详见招募说明书的相关规定。</w:t>
      </w:r>
    </w:p>
    <w:p w14:paraId="267FEF61"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投资人应当在基金管理人及其指定的发售代理机构办理基金发售业务的营业场所，或者按基金管理人或发售代理机构提供的方式办理基金份额的认购。</w:t>
      </w:r>
    </w:p>
    <w:p w14:paraId="505F6E1B"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sz w:val="24"/>
          <w:szCs w:val="24"/>
        </w:rPr>
        <w:t>基金管理人、发售代理机构</w:t>
      </w:r>
      <w:r>
        <w:rPr>
          <w:rFonts w:ascii="宋体" w:hAnsi="宋体" w:cs="Arial" w:hint="eastAsia"/>
          <w:bCs/>
          <w:sz w:val="24"/>
          <w:szCs w:val="24"/>
        </w:rPr>
        <w:t>接受的认购方式、</w:t>
      </w:r>
      <w:r>
        <w:rPr>
          <w:rFonts w:ascii="宋体" w:hAnsi="宋体" w:cs="Arial" w:hint="eastAsia"/>
          <w:sz w:val="24"/>
          <w:szCs w:val="24"/>
        </w:rPr>
        <w:t>办理基金发售业务的具体情况和联系方式，请参见基金份额发售公告。</w:t>
      </w:r>
    </w:p>
    <w:p w14:paraId="48686E87" w14:textId="77777777" w:rsidR="00E82AF4" w:rsidRDefault="005B2E6A">
      <w:pPr>
        <w:adjustRightInd w:val="0"/>
        <w:snapToGrid w:val="0"/>
        <w:spacing w:line="360" w:lineRule="auto"/>
        <w:ind w:firstLine="480"/>
        <w:rPr>
          <w:rFonts w:ascii="宋体" w:hAnsi="宋体" w:cs="Arial"/>
          <w:sz w:val="24"/>
          <w:szCs w:val="24"/>
        </w:rPr>
      </w:pPr>
      <w:r>
        <w:rPr>
          <w:rFonts w:ascii="宋体" w:hAnsi="宋体" w:cs="Arial" w:hint="eastAsia"/>
          <w:bCs/>
          <w:sz w:val="24"/>
          <w:szCs w:val="24"/>
        </w:rPr>
        <w:t>发售代理</w:t>
      </w:r>
      <w:r>
        <w:rPr>
          <w:rFonts w:ascii="宋体" w:hAnsi="宋体" w:hint="eastAsia"/>
          <w:sz w:val="24"/>
        </w:rPr>
        <w:t>机构的具体名单见基金份额发售公告或基金管理人网站</w:t>
      </w:r>
      <w:r>
        <w:rPr>
          <w:rFonts w:ascii="宋体" w:hAnsi="宋体" w:cs="Arial" w:hint="eastAsia"/>
          <w:sz w:val="24"/>
          <w:szCs w:val="24"/>
        </w:rPr>
        <w:t>公示</w:t>
      </w:r>
      <w:r>
        <w:rPr>
          <w:rFonts w:ascii="宋体" w:hAnsi="宋体" w:cs="Arial" w:hint="eastAsia"/>
          <w:bCs/>
          <w:sz w:val="24"/>
          <w:szCs w:val="24"/>
        </w:rPr>
        <w:t>，</w:t>
      </w:r>
      <w:r>
        <w:rPr>
          <w:rFonts w:ascii="宋体" w:hAnsi="宋体" w:hint="eastAsia"/>
          <w:sz w:val="24"/>
        </w:rPr>
        <w:t>基金管理人</w:t>
      </w:r>
      <w:r>
        <w:rPr>
          <w:rFonts w:ascii="宋体" w:hAnsi="宋体" w:cs="Arial" w:hint="eastAsia"/>
          <w:sz w:val="24"/>
          <w:szCs w:val="24"/>
        </w:rPr>
        <w:t>可以根据情况调整销售机构，并在基金管理人网站上公示。</w:t>
      </w:r>
    </w:p>
    <w:p w14:paraId="20766C0E" w14:textId="77777777" w:rsidR="00E82AF4" w:rsidRDefault="005B2E6A">
      <w:pPr>
        <w:pStyle w:val="HD0"/>
        <w:ind w:firstLine="480"/>
        <w:rPr>
          <w:rFonts w:ascii="宋体" w:hAnsi="宋体"/>
          <w:sz w:val="24"/>
        </w:rPr>
      </w:pPr>
      <w:r>
        <w:rPr>
          <w:rFonts w:ascii="宋体" w:hAnsi="宋体" w:cs="Arial" w:hint="eastAsia"/>
          <w:sz w:val="24"/>
          <w:szCs w:val="24"/>
        </w:rPr>
        <w:t>销售机构对认购申请</w:t>
      </w:r>
      <w:r>
        <w:rPr>
          <w:rFonts w:ascii="宋体" w:hAnsi="宋体" w:hint="eastAsia"/>
          <w:sz w:val="24"/>
        </w:rPr>
        <w:t>的</w:t>
      </w:r>
      <w:r>
        <w:rPr>
          <w:rFonts w:ascii="宋体" w:hAnsi="宋体" w:cs="Arial" w:hint="eastAsia"/>
          <w:sz w:val="24"/>
          <w:szCs w:val="24"/>
        </w:rPr>
        <w:t>受理并不代表该申请一定成功，而仅代表</w:t>
      </w:r>
      <w:r>
        <w:rPr>
          <w:rFonts w:ascii="宋体" w:hAnsi="宋体" w:hint="eastAsia"/>
          <w:sz w:val="24"/>
        </w:rPr>
        <w:t>销售机构</w:t>
      </w:r>
      <w:r>
        <w:rPr>
          <w:rFonts w:ascii="宋体" w:hAnsi="宋体" w:cs="Arial" w:hint="eastAsia"/>
          <w:sz w:val="24"/>
          <w:szCs w:val="24"/>
        </w:rPr>
        <w:t>确实接收到认购申请。认购申请的确认以登记机构的确认结果为准。</w:t>
      </w:r>
      <w:r>
        <w:rPr>
          <w:rFonts w:ascii="宋体" w:hAnsi="宋体" w:cs="Arial"/>
          <w:bCs/>
          <w:sz w:val="24"/>
          <w:szCs w:val="24"/>
        </w:rPr>
        <w:t>对于认购申请及认购份额的确认情况，投资人应及时查询并妥善行使合法权利</w:t>
      </w:r>
      <w:r>
        <w:rPr>
          <w:rFonts w:ascii="宋体" w:hAnsi="宋体" w:hint="eastAsia"/>
          <w:sz w:val="24"/>
        </w:rPr>
        <w:t>。</w:t>
      </w:r>
    </w:p>
    <w:p w14:paraId="5DA05EA6" w14:textId="77777777" w:rsidR="00E82AF4" w:rsidRDefault="005B2E6A">
      <w:pPr>
        <w:pStyle w:val="HD0"/>
        <w:ind w:firstLine="480"/>
        <w:rPr>
          <w:rFonts w:ascii="宋体" w:hAnsi="宋体"/>
          <w:sz w:val="24"/>
        </w:rPr>
      </w:pPr>
      <w:r>
        <w:rPr>
          <w:rFonts w:ascii="宋体" w:hAnsi="宋体" w:hint="eastAsia"/>
          <w:sz w:val="24"/>
        </w:rPr>
        <w:t>3、发售对象</w:t>
      </w:r>
    </w:p>
    <w:p w14:paraId="378D2C43" w14:textId="77777777" w:rsidR="00E82AF4" w:rsidRDefault="005B2E6A">
      <w:pPr>
        <w:pStyle w:val="HD0"/>
        <w:ind w:firstLine="480"/>
        <w:rPr>
          <w:rFonts w:ascii="宋体" w:hAnsi="宋体"/>
          <w:sz w:val="24"/>
        </w:rPr>
      </w:pPr>
      <w:r>
        <w:rPr>
          <w:rFonts w:ascii="宋体" w:hAnsi="宋体" w:hint="eastAsia"/>
          <w:sz w:val="24"/>
        </w:rPr>
        <w:t>符合法律法规规定的可投资于证券投资基金的个人投资者、机构投资者、合格境外投资者以及法律法规或中国证监会允许购买证券投资基金的其他投资人。</w:t>
      </w:r>
    </w:p>
    <w:p w14:paraId="51961145" w14:textId="77777777" w:rsidR="00E82AF4" w:rsidRDefault="005B2E6A">
      <w:pPr>
        <w:pStyle w:val="HD0"/>
        <w:ind w:firstLine="480"/>
        <w:rPr>
          <w:rFonts w:ascii="宋体" w:hAnsi="宋体"/>
          <w:sz w:val="24"/>
        </w:rPr>
      </w:pPr>
      <w:r>
        <w:rPr>
          <w:rFonts w:ascii="宋体" w:hAnsi="宋体" w:hint="eastAsia"/>
          <w:sz w:val="24"/>
        </w:rPr>
        <w:t>二、基金份额的认购</w:t>
      </w:r>
    </w:p>
    <w:p w14:paraId="50518D4F" w14:textId="77777777" w:rsidR="00E82AF4" w:rsidRDefault="005B2E6A">
      <w:pPr>
        <w:pStyle w:val="HD0"/>
        <w:ind w:firstLine="480"/>
        <w:rPr>
          <w:rFonts w:ascii="宋体" w:hAnsi="宋体"/>
          <w:sz w:val="24"/>
        </w:rPr>
      </w:pPr>
      <w:r>
        <w:rPr>
          <w:rFonts w:ascii="宋体" w:hAnsi="宋体" w:hint="eastAsia"/>
          <w:sz w:val="24"/>
        </w:rPr>
        <w:lastRenderedPageBreak/>
        <w:t>1、认购费用</w:t>
      </w:r>
    </w:p>
    <w:p w14:paraId="490BA049" w14:textId="77777777" w:rsidR="00E82AF4" w:rsidRDefault="005B2E6A">
      <w:pPr>
        <w:pStyle w:val="HD0"/>
        <w:ind w:firstLine="480"/>
        <w:rPr>
          <w:rFonts w:ascii="宋体" w:hAnsi="宋体"/>
          <w:sz w:val="24"/>
        </w:rPr>
      </w:pPr>
      <w:r>
        <w:rPr>
          <w:rFonts w:ascii="宋体" w:hAnsi="宋体" w:hint="eastAsia"/>
          <w:sz w:val="24"/>
        </w:rPr>
        <w:t>本基金的认购费率由基金管理人决定，并在招募说明书及基金产品资料概要中列示。基金认购费用由认购本基金基金份额的投资人承担。基金认购费用不列入基金财产。</w:t>
      </w:r>
    </w:p>
    <w:p w14:paraId="761C71FE" w14:textId="77777777" w:rsidR="00E82AF4" w:rsidRDefault="005B2E6A">
      <w:pPr>
        <w:pStyle w:val="HD0"/>
        <w:ind w:firstLine="480"/>
        <w:rPr>
          <w:rFonts w:ascii="宋体" w:hAnsi="宋体"/>
          <w:sz w:val="24"/>
        </w:rPr>
      </w:pPr>
      <w:r>
        <w:rPr>
          <w:rFonts w:ascii="宋体" w:hAnsi="宋体" w:hint="eastAsia"/>
          <w:sz w:val="24"/>
        </w:rPr>
        <w:t>2、募集期间资金与股票的处理方式</w:t>
      </w:r>
    </w:p>
    <w:p w14:paraId="35CBEDC9" w14:textId="77777777" w:rsidR="00E82AF4" w:rsidRDefault="005B2E6A">
      <w:pPr>
        <w:pStyle w:val="HD0"/>
        <w:ind w:firstLine="480"/>
        <w:rPr>
          <w:rFonts w:ascii="宋体" w:hAnsi="宋体"/>
          <w:sz w:val="24"/>
        </w:rPr>
      </w:pPr>
      <w:r>
        <w:rPr>
          <w:rFonts w:ascii="宋体" w:hAnsi="宋体" w:hint="eastAsia"/>
          <w:sz w:val="24"/>
        </w:rPr>
        <w:t>基金募集期间募集的资金应当存入专门账户，在基金募集行为结束前，任何人不得动用。投资人以股票认购的，按照交易所和登记机构的业务规则和流程办理股票的冻结，该股票自认购日至登记机构进行股票过户前的冻结期间所产生的权益归属依据相关业务规则处理。基金募集期间的信息披露费、会计师费、律师费以及其他费用，不得从基金财产中列支。</w:t>
      </w:r>
    </w:p>
    <w:p w14:paraId="6EB87C77" w14:textId="77777777" w:rsidR="00E82AF4" w:rsidRDefault="005B2E6A">
      <w:pPr>
        <w:pStyle w:val="HD0"/>
        <w:ind w:firstLine="480"/>
        <w:rPr>
          <w:rFonts w:ascii="宋体" w:hAnsi="宋体"/>
          <w:sz w:val="24"/>
        </w:rPr>
      </w:pPr>
      <w:r>
        <w:rPr>
          <w:rFonts w:ascii="宋体" w:hAnsi="宋体" w:hint="eastAsia"/>
          <w:sz w:val="24"/>
        </w:rPr>
        <w:t>三、基金认购的</w:t>
      </w:r>
      <w:r>
        <w:rPr>
          <w:rFonts w:ascii="宋体" w:hAnsi="宋体" w:hint="eastAsia"/>
          <w:sz w:val="24"/>
          <w:szCs w:val="24"/>
        </w:rPr>
        <w:t>其他具体规定</w:t>
      </w:r>
    </w:p>
    <w:p w14:paraId="3E1E3A30" w14:textId="77777777" w:rsidR="00E82AF4" w:rsidRDefault="005B2E6A">
      <w:pPr>
        <w:pStyle w:val="HD0"/>
        <w:ind w:firstLine="480"/>
      </w:pPr>
      <w:r>
        <w:rPr>
          <w:rFonts w:ascii="宋体" w:hAnsi="宋体" w:hint="eastAsia"/>
          <w:sz w:val="24"/>
        </w:rPr>
        <w:t>投资人认购</w:t>
      </w:r>
      <w:r>
        <w:rPr>
          <w:rFonts w:ascii="宋体" w:hAnsi="宋体" w:hint="eastAsia"/>
          <w:sz w:val="24"/>
          <w:szCs w:val="24"/>
        </w:rPr>
        <w:t>原则、认购限额、认购份额</w:t>
      </w:r>
      <w:r>
        <w:rPr>
          <w:rFonts w:ascii="宋体" w:hAnsi="宋体" w:hint="eastAsia"/>
          <w:sz w:val="24"/>
        </w:rPr>
        <w:t>的</w:t>
      </w:r>
      <w:r>
        <w:rPr>
          <w:rFonts w:ascii="宋体" w:hAnsi="宋体" w:hint="eastAsia"/>
          <w:sz w:val="24"/>
          <w:szCs w:val="24"/>
        </w:rPr>
        <w:t>计算公式、认购利息的处理、认购时间安排、投资人认购应提交的文件和办理的手续等事项，由</w:t>
      </w:r>
      <w:r>
        <w:rPr>
          <w:rFonts w:ascii="宋体" w:hAnsi="宋体" w:hint="eastAsia"/>
          <w:sz w:val="24"/>
        </w:rPr>
        <w:t>基金管理人</w:t>
      </w:r>
      <w:r>
        <w:rPr>
          <w:rFonts w:ascii="宋体" w:hAnsi="宋体" w:hint="eastAsia"/>
          <w:sz w:val="24"/>
          <w:szCs w:val="24"/>
        </w:rPr>
        <w:t>根据相关法律法规、业务规则以及</w:t>
      </w:r>
      <w:r>
        <w:rPr>
          <w:rFonts w:ascii="宋体" w:hAnsi="宋体" w:hint="eastAsia"/>
          <w:sz w:val="24"/>
        </w:rPr>
        <w:t>基金</w:t>
      </w:r>
      <w:r>
        <w:rPr>
          <w:rFonts w:ascii="宋体" w:hAnsi="宋体" w:hint="eastAsia"/>
          <w:sz w:val="24"/>
          <w:szCs w:val="24"/>
        </w:rPr>
        <w:t>合同的规定确定，并在</w:t>
      </w:r>
      <w:r>
        <w:rPr>
          <w:rFonts w:ascii="宋体" w:hAnsi="宋体" w:hint="eastAsia"/>
          <w:sz w:val="24"/>
        </w:rPr>
        <w:t>招募说明书</w:t>
      </w:r>
      <w:r>
        <w:rPr>
          <w:rFonts w:ascii="宋体" w:hAnsi="宋体" w:hint="eastAsia"/>
          <w:sz w:val="24"/>
          <w:szCs w:val="24"/>
        </w:rPr>
        <w:t>和</w:t>
      </w:r>
      <w:r>
        <w:rPr>
          <w:rFonts w:ascii="宋体" w:hAnsi="宋体" w:hint="eastAsia"/>
          <w:sz w:val="24"/>
        </w:rPr>
        <w:t>基金</w:t>
      </w:r>
      <w:r>
        <w:rPr>
          <w:rFonts w:ascii="宋体" w:hAnsi="宋体" w:hint="eastAsia"/>
          <w:sz w:val="24"/>
          <w:szCs w:val="24"/>
        </w:rPr>
        <w:t>份额发售公告中披露</w:t>
      </w:r>
      <w:r>
        <w:rPr>
          <w:rFonts w:ascii="宋体" w:hAnsi="宋体" w:hint="eastAsia"/>
          <w:sz w:val="24"/>
        </w:rPr>
        <w:t>。</w:t>
      </w:r>
    </w:p>
    <w:p w14:paraId="7CD6E211" w14:textId="77777777" w:rsidR="00E82AF4" w:rsidRDefault="005B2E6A">
      <w:pPr>
        <w:pStyle w:val="1"/>
        <w:spacing w:before="0" w:after="0"/>
        <w:jc w:val="center"/>
        <w:rPr>
          <w:rFonts w:ascii="Times New Roman"/>
          <w:color w:val="auto"/>
          <w:sz w:val="32"/>
        </w:rPr>
      </w:pPr>
      <w:r>
        <w:rPr>
          <w:kern w:val="44"/>
        </w:rPr>
        <w:br w:type="page"/>
      </w:r>
      <w:bookmarkStart w:id="132" w:name="_Toc4741"/>
      <w:bookmarkStart w:id="133" w:name="_Toc141703885"/>
      <w:bookmarkStart w:id="134" w:name="_Toc26986"/>
      <w:bookmarkStart w:id="135" w:name="_Toc1823"/>
      <w:bookmarkStart w:id="136" w:name="_Toc18329"/>
      <w:bookmarkStart w:id="137" w:name="_Toc6559"/>
      <w:bookmarkStart w:id="138" w:name="_Toc7848"/>
      <w:bookmarkStart w:id="139" w:name="_Toc18797"/>
      <w:bookmarkStart w:id="140" w:name="_Toc27160"/>
      <w:bookmarkStart w:id="141" w:name="_Toc32307760"/>
      <w:bookmarkStart w:id="142" w:name="_Toc17912"/>
      <w:bookmarkStart w:id="143" w:name="_Toc21988"/>
      <w:bookmarkStart w:id="144" w:name="_Toc18526"/>
      <w:bookmarkStart w:id="145" w:name="_Toc14893"/>
      <w:bookmarkStart w:id="146" w:name="_Toc139991735"/>
      <w:r>
        <w:rPr>
          <w:rFonts w:ascii="Times New Roman" w:hint="eastAsia"/>
          <w:color w:val="auto"/>
          <w:sz w:val="32"/>
        </w:rPr>
        <w:lastRenderedPageBreak/>
        <w:t>第五部分</w:t>
      </w:r>
      <w:r>
        <w:rPr>
          <w:rFonts w:ascii="Times New Roman"/>
          <w:color w:val="auto"/>
          <w:sz w:val="32"/>
        </w:rPr>
        <w:t xml:space="preserve">  </w:t>
      </w:r>
      <w:r>
        <w:rPr>
          <w:rFonts w:ascii="Times New Roman" w:hint="eastAsia"/>
          <w:color w:val="auto"/>
          <w:sz w:val="32"/>
        </w:rPr>
        <w:t>基金备案</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28111EB4" w14:textId="77777777" w:rsidR="00E82AF4" w:rsidRDefault="00E82AF4">
      <w:pPr>
        <w:spacing w:line="360" w:lineRule="auto"/>
        <w:ind w:firstLine="540"/>
        <w:rPr>
          <w:bCs/>
          <w:sz w:val="24"/>
        </w:rPr>
      </w:pPr>
    </w:p>
    <w:p w14:paraId="493B0F2C" w14:textId="77777777" w:rsidR="00E82AF4" w:rsidRDefault="005B2E6A">
      <w:pPr>
        <w:pStyle w:val="HD0"/>
        <w:adjustRightInd w:val="0"/>
        <w:ind w:firstLine="480"/>
        <w:rPr>
          <w:rFonts w:ascii="宋体" w:hAnsi="宋体"/>
          <w:sz w:val="24"/>
        </w:rPr>
      </w:pPr>
      <w:r>
        <w:rPr>
          <w:rFonts w:ascii="宋体" w:hAnsi="宋体" w:hint="eastAsia"/>
          <w:sz w:val="24"/>
        </w:rPr>
        <w:t>一、基金备案的条件</w:t>
      </w:r>
    </w:p>
    <w:p w14:paraId="26973E9E" w14:textId="77777777" w:rsidR="00E82AF4" w:rsidRDefault="005B2E6A">
      <w:pPr>
        <w:pStyle w:val="HD0"/>
        <w:adjustRightInd w:val="0"/>
        <w:ind w:firstLine="480"/>
        <w:rPr>
          <w:rFonts w:ascii="宋体" w:hAnsi="宋体"/>
          <w:sz w:val="24"/>
        </w:rPr>
      </w:pPr>
      <w:r>
        <w:rPr>
          <w:rFonts w:ascii="宋体" w:hAnsi="宋体" w:hint="eastAsia"/>
          <w:sz w:val="24"/>
        </w:rPr>
        <w:t>1、本基金自基金份额发售之日起</w:t>
      </w:r>
      <w:r>
        <w:rPr>
          <w:rFonts w:ascii="宋体" w:hAnsi="宋体" w:hint="eastAsia"/>
          <w:sz w:val="24"/>
          <w:szCs w:val="24"/>
        </w:rPr>
        <w:t>3</w:t>
      </w:r>
      <w:r>
        <w:rPr>
          <w:rFonts w:ascii="宋体" w:hAnsi="宋体" w:hint="eastAsia"/>
          <w:sz w:val="24"/>
        </w:rPr>
        <w:t>个月内，在基金募集份额总额不少于</w:t>
      </w:r>
      <w:r>
        <w:rPr>
          <w:rFonts w:ascii="宋体" w:hAnsi="宋体" w:hint="eastAsia"/>
          <w:sz w:val="24"/>
          <w:szCs w:val="24"/>
        </w:rPr>
        <w:t>2</w:t>
      </w:r>
      <w:r>
        <w:rPr>
          <w:rFonts w:ascii="宋体" w:hAnsi="宋体" w:hint="eastAsia"/>
          <w:sz w:val="24"/>
        </w:rPr>
        <w:t>亿份，基金募集金额</w:t>
      </w:r>
      <w:r>
        <w:rPr>
          <w:rFonts w:ascii="宋体" w:hAnsi="宋体" w:hint="eastAsia"/>
          <w:sz w:val="24"/>
          <w:szCs w:val="24"/>
        </w:rPr>
        <w:t>（含网下股票认购所募集的股票市值）</w:t>
      </w:r>
      <w:r>
        <w:rPr>
          <w:rFonts w:ascii="宋体" w:hAnsi="宋体" w:hint="eastAsia"/>
          <w:sz w:val="24"/>
        </w:rPr>
        <w:t>不少于</w:t>
      </w:r>
      <w:r>
        <w:rPr>
          <w:rFonts w:ascii="宋体" w:hAnsi="宋体" w:hint="eastAsia"/>
          <w:sz w:val="24"/>
          <w:szCs w:val="24"/>
        </w:rPr>
        <w:t>2</w:t>
      </w:r>
      <w:r>
        <w:rPr>
          <w:rFonts w:ascii="宋体" w:hAnsi="宋体" w:hint="eastAsia"/>
          <w:sz w:val="24"/>
        </w:rPr>
        <w:t>亿元人民币</w:t>
      </w:r>
      <w:r>
        <w:rPr>
          <w:rFonts w:ascii="宋体" w:hAnsi="宋体" w:hint="eastAsia"/>
          <w:sz w:val="24"/>
          <w:szCs w:val="24"/>
        </w:rPr>
        <w:t>，</w:t>
      </w:r>
      <w:r>
        <w:rPr>
          <w:rFonts w:ascii="宋体" w:hAnsi="宋体" w:hint="eastAsia"/>
          <w:sz w:val="24"/>
        </w:rPr>
        <w:t>且基金认购人数不少于</w:t>
      </w:r>
      <w:r>
        <w:rPr>
          <w:rFonts w:ascii="宋体" w:hAnsi="宋体" w:hint="eastAsia"/>
          <w:sz w:val="24"/>
          <w:szCs w:val="24"/>
        </w:rPr>
        <w:t>200</w:t>
      </w:r>
      <w:r>
        <w:rPr>
          <w:rFonts w:ascii="宋体" w:hAnsi="宋体" w:hint="eastAsia"/>
          <w:sz w:val="24"/>
        </w:rPr>
        <w:t>人的条件下，基金</w:t>
      </w:r>
      <w:r>
        <w:rPr>
          <w:rFonts w:ascii="宋体" w:hAnsi="宋体" w:hint="eastAsia"/>
          <w:sz w:val="24"/>
          <w:szCs w:val="24"/>
        </w:rPr>
        <w:t>募集期届满或基金</w:t>
      </w:r>
      <w:r>
        <w:rPr>
          <w:rFonts w:ascii="宋体" w:hAnsi="宋体" w:hint="eastAsia"/>
          <w:sz w:val="24"/>
        </w:rPr>
        <w:t>管理人依据法律法规及招募说明书可以决定停止基金发售，并在</w:t>
      </w:r>
      <w:r>
        <w:rPr>
          <w:rFonts w:ascii="宋体" w:hAnsi="宋体" w:hint="eastAsia"/>
          <w:sz w:val="24"/>
          <w:szCs w:val="24"/>
        </w:rPr>
        <w:t>10</w:t>
      </w:r>
      <w:r>
        <w:rPr>
          <w:rFonts w:ascii="宋体" w:hAnsi="宋体" w:hint="eastAsia"/>
          <w:sz w:val="24"/>
        </w:rPr>
        <w:t>日内聘请法定验资机构验资，自收到验资报告之日起</w:t>
      </w:r>
      <w:r>
        <w:rPr>
          <w:rFonts w:ascii="宋体" w:hAnsi="宋体" w:hint="eastAsia"/>
          <w:sz w:val="24"/>
          <w:szCs w:val="24"/>
        </w:rPr>
        <w:t>10</w:t>
      </w:r>
      <w:r>
        <w:rPr>
          <w:rFonts w:ascii="宋体" w:hAnsi="宋体" w:hint="eastAsia"/>
          <w:sz w:val="24"/>
        </w:rPr>
        <w:t>日内，向中国证监会办理基金备案手续。</w:t>
      </w:r>
    </w:p>
    <w:p w14:paraId="7CD6AFBD" w14:textId="77777777" w:rsidR="00E82AF4" w:rsidRDefault="005B2E6A">
      <w:pPr>
        <w:pStyle w:val="HD0"/>
        <w:ind w:firstLine="480"/>
        <w:rPr>
          <w:rFonts w:ascii="宋体" w:hAnsi="宋体"/>
          <w:sz w:val="24"/>
        </w:rPr>
      </w:pPr>
      <w:r>
        <w:rPr>
          <w:sz w:val="24"/>
        </w:rPr>
        <w:t>2</w:t>
      </w:r>
      <w:r>
        <w:rPr>
          <w:rFonts w:hint="eastAsia"/>
          <w:sz w:val="24"/>
        </w:rPr>
        <w:t>、</w:t>
      </w:r>
      <w:r>
        <w:rPr>
          <w:sz w:val="24"/>
        </w:rPr>
        <w:t>基金</w:t>
      </w:r>
      <w:r>
        <w:rPr>
          <w:bCs/>
          <w:sz w:val="24"/>
        </w:rPr>
        <w:t>募集达到基金备案条件的，</w:t>
      </w:r>
      <w:r>
        <w:rPr>
          <w:rFonts w:hint="eastAsia"/>
          <w:sz w:val="24"/>
        </w:rPr>
        <w:t>自</w:t>
      </w:r>
      <w:r>
        <w:rPr>
          <w:bCs/>
          <w:sz w:val="24"/>
        </w:rPr>
        <w:t>基金管理人办理完毕基金备案手续并取得</w:t>
      </w:r>
      <w:r>
        <w:rPr>
          <w:rFonts w:hint="eastAsia"/>
          <w:sz w:val="24"/>
        </w:rPr>
        <w:t>中国证监会书面确认之日起，</w:t>
      </w:r>
      <w:r>
        <w:rPr>
          <w:rFonts w:hint="eastAsia"/>
          <w:bCs/>
          <w:sz w:val="24"/>
        </w:rPr>
        <w:t>基金合同生效</w:t>
      </w:r>
      <w:r>
        <w:rPr>
          <w:bCs/>
          <w:sz w:val="24"/>
        </w:rPr>
        <w:t>；否则基金合同不生效。</w:t>
      </w:r>
      <w:r>
        <w:rPr>
          <w:rFonts w:ascii="宋体" w:hAnsi="宋体" w:hint="eastAsia"/>
          <w:sz w:val="24"/>
        </w:rPr>
        <w:t>基金管理人在收到中国证监会确认文件的次日对</w:t>
      </w:r>
      <w:r>
        <w:rPr>
          <w:rFonts w:ascii="宋体" w:hAnsi="宋体" w:hint="eastAsia"/>
          <w:sz w:val="24"/>
          <w:szCs w:val="24"/>
        </w:rPr>
        <w:t>基金合同</w:t>
      </w:r>
      <w:r>
        <w:rPr>
          <w:rFonts w:ascii="宋体" w:hAnsi="宋体" w:hint="eastAsia"/>
          <w:sz w:val="24"/>
        </w:rPr>
        <w:t>生效事宜予以公告。</w:t>
      </w:r>
    </w:p>
    <w:p w14:paraId="49C68D86" w14:textId="77777777" w:rsidR="00E82AF4" w:rsidRDefault="005B2E6A">
      <w:pPr>
        <w:pStyle w:val="HD0"/>
        <w:adjustRightInd w:val="0"/>
        <w:ind w:firstLine="480"/>
        <w:rPr>
          <w:rFonts w:ascii="宋体" w:hAnsi="宋体"/>
          <w:sz w:val="24"/>
          <w:szCs w:val="24"/>
        </w:rPr>
      </w:pPr>
      <w:r>
        <w:rPr>
          <w:rFonts w:ascii="宋体" w:hAnsi="宋体" w:hint="eastAsia"/>
          <w:sz w:val="24"/>
          <w:szCs w:val="24"/>
        </w:rPr>
        <w:t>3、基金</w:t>
      </w:r>
      <w:r>
        <w:rPr>
          <w:rFonts w:ascii="宋体" w:hAnsi="宋体"/>
          <w:bCs/>
          <w:sz w:val="24"/>
        </w:rPr>
        <w:t>管理人应将基金募集期间募集</w:t>
      </w:r>
      <w:r>
        <w:rPr>
          <w:rFonts w:ascii="宋体" w:hAnsi="宋体" w:hint="eastAsia"/>
          <w:sz w:val="24"/>
          <w:szCs w:val="24"/>
        </w:rPr>
        <w:t>的资金存入专</w:t>
      </w:r>
      <w:r>
        <w:rPr>
          <w:rFonts w:ascii="宋体" w:hAnsi="宋体"/>
          <w:sz w:val="24"/>
          <w:szCs w:val="24"/>
        </w:rPr>
        <w:t>门</w:t>
      </w:r>
      <w:r>
        <w:rPr>
          <w:rFonts w:ascii="宋体" w:hAnsi="宋体" w:hint="eastAsia"/>
          <w:sz w:val="24"/>
          <w:szCs w:val="24"/>
        </w:rPr>
        <w:t>账户，网下股票认购所募集的股票予以冻结，在基金募集行为结束前，任何人不得动用。</w:t>
      </w:r>
    </w:p>
    <w:p w14:paraId="00402A29" w14:textId="77777777" w:rsidR="00E82AF4" w:rsidRDefault="005B2E6A">
      <w:pPr>
        <w:pStyle w:val="HD0"/>
        <w:adjustRightInd w:val="0"/>
        <w:ind w:firstLine="480"/>
        <w:rPr>
          <w:rFonts w:ascii="宋体" w:hAnsi="宋体"/>
          <w:sz w:val="24"/>
        </w:rPr>
      </w:pPr>
      <w:r>
        <w:rPr>
          <w:rFonts w:ascii="宋体" w:hAnsi="宋体" w:hint="eastAsia"/>
          <w:sz w:val="24"/>
        </w:rPr>
        <w:t>二、基金合同不能生效时募集资金</w:t>
      </w:r>
      <w:r>
        <w:rPr>
          <w:rFonts w:ascii="宋体" w:hAnsi="宋体" w:hint="eastAsia"/>
          <w:sz w:val="24"/>
          <w:szCs w:val="24"/>
        </w:rPr>
        <w:t>及</w:t>
      </w:r>
      <w:r>
        <w:rPr>
          <w:rFonts w:ascii="宋体" w:hAnsi="宋体"/>
          <w:sz w:val="24"/>
          <w:szCs w:val="24"/>
        </w:rPr>
        <w:t>股票</w:t>
      </w:r>
      <w:r>
        <w:rPr>
          <w:rFonts w:ascii="宋体" w:hAnsi="宋体" w:hint="eastAsia"/>
          <w:sz w:val="24"/>
        </w:rPr>
        <w:t>的处理方式</w:t>
      </w:r>
    </w:p>
    <w:p w14:paraId="1E312EE6" w14:textId="77777777" w:rsidR="00E82AF4" w:rsidRDefault="005B2E6A">
      <w:pPr>
        <w:pStyle w:val="HD0"/>
        <w:adjustRightInd w:val="0"/>
        <w:ind w:firstLine="480"/>
        <w:rPr>
          <w:rFonts w:ascii="宋体" w:hAnsi="宋体"/>
          <w:sz w:val="24"/>
        </w:rPr>
      </w:pPr>
      <w:r>
        <w:rPr>
          <w:rFonts w:ascii="宋体" w:hAnsi="宋体" w:hint="eastAsia"/>
          <w:sz w:val="24"/>
        </w:rPr>
        <w:t>如果募集期限届满，未满足基金备案条件，基金管理人应当承担下列责任：</w:t>
      </w:r>
    </w:p>
    <w:p w14:paraId="345133F1" w14:textId="77777777" w:rsidR="00E82AF4" w:rsidRDefault="005B2E6A">
      <w:pPr>
        <w:pStyle w:val="HD0"/>
        <w:adjustRightInd w:val="0"/>
        <w:ind w:firstLine="480"/>
        <w:rPr>
          <w:rFonts w:ascii="宋体" w:hAnsi="宋体"/>
          <w:sz w:val="24"/>
        </w:rPr>
      </w:pPr>
      <w:r>
        <w:rPr>
          <w:rFonts w:ascii="宋体" w:hAnsi="宋体" w:hint="eastAsia"/>
          <w:sz w:val="24"/>
        </w:rPr>
        <w:t>1、以其固有财产承担因募集行为而产生的债务和费用；</w:t>
      </w:r>
    </w:p>
    <w:p w14:paraId="6AAEA9DA" w14:textId="5B55B7E3" w:rsidR="00E82AF4" w:rsidRDefault="005B2E6A">
      <w:pPr>
        <w:pStyle w:val="HD0"/>
        <w:adjustRightInd w:val="0"/>
        <w:ind w:firstLine="480"/>
        <w:rPr>
          <w:rFonts w:ascii="宋体" w:hAnsi="宋体"/>
          <w:sz w:val="24"/>
        </w:rPr>
      </w:pPr>
      <w:r>
        <w:rPr>
          <w:rFonts w:ascii="宋体" w:hAnsi="宋体" w:hint="eastAsia"/>
          <w:sz w:val="24"/>
        </w:rPr>
        <w:t>2、在基金募集期限届满后</w:t>
      </w:r>
      <w:r>
        <w:rPr>
          <w:rFonts w:ascii="宋体" w:hAnsi="宋体" w:hint="eastAsia"/>
          <w:bCs/>
          <w:sz w:val="24"/>
          <w:szCs w:val="24"/>
        </w:rPr>
        <w:t>30</w:t>
      </w:r>
      <w:r>
        <w:rPr>
          <w:rFonts w:ascii="宋体" w:hAnsi="宋体" w:hint="eastAsia"/>
          <w:sz w:val="24"/>
        </w:rPr>
        <w:t>日内返还</w:t>
      </w:r>
      <w:r>
        <w:rPr>
          <w:rFonts w:ascii="宋体" w:hAnsi="宋体"/>
          <w:bCs/>
          <w:sz w:val="24"/>
          <w:szCs w:val="24"/>
        </w:rPr>
        <w:t>投资</w:t>
      </w:r>
      <w:r>
        <w:rPr>
          <w:rFonts w:ascii="宋体" w:hAnsi="宋体" w:hint="eastAsia"/>
          <w:bCs/>
          <w:sz w:val="24"/>
          <w:szCs w:val="24"/>
        </w:rPr>
        <w:t>人</w:t>
      </w:r>
      <w:r>
        <w:rPr>
          <w:rFonts w:ascii="宋体" w:hAnsi="宋体" w:hint="eastAsia"/>
          <w:sz w:val="24"/>
        </w:rPr>
        <w:t>已交纳的款项，并加计银行同期</w:t>
      </w:r>
      <w:r>
        <w:rPr>
          <w:rFonts w:ascii="宋体" w:hAnsi="宋体" w:hint="eastAsia"/>
          <w:bCs/>
          <w:sz w:val="24"/>
          <w:szCs w:val="24"/>
        </w:rPr>
        <w:t>活期</w:t>
      </w:r>
      <w:r>
        <w:rPr>
          <w:rFonts w:ascii="宋体" w:hAnsi="宋体"/>
          <w:bCs/>
          <w:sz w:val="24"/>
          <w:szCs w:val="24"/>
        </w:rPr>
        <w:t>存款</w:t>
      </w:r>
      <w:r>
        <w:rPr>
          <w:rFonts w:ascii="宋体" w:hAnsi="宋体" w:hint="eastAsia"/>
          <w:sz w:val="24"/>
        </w:rPr>
        <w:t>利息</w:t>
      </w:r>
      <w:r>
        <w:rPr>
          <w:rFonts w:ascii="宋体" w:hAnsi="宋体" w:hint="eastAsia"/>
          <w:bCs/>
          <w:sz w:val="24"/>
          <w:szCs w:val="24"/>
        </w:rPr>
        <w:t>（税后）</w:t>
      </w:r>
      <w:r>
        <w:rPr>
          <w:rFonts w:ascii="宋体" w:hAnsi="宋体"/>
          <w:bCs/>
          <w:sz w:val="24"/>
          <w:szCs w:val="24"/>
        </w:rPr>
        <w:t>。</w:t>
      </w:r>
      <w:r>
        <w:rPr>
          <w:rFonts w:ascii="宋体" w:hAnsi="宋体" w:hint="eastAsia"/>
          <w:sz w:val="24"/>
          <w:szCs w:val="24"/>
        </w:rPr>
        <w:t>对于基金募集期间网下股票认购所募集的股票，应予以解冻，基金管理人不承担相关股票冻结期间交易价格波动的责任。登记机构及发售代理机构将协助基金管理人完成相关资金和证券的退还工作；</w:t>
      </w:r>
    </w:p>
    <w:p w14:paraId="3A4B9CF1" w14:textId="77777777" w:rsidR="00E82AF4" w:rsidRDefault="005B2E6A">
      <w:pPr>
        <w:pStyle w:val="HD0"/>
        <w:adjustRightInd w:val="0"/>
        <w:ind w:firstLine="480"/>
        <w:rPr>
          <w:rFonts w:ascii="宋体" w:hAnsi="宋体"/>
          <w:sz w:val="24"/>
        </w:rPr>
      </w:pPr>
      <w:r>
        <w:rPr>
          <w:rFonts w:ascii="宋体" w:hAnsi="宋体" w:hint="eastAsia"/>
          <w:sz w:val="24"/>
        </w:rPr>
        <w:t>3、如基金募集失败，基金管理人、基金托管人及销售机构不得请求报酬。基金管理人、基金托管人和销售机构为基金募集支付之一切费用应由各方各自承担。</w:t>
      </w:r>
    </w:p>
    <w:p w14:paraId="558DA0FB" w14:textId="77777777" w:rsidR="00E82AF4" w:rsidRDefault="005B2E6A">
      <w:pPr>
        <w:pStyle w:val="HD0"/>
        <w:adjustRightInd w:val="0"/>
        <w:ind w:firstLine="480"/>
        <w:rPr>
          <w:rFonts w:ascii="宋体" w:hAnsi="宋体"/>
          <w:sz w:val="24"/>
        </w:rPr>
      </w:pPr>
      <w:r>
        <w:rPr>
          <w:rFonts w:ascii="宋体" w:hAnsi="宋体" w:hint="eastAsia"/>
          <w:sz w:val="24"/>
        </w:rPr>
        <w:t>三、基金存续期内的基金份额持有人数量和资产规模</w:t>
      </w:r>
    </w:p>
    <w:p w14:paraId="2D1566EE" w14:textId="77777777" w:rsidR="00E82AF4" w:rsidRDefault="005B2E6A">
      <w:pPr>
        <w:pStyle w:val="HD0"/>
        <w:adjustRightInd w:val="0"/>
        <w:ind w:firstLine="480"/>
        <w:rPr>
          <w:rFonts w:ascii="宋体" w:hAnsi="宋体"/>
          <w:sz w:val="24"/>
        </w:rPr>
      </w:pPr>
      <w:r>
        <w:rPr>
          <w:rFonts w:ascii="宋体" w:hAnsi="宋体" w:hint="eastAsia"/>
          <w:sz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转换运作方式、与其他基金合并或者终止基金合同等，并于6个月内召集基金份额持有人大会。</w:t>
      </w:r>
    </w:p>
    <w:p w14:paraId="131C7CCD" w14:textId="77777777" w:rsidR="00E82AF4" w:rsidRDefault="005B2E6A">
      <w:pPr>
        <w:pStyle w:val="HD0"/>
        <w:adjustRightInd w:val="0"/>
        <w:ind w:firstLine="480"/>
      </w:pPr>
      <w:r>
        <w:rPr>
          <w:rFonts w:ascii="宋体" w:hAnsi="宋体" w:hint="eastAsia"/>
          <w:sz w:val="24"/>
        </w:rPr>
        <w:lastRenderedPageBreak/>
        <w:t>法律法规或中国证监会另有规定时，从其规定。</w:t>
      </w:r>
    </w:p>
    <w:p w14:paraId="45A2D588" w14:textId="77777777" w:rsidR="00E82AF4" w:rsidRDefault="005B2E6A">
      <w:pPr>
        <w:pStyle w:val="HD0"/>
      </w:pPr>
      <w:r>
        <w:br w:type="page"/>
      </w:r>
    </w:p>
    <w:p w14:paraId="02086A75" w14:textId="77777777" w:rsidR="00E82AF4" w:rsidRDefault="005B2E6A">
      <w:pPr>
        <w:pStyle w:val="1"/>
        <w:spacing w:before="0" w:after="0"/>
        <w:jc w:val="center"/>
        <w:rPr>
          <w:rFonts w:ascii="Times New Roman"/>
          <w:color w:val="auto"/>
          <w:sz w:val="32"/>
          <w:szCs w:val="32"/>
        </w:rPr>
      </w:pPr>
      <w:bookmarkStart w:id="147" w:name="_Toc18336"/>
      <w:bookmarkStart w:id="148" w:name="_Toc32307761"/>
      <w:bookmarkStart w:id="149" w:name="_Toc11081"/>
      <w:r>
        <w:rPr>
          <w:rFonts w:ascii="Times New Roman" w:hint="eastAsia"/>
          <w:color w:val="auto"/>
          <w:sz w:val="32"/>
        </w:rPr>
        <w:lastRenderedPageBreak/>
        <w:t>第六部分</w:t>
      </w:r>
      <w:r>
        <w:rPr>
          <w:rFonts w:ascii="Times New Roman"/>
          <w:color w:val="auto"/>
          <w:sz w:val="32"/>
        </w:rPr>
        <w:t xml:space="preserve">  </w:t>
      </w:r>
      <w:r>
        <w:rPr>
          <w:rFonts w:ascii="Times New Roman" w:hint="eastAsia"/>
          <w:color w:val="auto"/>
          <w:sz w:val="32"/>
        </w:rPr>
        <w:t>基金份额</w:t>
      </w:r>
      <w:r>
        <w:rPr>
          <w:rFonts w:ascii="Times New Roman" w:hint="eastAsia"/>
          <w:color w:val="auto"/>
          <w:sz w:val="32"/>
          <w:szCs w:val="32"/>
        </w:rPr>
        <w:t>折算与变更登记</w:t>
      </w:r>
      <w:bookmarkEnd w:id="147"/>
      <w:bookmarkEnd w:id="148"/>
    </w:p>
    <w:p w14:paraId="5E3E7AB2" w14:textId="77777777" w:rsidR="00E82AF4" w:rsidRDefault="00E82AF4"/>
    <w:p w14:paraId="1081687C" w14:textId="77777777" w:rsidR="00E82AF4" w:rsidRDefault="005B2E6A">
      <w:pPr>
        <w:pStyle w:val="HD0"/>
        <w:adjustRightInd w:val="0"/>
        <w:ind w:firstLine="480"/>
        <w:rPr>
          <w:sz w:val="24"/>
          <w:szCs w:val="24"/>
        </w:rPr>
      </w:pPr>
      <w:r>
        <w:rPr>
          <w:rFonts w:hint="eastAsia"/>
          <w:sz w:val="24"/>
          <w:szCs w:val="24"/>
        </w:rPr>
        <w:t>基金合同生效后，为提高交易便利或根据需要，本基金可以进行份额折算。</w:t>
      </w:r>
    </w:p>
    <w:p w14:paraId="036467C6" w14:textId="77777777" w:rsidR="00E82AF4" w:rsidRDefault="005B2E6A">
      <w:pPr>
        <w:pStyle w:val="HD0"/>
        <w:adjustRightInd w:val="0"/>
        <w:ind w:firstLine="480"/>
        <w:rPr>
          <w:sz w:val="24"/>
          <w:szCs w:val="24"/>
        </w:rPr>
      </w:pPr>
      <w:r>
        <w:rPr>
          <w:rFonts w:hint="eastAsia"/>
          <w:sz w:val="24"/>
          <w:szCs w:val="24"/>
        </w:rPr>
        <w:t>一、基金份额折算的时间</w:t>
      </w:r>
    </w:p>
    <w:p w14:paraId="3D0B6D1B" w14:textId="77777777" w:rsidR="00E82AF4" w:rsidRDefault="005B2E6A">
      <w:pPr>
        <w:pStyle w:val="HD0"/>
        <w:adjustRightInd w:val="0"/>
        <w:ind w:firstLine="480"/>
        <w:rPr>
          <w:sz w:val="24"/>
          <w:szCs w:val="24"/>
        </w:rPr>
      </w:pPr>
      <w:r>
        <w:rPr>
          <w:rFonts w:hint="eastAsia"/>
          <w:sz w:val="24"/>
          <w:szCs w:val="24"/>
        </w:rPr>
        <w:t>基金管理人可以根据运作情况决定是否对基金份额进行折算并提前公告，无需召开基金份额持有人大会进行表决。</w:t>
      </w:r>
    </w:p>
    <w:p w14:paraId="11162860" w14:textId="77777777" w:rsidR="00E82AF4" w:rsidRDefault="005B2E6A">
      <w:pPr>
        <w:pStyle w:val="HD0"/>
        <w:adjustRightInd w:val="0"/>
        <w:ind w:firstLine="480"/>
        <w:rPr>
          <w:sz w:val="24"/>
          <w:szCs w:val="24"/>
        </w:rPr>
      </w:pPr>
      <w:r>
        <w:rPr>
          <w:rFonts w:ascii="宋体"/>
          <w:kern w:val="0"/>
          <w:sz w:val="24"/>
          <w:szCs w:val="24"/>
        </w:rPr>
        <w:t>如果基金份额折算过程中发生不可抗力</w:t>
      </w:r>
      <w:r>
        <w:rPr>
          <w:rFonts w:ascii="宋体" w:hint="eastAsia"/>
          <w:kern w:val="0"/>
          <w:sz w:val="24"/>
          <w:szCs w:val="24"/>
        </w:rPr>
        <w:t>或登记机构遇特殊情况无法办理</w:t>
      </w:r>
      <w:r>
        <w:rPr>
          <w:rFonts w:ascii="宋体"/>
          <w:kern w:val="0"/>
          <w:sz w:val="24"/>
          <w:szCs w:val="24"/>
        </w:rPr>
        <w:t>，基金管理人可延迟办理基金份额折算。</w:t>
      </w:r>
    </w:p>
    <w:p w14:paraId="6B35BF58" w14:textId="77777777" w:rsidR="00E82AF4" w:rsidRDefault="005B2E6A">
      <w:pPr>
        <w:pStyle w:val="HD0"/>
        <w:adjustRightInd w:val="0"/>
        <w:ind w:firstLine="480"/>
        <w:rPr>
          <w:sz w:val="24"/>
          <w:szCs w:val="24"/>
        </w:rPr>
      </w:pPr>
      <w:r>
        <w:rPr>
          <w:rFonts w:hint="eastAsia"/>
          <w:sz w:val="24"/>
          <w:szCs w:val="24"/>
        </w:rPr>
        <w:t>二、基金份额折算的原则</w:t>
      </w:r>
    </w:p>
    <w:p w14:paraId="592AC053" w14:textId="77777777" w:rsidR="00E82AF4" w:rsidRDefault="005B2E6A">
      <w:pPr>
        <w:pStyle w:val="HD0"/>
        <w:adjustRightInd w:val="0"/>
        <w:ind w:firstLine="480"/>
        <w:rPr>
          <w:sz w:val="24"/>
          <w:szCs w:val="24"/>
        </w:rPr>
      </w:pPr>
      <w:r>
        <w:rPr>
          <w:rFonts w:hint="eastAsia"/>
          <w:sz w:val="24"/>
          <w:szCs w:val="24"/>
        </w:rPr>
        <w:t>如未来本基金增加基金份额的类别，基金管理人在实施份额折算时，可对全部份额类别进行折算，也可根据需要只对其中部分类别的份额进行折算。基金管理人将采取措施确保各类别基金份额的平等权利，具体处理措施以届时公告为准。</w:t>
      </w:r>
    </w:p>
    <w:p w14:paraId="375A3CF6" w14:textId="77777777" w:rsidR="00E82AF4" w:rsidRDefault="005B2E6A">
      <w:pPr>
        <w:pStyle w:val="HD0"/>
        <w:adjustRightInd w:val="0"/>
        <w:ind w:firstLine="480"/>
        <w:rPr>
          <w:sz w:val="24"/>
          <w:szCs w:val="24"/>
        </w:rPr>
      </w:pPr>
      <w:r>
        <w:rPr>
          <w:rFonts w:hint="eastAsia"/>
          <w:sz w:val="24"/>
          <w:szCs w:val="24"/>
        </w:rPr>
        <w:t>基金份额折算由基金管理人向登记机构申请办理，并由登记机构进行基金份额的变更登记。基金份额折算的比例和具体方法和安排本基金管理人将在份额折算公告中列示。</w:t>
      </w:r>
    </w:p>
    <w:p w14:paraId="5D4AA004" w14:textId="77777777" w:rsidR="00E82AF4" w:rsidRDefault="005B2E6A">
      <w:pPr>
        <w:pStyle w:val="HD0"/>
        <w:adjustRightInd w:val="0"/>
        <w:ind w:firstLine="480"/>
        <w:rPr>
          <w:sz w:val="24"/>
          <w:szCs w:val="24"/>
        </w:rPr>
      </w:pPr>
      <w:r>
        <w:rPr>
          <w:rFonts w:hint="eastAsia"/>
          <w:sz w:val="24"/>
          <w:szCs w:val="24"/>
        </w:rPr>
        <w:t>基金份额折算后，本基金的基金份额总额与基金份额持有人持有的基金份额数额将发生调整，但调整后的基金份额持有人持有的基金份额占基金份额总额的比例不发生变化。</w:t>
      </w:r>
      <w:r>
        <w:rPr>
          <w:rFonts w:hint="eastAsia"/>
          <w:bCs/>
          <w:sz w:val="24"/>
        </w:rPr>
        <w:t>除因尾数处理而可能产生的损益外，</w:t>
      </w:r>
      <w:r>
        <w:rPr>
          <w:rFonts w:hint="eastAsia"/>
          <w:sz w:val="24"/>
          <w:szCs w:val="24"/>
        </w:rPr>
        <w:t>基金份额折算对基金份额持有人的权益无实质性不利影响。基金份额折算后，基金份额持有人将按照折算后的基金份额享有权利并承担义务。</w:t>
      </w:r>
    </w:p>
    <w:p w14:paraId="0E4CE111" w14:textId="77777777" w:rsidR="00E82AF4" w:rsidRDefault="005B2E6A">
      <w:pPr>
        <w:widowControl/>
        <w:jc w:val="left"/>
        <w:rPr>
          <w:szCs w:val="21"/>
        </w:rPr>
      </w:pPr>
      <w:r>
        <w:br w:type="page"/>
      </w:r>
    </w:p>
    <w:p w14:paraId="71D619B7" w14:textId="77777777" w:rsidR="00E82AF4" w:rsidRDefault="005B2E6A">
      <w:pPr>
        <w:pStyle w:val="1"/>
        <w:spacing w:before="0" w:after="0"/>
        <w:jc w:val="center"/>
        <w:rPr>
          <w:rFonts w:ascii="Times New Roman"/>
          <w:color w:val="auto"/>
          <w:sz w:val="32"/>
          <w:szCs w:val="32"/>
        </w:rPr>
      </w:pPr>
      <w:bookmarkStart w:id="150" w:name="_Toc32307762"/>
      <w:bookmarkStart w:id="151" w:name="_Toc11999"/>
      <w:r>
        <w:rPr>
          <w:rFonts w:ascii="Times New Roman"/>
          <w:color w:val="auto"/>
          <w:sz w:val="32"/>
          <w:szCs w:val="32"/>
        </w:rPr>
        <w:lastRenderedPageBreak/>
        <w:t>第</w:t>
      </w:r>
      <w:r>
        <w:rPr>
          <w:rFonts w:ascii="Times New Roman" w:hint="eastAsia"/>
          <w:color w:val="auto"/>
          <w:sz w:val="32"/>
          <w:szCs w:val="32"/>
        </w:rPr>
        <w:t>七</w:t>
      </w:r>
      <w:r>
        <w:rPr>
          <w:rFonts w:ascii="Times New Roman"/>
          <w:color w:val="auto"/>
          <w:sz w:val="32"/>
          <w:szCs w:val="32"/>
        </w:rPr>
        <w:t>部分</w:t>
      </w:r>
      <w:r>
        <w:rPr>
          <w:rFonts w:ascii="Times New Roman"/>
          <w:color w:val="auto"/>
          <w:sz w:val="32"/>
          <w:szCs w:val="32"/>
        </w:rPr>
        <w:t xml:space="preserve">  </w:t>
      </w:r>
      <w:r>
        <w:rPr>
          <w:rFonts w:ascii="Times New Roman" w:hint="eastAsia"/>
          <w:color w:val="auto"/>
          <w:sz w:val="32"/>
          <w:szCs w:val="32"/>
        </w:rPr>
        <w:t>基金份额的上市交易</w:t>
      </w:r>
      <w:bookmarkEnd w:id="150"/>
      <w:bookmarkEnd w:id="151"/>
    </w:p>
    <w:p w14:paraId="02DC6806" w14:textId="77777777" w:rsidR="00E82AF4" w:rsidRDefault="00E82AF4">
      <w:pPr>
        <w:spacing w:line="360" w:lineRule="auto"/>
        <w:ind w:firstLine="540"/>
        <w:rPr>
          <w:bCs/>
          <w:sz w:val="24"/>
        </w:rPr>
      </w:pPr>
    </w:p>
    <w:p w14:paraId="452651AB"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一、基金份额的上市</w:t>
      </w:r>
    </w:p>
    <w:p w14:paraId="0C6AFC21"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基金合同生效后，具备下列条件的，基金管理人可依据《深圳证券交易所证券投资基金上市规则》，向深圳证券交易所申请基金份额上市：</w:t>
      </w:r>
    </w:p>
    <w:p w14:paraId="7915A6D3"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1、本基金场内基金资产净值不低于2亿元；</w:t>
      </w:r>
    </w:p>
    <w:p w14:paraId="09814F9E"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2、本基金场内基金份额持有人不少于1000人；</w:t>
      </w:r>
    </w:p>
    <w:p w14:paraId="0FB2BDF3"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3、法律法规及深圳</w:t>
      </w:r>
      <w:r>
        <w:rPr>
          <w:rFonts w:ascii="宋体" w:hAnsi="宋体"/>
          <w:sz w:val="24"/>
          <w:szCs w:val="24"/>
        </w:rPr>
        <w:t>证券</w:t>
      </w:r>
      <w:r>
        <w:rPr>
          <w:rFonts w:ascii="宋体" w:hAnsi="宋体" w:hint="eastAsia"/>
          <w:sz w:val="24"/>
          <w:szCs w:val="24"/>
        </w:rPr>
        <w:t>交易所</w:t>
      </w:r>
      <w:r>
        <w:rPr>
          <w:rFonts w:ascii="宋体" w:hAnsi="宋体"/>
          <w:sz w:val="24"/>
          <w:szCs w:val="24"/>
        </w:rPr>
        <w:t>规定的其他条件。</w:t>
      </w:r>
    </w:p>
    <w:p w14:paraId="70C435F5"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二、基金份额的上市交易</w:t>
      </w:r>
    </w:p>
    <w:p w14:paraId="5FDA4440"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基金份额在深圳证券交易所的上市交易，应遵照《深圳证券交易所交易规则》、《深圳证券交易所证券投资基金上市规则》、</w:t>
      </w:r>
      <w:r>
        <w:rPr>
          <w:rFonts w:ascii="宋体" w:hAnsi="宋体" w:hint="eastAsia"/>
          <w:bCs/>
          <w:sz w:val="24"/>
          <w:szCs w:val="24"/>
        </w:rPr>
        <w:t>《深圳证券交易所证券投资基金交易和申购赎回实施细则》</w:t>
      </w:r>
      <w:r>
        <w:rPr>
          <w:rFonts w:ascii="宋体" w:hAnsi="宋体" w:hint="eastAsia"/>
          <w:sz w:val="24"/>
          <w:szCs w:val="24"/>
        </w:rPr>
        <w:t>等有关规定。</w:t>
      </w:r>
    </w:p>
    <w:p w14:paraId="1AFBCB56"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三、基金份额上市交易的停复牌、暂停上市、恢复上市和终止上市</w:t>
      </w:r>
    </w:p>
    <w:p w14:paraId="134703C8"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上市基金份额的停复牌、暂停上市、恢复上市和终止上市按照《深圳证券交易所证券投资基金上市规则》等相关规定执行。</w:t>
      </w:r>
    </w:p>
    <w:p w14:paraId="02EDBA73" w14:textId="77777777" w:rsidR="00E82AF4" w:rsidRDefault="005B2E6A">
      <w:pPr>
        <w:adjustRightInd w:val="0"/>
        <w:snapToGrid w:val="0"/>
        <w:spacing w:line="360" w:lineRule="auto"/>
        <w:ind w:firstLine="539"/>
        <w:rPr>
          <w:rFonts w:ascii="宋体" w:hAnsi="宋体"/>
          <w:sz w:val="24"/>
          <w:szCs w:val="24"/>
        </w:rPr>
      </w:pPr>
      <w:r>
        <w:rPr>
          <w:rFonts w:ascii="宋体" w:hAnsi="宋体" w:cs="宋体" w:hint="eastAsia"/>
          <w:sz w:val="24"/>
          <w:szCs w:val="24"/>
        </w:rPr>
        <w:t>当本基金发生深圳证券交易所业务规则所规定的因不再具备上市条件而应当终止上市的情形时，本基金将根据基金合同第二十一部分的约定终止基金合同并进行基金财产清算，无需召开基金份额持有人大会</w:t>
      </w:r>
      <w:r>
        <w:rPr>
          <w:rFonts w:ascii="宋体" w:hAnsi="宋体" w:hint="eastAsia"/>
          <w:sz w:val="24"/>
          <w:szCs w:val="24"/>
        </w:rPr>
        <w:t>。</w:t>
      </w:r>
    </w:p>
    <w:p w14:paraId="1B20A26F" w14:textId="77777777" w:rsidR="00E82AF4" w:rsidRDefault="005B2E6A">
      <w:pPr>
        <w:adjustRightInd w:val="0"/>
        <w:snapToGrid w:val="0"/>
        <w:spacing w:line="360" w:lineRule="auto"/>
        <w:ind w:firstLine="539"/>
        <w:rPr>
          <w:rFonts w:ascii="宋体" w:hAnsi="宋体"/>
          <w:sz w:val="24"/>
          <w:szCs w:val="24"/>
        </w:rPr>
      </w:pPr>
      <w:r>
        <w:rPr>
          <w:rFonts w:ascii="宋体" w:hAnsi="宋体" w:hint="eastAsia"/>
          <w:sz w:val="24"/>
          <w:szCs w:val="24"/>
        </w:rPr>
        <w:t>四、基金份额参考净值（IOPV）的计算与公告详见本基金《招募说明书》。</w:t>
      </w:r>
    </w:p>
    <w:p w14:paraId="4642F729" w14:textId="77777777" w:rsidR="00E82AF4" w:rsidRDefault="005B2E6A">
      <w:pPr>
        <w:pStyle w:val="HD0"/>
        <w:ind w:firstLine="480"/>
        <w:rPr>
          <w:rFonts w:ascii="宋体" w:hAnsi="宋体"/>
          <w:bCs/>
          <w:sz w:val="24"/>
          <w:szCs w:val="24"/>
        </w:rPr>
      </w:pPr>
      <w:r>
        <w:rPr>
          <w:rFonts w:ascii="宋体" w:hAnsi="宋体" w:hint="eastAsia"/>
          <w:bCs/>
          <w:sz w:val="24"/>
          <w:szCs w:val="24"/>
        </w:rPr>
        <w:t>五、相关法律法规、中国证监会、深圳证券交易所或登记机构对基金份额上市交易的规则等相关规定内容进行调整的，本基金按照新规定执行，</w:t>
      </w:r>
      <w:r>
        <w:rPr>
          <w:rFonts w:ascii="宋体" w:hAnsi="宋体" w:hint="eastAsia"/>
          <w:sz w:val="24"/>
          <w:szCs w:val="24"/>
        </w:rPr>
        <w:t>无须</w:t>
      </w:r>
      <w:r>
        <w:rPr>
          <w:rFonts w:ascii="宋体" w:hAnsi="宋体" w:hint="eastAsia"/>
          <w:bCs/>
          <w:sz w:val="24"/>
          <w:szCs w:val="24"/>
        </w:rPr>
        <w:t>召开基金份额持有人大会。</w:t>
      </w:r>
    </w:p>
    <w:p w14:paraId="59510625" w14:textId="77777777" w:rsidR="00E82AF4" w:rsidRDefault="005B2E6A">
      <w:pPr>
        <w:adjustRightInd w:val="0"/>
        <w:snapToGrid w:val="0"/>
        <w:spacing w:line="360" w:lineRule="auto"/>
        <w:ind w:firstLine="539"/>
        <w:rPr>
          <w:rFonts w:ascii="宋体" w:hAnsi="宋体"/>
          <w:bCs/>
          <w:sz w:val="24"/>
          <w:szCs w:val="24"/>
        </w:rPr>
      </w:pPr>
      <w:r>
        <w:rPr>
          <w:rFonts w:ascii="宋体" w:hAnsi="宋体" w:hint="eastAsia"/>
          <w:bCs/>
          <w:sz w:val="24"/>
          <w:szCs w:val="24"/>
        </w:rPr>
        <w:t>六、若深圳证券交易所、中国证券登记结算有限责任公司增加了基金上市交易相关新功能，基金管理人可以在履行适当的程序后为本基金增加相应功能，</w:t>
      </w:r>
      <w:r>
        <w:rPr>
          <w:rFonts w:ascii="宋体" w:hAnsi="宋体"/>
          <w:bCs/>
          <w:sz w:val="24"/>
          <w:szCs w:val="24"/>
        </w:rPr>
        <w:t>无需召开基金份额持有人大会。</w:t>
      </w:r>
    </w:p>
    <w:p w14:paraId="647E5D38" w14:textId="77777777" w:rsidR="00E82AF4" w:rsidRDefault="005B2E6A">
      <w:pPr>
        <w:adjustRightInd w:val="0"/>
        <w:snapToGrid w:val="0"/>
        <w:spacing w:line="360" w:lineRule="auto"/>
        <w:ind w:firstLine="539"/>
        <w:rPr>
          <w:rFonts w:ascii="宋体" w:hAnsi="宋体"/>
          <w:bCs/>
          <w:sz w:val="24"/>
          <w:szCs w:val="24"/>
        </w:rPr>
      </w:pPr>
      <w:r>
        <w:rPr>
          <w:rFonts w:ascii="宋体" w:hAnsi="宋体" w:hint="eastAsia"/>
          <w:bCs/>
          <w:sz w:val="24"/>
          <w:szCs w:val="24"/>
        </w:rPr>
        <w:t>七、在不违反法律法规且对基金份额持有人无实质性不利影响的前提下，本基金在履行适当程序后可以申请在包括境外交易所在内的其他证券交易所上市交易，无需召开基金份额持有人大会。</w:t>
      </w:r>
    </w:p>
    <w:p w14:paraId="37C90767" w14:textId="77777777" w:rsidR="00E82AF4" w:rsidRDefault="005B2E6A">
      <w:pPr>
        <w:spacing w:line="360" w:lineRule="auto"/>
        <w:ind w:firstLine="540"/>
        <w:rPr>
          <w:rFonts w:ascii="宋体" w:hAnsi="宋体"/>
          <w:sz w:val="24"/>
        </w:rPr>
      </w:pPr>
      <w:r>
        <w:rPr>
          <w:rFonts w:ascii="宋体" w:hAnsi="宋体" w:hint="eastAsia"/>
          <w:sz w:val="24"/>
          <w:szCs w:val="24"/>
        </w:rPr>
        <w:t>八、法律法规、监管部门或深圳证券交易所对上市交易另有规定的，从其</w:t>
      </w:r>
      <w:r>
        <w:rPr>
          <w:rFonts w:ascii="宋体" w:hAnsi="宋体" w:hint="eastAsia"/>
          <w:sz w:val="24"/>
          <w:szCs w:val="24"/>
        </w:rPr>
        <w:lastRenderedPageBreak/>
        <w:t>规定。</w:t>
      </w:r>
    </w:p>
    <w:bookmarkEnd w:id="89"/>
    <w:p w14:paraId="6DA3A4C2" w14:textId="77777777" w:rsidR="00E82AF4" w:rsidRDefault="00E82AF4">
      <w:pPr>
        <w:pStyle w:val="HD0"/>
      </w:pPr>
    </w:p>
    <w:p w14:paraId="35F9D1E9" w14:textId="77777777" w:rsidR="00E82AF4" w:rsidRDefault="00E82AF4">
      <w:pPr>
        <w:pStyle w:val="1"/>
        <w:spacing w:before="0" w:after="0"/>
        <w:jc w:val="center"/>
        <w:rPr>
          <w:rFonts w:ascii="Times New Roman"/>
          <w:color w:val="auto"/>
          <w:sz w:val="32"/>
          <w:szCs w:val="32"/>
        </w:rPr>
        <w:sectPr w:rsidR="00E82AF4">
          <w:pgSz w:w="11906" w:h="16838"/>
          <w:pgMar w:top="1440" w:right="1800" w:bottom="1440" w:left="1800" w:header="851" w:footer="992" w:gutter="0"/>
          <w:cols w:space="720"/>
          <w:docGrid w:type="lines" w:linePitch="312"/>
        </w:sectPr>
      </w:pPr>
      <w:bookmarkStart w:id="152" w:name="_Toc1427"/>
      <w:bookmarkStart w:id="153" w:name="_Toc98560352"/>
      <w:bookmarkStart w:id="154" w:name="_Toc10463"/>
      <w:bookmarkStart w:id="155" w:name="_Toc20733"/>
      <w:bookmarkStart w:id="156" w:name="_Toc139991736"/>
      <w:bookmarkStart w:id="157" w:name="_Toc4003"/>
      <w:bookmarkStart w:id="158" w:name="_Toc79392606"/>
      <w:bookmarkStart w:id="159" w:name="_Toc123102453"/>
      <w:bookmarkStart w:id="160" w:name="_Toc610"/>
      <w:bookmarkStart w:id="161" w:name="_Toc17244"/>
      <w:bookmarkStart w:id="162" w:name="_Toc123112234"/>
      <w:bookmarkStart w:id="163" w:name="_Toc23822"/>
      <w:bookmarkStart w:id="164" w:name="_Toc123051452"/>
      <w:bookmarkStart w:id="165" w:name="_Toc1270"/>
      <w:bookmarkStart w:id="166" w:name="_Toc7920"/>
      <w:bookmarkStart w:id="167" w:name="_Toc23261"/>
      <w:bookmarkStart w:id="168" w:name="_Toc141703886"/>
      <w:bookmarkStart w:id="169" w:name="_Toc48649707"/>
    </w:p>
    <w:p w14:paraId="79FCB418" w14:textId="77777777" w:rsidR="00E82AF4" w:rsidRDefault="005B2E6A">
      <w:pPr>
        <w:pStyle w:val="1"/>
        <w:spacing w:before="0" w:after="0"/>
        <w:jc w:val="center"/>
        <w:rPr>
          <w:rFonts w:ascii="Times New Roman"/>
          <w:color w:val="auto"/>
          <w:sz w:val="32"/>
        </w:rPr>
      </w:pPr>
      <w:bookmarkStart w:id="170" w:name="CTS_655f890a9f8245efb712ec10eb0f7915"/>
      <w:bookmarkStart w:id="171" w:name="CTS_4c592a7414614caa83caed773fb335a0"/>
      <w:bookmarkStart w:id="172" w:name="_Toc16907"/>
      <w:bookmarkStart w:id="173" w:name="_Toc32307763"/>
      <w:bookmarkStart w:id="174" w:name="CLAUSE_89ee83da6a12433a8f21d3af2cf1c9f5"/>
      <w:bookmarkStart w:id="175" w:name="CLAUSE_655f890a9f8245efb712ec10eb0f7915"/>
      <w:bookmarkStart w:id="176" w:name="CLAUSE_4c592a7414614caa83caed773fb335a0"/>
      <w:bookmarkEnd w:id="90"/>
      <w:bookmarkEnd w:id="91"/>
      <w:bookmarkEnd w:id="170"/>
      <w:bookmarkEnd w:id="171"/>
      <w:r>
        <w:rPr>
          <w:rFonts w:ascii="Times New Roman"/>
          <w:color w:val="auto"/>
          <w:sz w:val="32"/>
          <w:szCs w:val="32"/>
        </w:rPr>
        <w:lastRenderedPageBreak/>
        <w:t>第</w:t>
      </w:r>
      <w:r>
        <w:rPr>
          <w:rFonts w:ascii="Times New Roman" w:hint="eastAsia"/>
          <w:color w:val="auto"/>
          <w:sz w:val="32"/>
          <w:szCs w:val="32"/>
        </w:rPr>
        <w:t>八</w:t>
      </w:r>
      <w:r>
        <w:rPr>
          <w:rFonts w:ascii="Times New Roman"/>
          <w:color w:val="auto"/>
          <w:sz w:val="32"/>
          <w:szCs w:val="32"/>
        </w:rPr>
        <w:t>部分</w:t>
      </w:r>
      <w:r>
        <w:rPr>
          <w:rFonts w:ascii="Times New Roman"/>
          <w:color w:val="auto"/>
          <w:sz w:val="32"/>
          <w:szCs w:val="32"/>
        </w:rPr>
        <w:t xml:space="preserve">  </w:t>
      </w:r>
      <w:r>
        <w:rPr>
          <w:rFonts w:ascii="Times New Roman"/>
          <w:color w:val="auto"/>
          <w:sz w:val="32"/>
          <w:szCs w:val="32"/>
        </w:rPr>
        <w:t>基金份额</w:t>
      </w:r>
      <w:r>
        <w:rPr>
          <w:rFonts w:ascii="Times New Roman" w:hint="eastAsia"/>
          <w:color w:val="auto"/>
          <w:sz w:val="32"/>
        </w:rPr>
        <w:t>的申购与赎回</w:t>
      </w:r>
      <w:bookmarkEnd w:id="149"/>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2"/>
      <w:bookmarkEnd w:id="173"/>
    </w:p>
    <w:p w14:paraId="45B05B1D" w14:textId="77777777" w:rsidR="00E82AF4" w:rsidRDefault="00E82AF4">
      <w:pPr>
        <w:pStyle w:val="HD0"/>
        <w:adjustRightInd w:val="0"/>
        <w:ind w:firstLineChars="0" w:firstLine="0"/>
        <w:rPr>
          <w:rFonts w:ascii="宋体" w:hAnsi="宋体"/>
          <w:sz w:val="24"/>
        </w:rPr>
      </w:pPr>
    </w:p>
    <w:p w14:paraId="0F59910D" w14:textId="77777777" w:rsidR="00E82AF4" w:rsidRDefault="005B2E6A">
      <w:pPr>
        <w:pStyle w:val="HD0"/>
        <w:adjustRightInd w:val="0"/>
        <w:ind w:firstLine="480"/>
        <w:rPr>
          <w:rFonts w:ascii="宋体" w:hAnsi="宋体"/>
          <w:sz w:val="24"/>
        </w:rPr>
      </w:pPr>
      <w:r>
        <w:rPr>
          <w:rFonts w:ascii="宋体" w:hAnsi="宋体" w:hint="eastAsia"/>
          <w:sz w:val="24"/>
        </w:rPr>
        <w:t>一、申购和赎回场所</w:t>
      </w:r>
    </w:p>
    <w:p w14:paraId="1C24605E" w14:textId="77777777" w:rsidR="00E82AF4" w:rsidRDefault="005B2E6A">
      <w:pPr>
        <w:pStyle w:val="HD0"/>
        <w:adjustRightInd w:val="0"/>
        <w:ind w:firstLine="480"/>
        <w:rPr>
          <w:rFonts w:ascii="宋体" w:hAnsi="宋体"/>
          <w:sz w:val="24"/>
          <w:szCs w:val="24"/>
        </w:rPr>
      </w:pPr>
      <w:r>
        <w:rPr>
          <w:rFonts w:ascii="宋体" w:hAnsi="宋体" w:hint="eastAsia"/>
          <w:sz w:val="24"/>
          <w:szCs w:val="24"/>
        </w:rPr>
        <w:t>投资人</w:t>
      </w:r>
      <w:r>
        <w:rPr>
          <w:rFonts w:ascii="宋体" w:hAnsi="宋体" w:hint="eastAsia"/>
          <w:sz w:val="24"/>
        </w:rPr>
        <w:t>应当在</w:t>
      </w:r>
      <w:r>
        <w:rPr>
          <w:rFonts w:ascii="宋体" w:hAnsi="宋体" w:hint="eastAsia"/>
          <w:sz w:val="24"/>
          <w:szCs w:val="24"/>
        </w:rPr>
        <w:t>申购赎回代理券商</w:t>
      </w:r>
      <w:r>
        <w:rPr>
          <w:rFonts w:ascii="宋体" w:hAnsi="宋体" w:hint="eastAsia"/>
          <w:sz w:val="24"/>
        </w:rPr>
        <w:t>办理基金</w:t>
      </w:r>
      <w:r>
        <w:rPr>
          <w:rFonts w:ascii="宋体" w:hAnsi="宋体" w:hint="eastAsia"/>
          <w:sz w:val="24"/>
          <w:szCs w:val="24"/>
        </w:rPr>
        <w:t>申购、赎回</w:t>
      </w:r>
      <w:r>
        <w:rPr>
          <w:rFonts w:ascii="宋体" w:hAnsi="宋体" w:hint="eastAsia"/>
          <w:sz w:val="24"/>
        </w:rPr>
        <w:t>业务的营业场所或按</w:t>
      </w:r>
      <w:r>
        <w:rPr>
          <w:rFonts w:ascii="宋体" w:hAnsi="宋体" w:hint="eastAsia"/>
          <w:sz w:val="24"/>
          <w:szCs w:val="24"/>
        </w:rPr>
        <w:t>申购赎回代理券商</w:t>
      </w:r>
      <w:r>
        <w:rPr>
          <w:rFonts w:ascii="宋体" w:hAnsi="宋体" w:hint="eastAsia"/>
          <w:sz w:val="24"/>
        </w:rPr>
        <w:t>提供的其他方式办理</w:t>
      </w:r>
      <w:r>
        <w:rPr>
          <w:rFonts w:ascii="宋体" w:hAnsi="宋体" w:hint="eastAsia"/>
          <w:sz w:val="24"/>
          <w:szCs w:val="24"/>
        </w:rPr>
        <w:t>本</w:t>
      </w:r>
      <w:r>
        <w:rPr>
          <w:rFonts w:ascii="宋体" w:hAnsi="宋体" w:hint="eastAsia"/>
          <w:sz w:val="24"/>
        </w:rPr>
        <w:t>基金的申购</w:t>
      </w:r>
      <w:r>
        <w:rPr>
          <w:rFonts w:ascii="宋体" w:hAnsi="宋体" w:hint="eastAsia"/>
          <w:sz w:val="24"/>
          <w:szCs w:val="24"/>
        </w:rPr>
        <w:t>和</w:t>
      </w:r>
      <w:r>
        <w:rPr>
          <w:rFonts w:ascii="宋体" w:hAnsi="宋体" w:hint="eastAsia"/>
          <w:sz w:val="24"/>
        </w:rPr>
        <w:t>赎回</w:t>
      </w:r>
      <w:r>
        <w:rPr>
          <w:rFonts w:ascii="宋体" w:hAnsi="宋体" w:hint="eastAsia"/>
          <w:sz w:val="24"/>
          <w:szCs w:val="24"/>
        </w:rPr>
        <w:t>。</w:t>
      </w:r>
    </w:p>
    <w:p w14:paraId="6CA945CB" w14:textId="77777777" w:rsidR="00E82AF4" w:rsidRDefault="005B2E6A">
      <w:pPr>
        <w:pStyle w:val="HD0"/>
        <w:adjustRightInd w:val="0"/>
        <w:ind w:firstLine="480"/>
        <w:rPr>
          <w:rFonts w:ascii="宋体" w:hAnsi="宋体"/>
          <w:sz w:val="24"/>
        </w:rPr>
      </w:pPr>
      <w:r>
        <w:rPr>
          <w:rFonts w:ascii="宋体" w:hAnsi="宋体" w:hint="eastAsia"/>
          <w:sz w:val="24"/>
          <w:szCs w:val="24"/>
        </w:rPr>
        <w:t>基金管理人在开始办理申购、赎回业务前公示申购赎回代理券商的名单，并可依据实际情况增加、减少或变更申购赎回代理券商，并在基金管理人网站上公示</w:t>
      </w:r>
      <w:r>
        <w:rPr>
          <w:rFonts w:ascii="宋体" w:hAnsi="宋体" w:hint="eastAsia"/>
          <w:sz w:val="24"/>
        </w:rPr>
        <w:t>。</w:t>
      </w:r>
    </w:p>
    <w:p w14:paraId="0C409AFC" w14:textId="77777777" w:rsidR="00E82AF4" w:rsidRDefault="005B2E6A">
      <w:pPr>
        <w:pStyle w:val="HD0"/>
        <w:adjustRightInd w:val="0"/>
        <w:ind w:firstLine="480"/>
        <w:rPr>
          <w:rFonts w:ascii="宋体" w:hAnsi="宋体"/>
          <w:sz w:val="24"/>
        </w:rPr>
      </w:pPr>
      <w:r>
        <w:rPr>
          <w:rFonts w:ascii="宋体" w:hAnsi="宋体" w:hint="eastAsia"/>
          <w:sz w:val="24"/>
        </w:rPr>
        <w:t>在法律法规、基金合同及未来条件允许的情况下，基金管理人直销可以开通申购赎回业务，具体业务的办理时间及办理方式基金管理人将另行公告。</w:t>
      </w:r>
    </w:p>
    <w:p w14:paraId="59A0F5F9" w14:textId="77777777" w:rsidR="00E82AF4" w:rsidRDefault="005B2E6A">
      <w:pPr>
        <w:pStyle w:val="HD0"/>
        <w:adjustRightInd w:val="0"/>
        <w:ind w:firstLine="480"/>
        <w:rPr>
          <w:rFonts w:ascii="宋体" w:hAnsi="宋体"/>
          <w:sz w:val="24"/>
        </w:rPr>
      </w:pPr>
      <w:r>
        <w:rPr>
          <w:rFonts w:ascii="宋体" w:hAnsi="宋体" w:hint="eastAsia"/>
          <w:sz w:val="24"/>
        </w:rPr>
        <w:t>二、申购和赎回的开放日及时间</w:t>
      </w:r>
    </w:p>
    <w:p w14:paraId="183C4921"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、开放日及开放时间</w:t>
      </w:r>
    </w:p>
    <w:p w14:paraId="4FD80318" w14:textId="77777777" w:rsidR="00E82AF4" w:rsidRDefault="005B2E6A">
      <w:pPr>
        <w:pStyle w:val="HD0"/>
        <w:adjustRightInd w:val="0"/>
        <w:ind w:firstLine="480"/>
        <w:rPr>
          <w:rFonts w:ascii="宋体" w:hAnsi="宋体"/>
          <w:sz w:val="24"/>
        </w:rPr>
      </w:pPr>
      <w:r>
        <w:rPr>
          <w:rFonts w:ascii="宋体" w:hAnsi="宋体" w:hint="eastAsia"/>
          <w:sz w:val="24"/>
        </w:rPr>
        <w:t>投资人在开放日办理基金份额的申购和赎回，</w:t>
      </w:r>
      <w:r>
        <w:rPr>
          <w:rFonts w:ascii="宋体" w:hAnsi="宋体" w:hint="eastAsia"/>
          <w:bCs/>
          <w:sz w:val="24"/>
          <w:szCs w:val="24"/>
        </w:rPr>
        <w:t>开放日的</w:t>
      </w:r>
      <w:r>
        <w:rPr>
          <w:rFonts w:ascii="宋体" w:hAnsi="宋体" w:hint="eastAsia"/>
          <w:sz w:val="24"/>
        </w:rPr>
        <w:t>具体</w:t>
      </w:r>
      <w:r>
        <w:rPr>
          <w:rFonts w:ascii="宋体" w:hAnsi="宋体" w:hint="eastAsia"/>
          <w:bCs/>
          <w:sz w:val="24"/>
          <w:szCs w:val="24"/>
        </w:rPr>
        <w:t>业务</w:t>
      </w:r>
      <w:r>
        <w:rPr>
          <w:rFonts w:ascii="宋体" w:hAnsi="宋体" w:hint="eastAsia"/>
          <w:sz w:val="24"/>
        </w:rPr>
        <w:t>办理时间为上海证券交易所、深圳证券交易所的正常交易日的交易时间，但基金管理人根据法律法规、中国证监会的要求或本基金合同的规定公告暂停申购、赎回时除外。</w:t>
      </w:r>
    </w:p>
    <w:p w14:paraId="492833D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基金合同生效后，若出现不可抗力、新的证券</w:t>
      </w:r>
      <w:r>
        <w:rPr>
          <w:rFonts w:ascii="宋体" w:hAnsi="宋体" w:hint="eastAsia"/>
          <w:bCs/>
          <w:sz w:val="24"/>
          <w:szCs w:val="24"/>
        </w:rPr>
        <w:t>/期货</w:t>
      </w:r>
      <w:r>
        <w:rPr>
          <w:rFonts w:ascii="宋体" w:hAnsi="宋体" w:hint="eastAsia"/>
          <w:sz w:val="24"/>
        </w:rPr>
        <w:t>交易市场、</w:t>
      </w:r>
      <w:r>
        <w:rPr>
          <w:rFonts w:ascii="宋体" w:hAnsi="宋体"/>
          <w:bCs/>
          <w:sz w:val="24"/>
          <w:szCs w:val="24"/>
        </w:rPr>
        <w:t>证券</w:t>
      </w:r>
      <w:r>
        <w:rPr>
          <w:rFonts w:ascii="宋体" w:hAnsi="宋体" w:hint="eastAsia"/>
          <w:bCs/>
          <w:sz w:val="24"/>
          <w:szCs w:val="24"/>
        </w:rPr>
        <w:t>/期货</w:t>
      </w:r>
      <w:r>
        <w:rPr>
          <w:rFonts w:ascii="宋体" w:hAnsi="宋体"/>
          <w:bCs/>
          <w:sz w:val="24"/>
          <w:szCs w:val="24"/>
        </w:rPr>
        <w:t>交易所</w:t>
      </w:r>
      <w:r>
        <w:rPr>
          <w:rFonts w:ascii="宋体" w:hAnsi="宋体" w:hint="eastAsia"/>
          <w:sz w:val="24"/>
        </w:rPr>
        <w:t>交易时间变更或其他特殊情况或根据业务需要，基金管理人</w:t>
      </w:r>
      <w:r>
        <w:rPr>
          <w:rFonts w:ascii="宋体" w:hAnsi="宋体" w:hint="eastAsia"/>
          <w:bCs/>
          <w:sz w:val="24"/>
          <w:szCs w:val="24"/>
        </w:rPr>
        <w:t>有权</w:t>
      </w:r>
      <w:r>
        <w:rPr>
          <w:rFonts w:ascii="宋体" w:hAnsi="宋体" w:hint="eastAsia"/>
          <w:sz w:val="24"/>
        </w:rPr>
        <w:t>视情况对前述开放日及开放时间进行相应的调整，但应依照《信息披露办法》的有关规定在规定媒介上公告。</w:t>
      </w:r>
    </w:p>
    <w:p w14:paraId="199FD22E" w14:textId="77777777" w:rsidR="00E82AF4" w:rsidRDefault="005B2E6A">
      <w:pPr>
        <w:pStyle w:val="HD0"/>
        <w:adjustRightInd w:val="0"/>
        <w:ind w:firstLine="480"/>
        <w:rPr>
          <w:rFonts w:ascii="宋体" w:hAnsi="宋体"/>
          <w:sz w:val="24"/>
        </w:rPr>
      </w:pPr>
      <w:r>
        <w:rPr>
          <w:rFonts w:ascii="宋体" w:hAnsi="宋体"/>
          <w:sz w:val="24"/>
        </w:rPr>
        <w:t>2</w:t>
      </w:r>
      <w:r>
        <w:rPr>
          <w:rFonts w:ascii="宋体" w:hAnsi="宋体" w:hint="eastAsia"/>
          <w:sz w:val="24"/>
        </w:rPr>
        <w:t>、申购、赎回开始日及业务办理时间</w:t>
      </w:r>
    </w:p>
    <w:p w14:paraId="6D1F1218" w14:textId="77777777" w:rsidR="00E82AF4" w:rsidRDefault="005B2E6A">
      <w:pPr>
        <w:pStyle w:val="HD0"/>
        <w:adjustRightInd w:val="0"/>
        <w:ind w:firstLine="480"/>
        <w:rPr>
          <w:rFonts w:ascii="宋体" w:hAnsi="宋体"/>
          <w:sz w:val="24"/>
        </w:rPr>
      </w:pPr>
      <w:r>
        <w:rPr>
          <w:rFonts w:ascii="宋体" w:hAnsi="宋体" w:hint="eastAsia"/>
          <w:sz w:val="24"/>
        </w:rPr>
        <w:t>基金管理人</w:t>
      </w:r>
      <w:r>
        <w:rPr>
          <w:rFonts w:ascii="宋体" w:hAnsi="宋体" w:hint="eastAsia"/>
          <w:sz w:val="24"/>
          <w:szCs w:val="24"/>
        </w:rPr>
        <w:t>可以根据实际情况依法决定本</w:t>
      </w:r>
      <w:r>
        <w:rPr>
          <w:rFonts w:ascii="宋体" w:hAnsi="宋体" w:hint="eastAsia"/>
          <w:sz w:val="24"/>
        </w:rPr>
        <w:t>基金开始办理申购</w:t>
      </w:r>
      <w:r>
        <w:rPr>
          <w:rFonts w:ascii="宋体" w:hAnsi="宋体" w:hint="eastAsia"/>
          <w:sz w:val="24"/>
          <w:szCs w:val="24"/>
        </w:rPr>
        <w:t>的具体日期</w:t>
      </w:r>
      <w:r>
        <w:rPr>
          <w:rFonts w:ascii="宋体" w:hAnsi="宋体" w:hint="eastAsia"/>
          <w:sz w:val="24"/>
        </w:rPr>
        <w:t>，具体业务办理时间在申购开始公告中规定。</w:t>
      </w:r>
    </w:p>
    <w:p w14:paraId="0BAC7AF3" w14:textId="77777777" w:rsidR="00E82AF4" w:rsidRDefault="005B2E6A">
      <w:pPr>
        <w:pStyle w:val="HD0"/>
        <w:adjustRightInd w:val="0"/>
        <w:ind w:firstLine="480"/>
        <w:rPr>
          <w:rFonts w:ascii="宋体" w:hAnsi="宋体"/>
          <w:sz w:val="24"/>
        </w:rPr>
      </w:pPr>
      <w:r>
        <w:rPr>
          <w:rFonts w:ascii="宋体" w:hAnsi="宋体" w:hint="eastAsia"/>
          <w:sz w:val="24"/>
        </w:rPr>
        <w:t>基金管理人自基金合同生效之日起不超过</w:t>
      </w:r>
      <w:r>
        <w:rPr>
          <w:rFonts w:ascii="宋体" w:hAnsi="宋体" w:hint="eastAsia"/>
          <w:sz w:val="24"/>
          <w:szCs w:val="24"/>
        </w:rPr>
        <w:t>3个月</w:t>
      </w:r>
      <w:r>
        <w:rPr>
          <w:rFonts w:ascii="宋体" w:hAnsi="宋体" w:hint="eastAsia"/>
          <w:sz w:val="24"/>
        </w:rPr>
        <w:t>开始办理赎回，具体业务办理时间在赎回开始公告中规定。</w:t>
      </w:r>
    </w:p>
    <w:p w14:paraId="72CD2AF5" w14:textId="77777777" w:rsidR="00E82AF4" w:rsidRDefault="005B2E6A">
      <w:pPr>
        <w:pStyle w:val="HD0"/>
        <w:adjustRightInd w:val="0"/>
        <w:ind w:firstLine="480"/>
        <w:rPr>
          <w:rFonts w:ascii="宋体" w:hAnsi="宋体"/>
          <w:sz w:val="24"/>
        </w:rPr>
      </w:pPr>
      <w:r>
        <w:rPr>
          <w:rFonts w:ascii="宋体" w:hAnsi="宋体" w:hint="eastAsia"/>
          <w:sz w:val="24"/>
        </w:rPr>
        <w:t>在确定申购开始或赎回开始时间后，基金管理人应在申购、赎回开放日前依照《信息披露办法》的有关规定在规定媒介上公告申购或赎回的开始时间。</w:t>
      </w:r>
    </w:p>
    <w:p w14:paraId="773BF25A" w14:textId="77777777" w:rsidR="00E82AF4" w:rsidRDefault="005B2E6A">
      <w:pPr>
        <w:pStyle w:val="HD0"/>
        <w:adjustRightInd w:val="0"/>
        <w:ind w:firstLine="480"/>
        <w:rPr>
          <w:rFonts w:ascii="宋体" w:hAnsi="宋体"/>
          <w:sz w:val="24"/>
        </w:rPr>
      </w:pPr>
      <w:r>
        <w:rPr>
          <w:rFonts w:ascii="宋体" w:hAnsi="宋体"/>
          <w:bCs/>
          <w:sz w:val="24"/>
          <w:szCs w:val="24"/>
        </w:rPr>
        <w:t>本</w:t>
      </w:r>
      <w:r>
        <w:rPr>
          <w:rFonts w:ascii="宋体" w:hAnsi="宋体" w:hint="eastAsia"/>
          <w:sz w:val="24"/>
        </w:rPr>
        <w:t>基金</w:t>
      </w:r>
      <w:r>
        <w:rPr>
          <w:rFonts w:ascii="宋体" w:hAnsi="宋体" w:hint="eastAsia"/>
          <w:bCs/>
          <w:sz w:val="24"/>
          <w:szCs w:val="24"/>
        </w:rPr>
        <w:t>可</w:t>
      </w:r>
      <w:r>
        <w:rPr>
          <w:rFonts w:ascii="宋体" w:hAnsi="宋体" w:hint="eastAsia"/>
          <w:sz w:val="24"/>
        </w:rPr>
        <w:t>在</w:t>
      </w:r>
      <w:r>
        <w:rPr>
          <w:rFonts w:ascii="宋体" w:hAnsi="宋体"/>
          <w:bCs/>
          <w:sz w:val="24"/>
          <w:szCs w:val="24"/>
        </w:rPr>
        <w:t>上市交易之前开始</w:t>
      </w:r>
      <w:r>
        <w:rPr>
          <w:rFonts w:ascii="宋体" w:hAnsi="宋体" w:hint="eastAsia"/>
          <w:sz w:val="24"/>
        </w:rPr>
        <w:t>办理申购</w:t>
      </w:r>
      <w:r>
        <w:rPr>
          <w:rFonts w:ascii="宋体" w:hAnsi="宋体" w:hint="eastAsia"/>
          <w:bCs/>
          <w:sz w:val="24"/>
          <w:szCs w:val="24"/>
        </w:rPr>
        <w:t>、</w:t>
      </w:r>
      <w:r>
        <w:rPr>
          <w:rFonts w:ascii="宋体" w:hAnsi="宋体" w:hint="eastAsia"/>
          <w:sz w:val="24"/>
        </w:rPr>
        <w:t>赎回</w:t>
      </w:r>
      <w:r>
        <w:rPr>
          <w:rFonts w:ascii="宋体" w:hAnsi="宋体" w:hint="eastAsia"/>
          <w:bCs/>
          <w:sz w:val="24"/>
          <w:szCs w:val="24"/>
        </w:rPr>
        <w:t>，</w:t>
      </w:r>
      <w:r>
        <w:rPr>
          <w:rFonts w:ascii="宋体" w:hAnsi="宋体" w:hint="eastAsia"/>
          <w:sz w:val="24"/>
          <w:szCs w:val="24"/>
        </w:rPr>
        <w:t>若其后申请基金份额上市，</w:t>
      </w:r>
      <w:r>
        <w:rPr>
          <w:rFonts w:ascii="宋体" w:hAnsi="宋体" w:hint="eastAsia"/>
          <w:sz w:val="24"/>
        </w:rPr>
        <w:t>在基金份额</w:t>
      </w:r>
      <w:r>
        <w:rPr>
          <w:rFonts w:ascii="宋体" w:hAnsi="宋体" w:hint="eastAsia"/>
          <w:sz w:val="24"/>
          <w:szCs w:val="24"/>
        </w:rPr>
        <w:t>申请上市期间，基金可暂停办理</w:t>
      </w:r>
      <w:r>
        <w:rPr>
          <w:rFonts w:ascii="宋体" w:hAnsi="宋体" w:hint="eastAsia"/>
          <w:sz w:val="24"/>
        </w:rPr>
        <w:t>申购、赎回</w:t>
      </w:r>
      <w:r>
        <w:rPr>
          <w:rFonts w:ascii="宋体" w:hAnsi="宋体" w:hint="eastAsia"/>
          <w:sz w:val="24"/>
          <w:szCs w:val="24"/>
        </w:rPr>
        <w:t>业务</w:t>
      </w:r>
      <w:r>
        <w:rPr>
          <w:rFonts w:ascii="宋体" w:hAnsi="宋体" w:hint="eastAsia"/>
          <w:bCs/>
          <w:sz w:val="24"/>
          <w:szCs w:val="24"/>
        </w:rPr>
        <w:t>，具体安排在相关公告中规定</w:t>
      </w:r>
      <w:r>
        <w:rPr>
          <w:rFonts w:ascii="宋体" w:hAnsi="宋体" w:hint="eastAsia"/>
          <w:sz w:val="24"/>
        </w:rPr>
        <w:t>。</w:t>
      </w:r>
    </w:p>
    <w:p w14:paraId="37C1728A" w14:textId="77777777" w:rsidR="00E82AF4" w:rsidRDefault="005B2E6A">
      <w:pPr>
        <w:pStyle w:val="HD0"/>
        <w:adjustRightInd w:val="0"/>
        <w:ind w:firstLine="480"/>
        <w:rPr>
          <w:rFonts w:ascii="宋体" w:hAnsi="宋体"/>
          <w:sz w:val="24"/>
        </w:rPr>
      </w:pPr>
      <w:r>
        <w:rPr>
          <w:rFonts w:ascii="宋体" w:hAnsi="宋体" w:hint="eastAsia"/>
          <w:sz w:val="24"/>
        </w:rPr>
        <w:lastRenderedPageBreak/>
        <w:t>三、申购与赎回的原则</w:t>
      </w:r>
    </w:p>
    <w:p w14:paraId="4A47FCA2"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szCs w:val="24"/>
        </w:rPr>
        <w:t>、本</w:t>
      </w:r>
      <w:r>
        <w:rPr>
          <w:rFonts w:ascii="宋体" w:hAnsi="宋体" w:hint="eastAsia"/>
          <w:sz w:val="24"/>
        </w:rPr>
        <w:t>基金</w:t>
      </w:r>
      <w:r>
        <w:rPr>
          <w:rFonts w:ascii="宋体" w:hAnsi="宋体" w:hint="eastAsia"/>
          <w:sz w:val="24"/>
          <w:szCs w:val="24"/>
        </w:rPr>
        <w:t>采用</w:t>
      </w:r>
      <w:r>
        <w:rPr>
          <w:rFonts w:ascii="宋体" w:hAnsi="宋体" w:hint="eastAsia"/>
          <w:sz w:val="24"/>
        </w:rPr>
        <w:t>份额申购</w:t>
      </w:r>
      <w:r>
        <w:rPr>
          <w:rFonts w:ascii="宋体" w:hAnsi="宋体" w:hint="eastAsia"/>
          <w:sz w:val="24"/>
          <w:szCs w:val="24"/>
        </w:rPr>
        <w:t>和</w:t>
      </w:r>
      <w:r>
        <w:rPr>
          <w:rFonts w:ascii="宋体" w:hAnsi="宋体" w:hint="eastAsia"/>
          <w:sz w:val="24"/>
        </w:rPr>
        <w:t>份额赎回</w:t>
      </w:r>
      <w:r>
        <w:rPr>
          <w:rFonts w:ascii="宋体" w:hAnsi="宋体" w:hint="eastAsia"/>
          <w:sz w:val="24"/>
          <w:szCs w:val="24"/>
        </w:rPr>
        <w:t>的方式</w:t>
      </w:r>
      <w:r>
        <w:rPr>
          <w:rFonts w:ascii="宋体" w:hAnsi="宋体" w:hint="eastAsia"/>
          <w:sz w:val="24"/>
        </w:rPr>
        <w:t>，即申购</w:t>
      </w:r>
      <w:r>
        <w:rPr>
          <w:rFonts w:ascii="宋体" w:hAnsi="宋体" w:hint="eastAsia"/>
          <w:sz w:val="24"/>
          <w:szCs w:val="24"/>
        </w:rPr>
        <w:t>和</w:t>
      </w:r>
      <w:r>
        <w:rPr>
          <w:rFonts w:ascii="宋体" w:hAnsi="宋体" w:hint="eastAsia"/>
          <w:sz w:val="24"/>
        </w:rPr>
        <w:t>赎回</w:t>
      </w:r>
      <w:r>
        <w:rPr>
          <w:rFonts w:ascii="宋体" w:hAnsi="宋体" w:hint="eastAsia"/>
          <w:sz w:val="24"/>
          <w:szCs w:val="24"/>
        </w:rPr>
        <w:t>均</w:t>
      </w:r>
      <w:r>
        <w:rPr>
          <w:rFonts w:ascii="宋体" w:hAnsi="宋体" w:hint="eastAsia"/>
          <w:sz w:val="24"/>
        </w:rPr>
        <w:t>以份额申请</w:t>
      </w:r>
      <w:r>
        <w:rPr>
          <w:rFonts w:ascii="宋体" w:hAnsi="宋体" w:hint="eastAsia"/>
          <w:sz w:val="24"/>
          <w:szCs w:val="24"/>
        </w:rPr>
        <w:t>。</w:t>
      </w:r>
    </w:p>
    <w:p w14:paraId="0C7841D9" w14:textId="77777777" w:rsidR="00E82AF4" w:rsidRDefault="005B2E6A">
      <w:pPr>
        <w:pStyle w:val="HD0"/>
        <w:adjustRightInd w:val="0"/>
        <w:ind w:firstLine="480"/>
        <w:rPr>
          <w:rFonts w:ascii="宋体" w:hAnsi="宋体"/>
          <w:sz w:val="24"/>
          <w:szCs w:val="24"/>
        </w:rPr>
      </w:pPr>
      <w:r>
        <w:rPr>
          <w:rFonts w:ascii="宋体" w:hAnsi="宋体" w:hint="eastAsia"/>
          <w:sz w:val="24"/>
          <w:szCs w:val="24"/>
        </w:rPr>
        <w:t>2、本基金</w:t>
      </w:r>
      <w:r>
        <w:rPr>
          <w:rFonts w:ascii="宋体" w:hAnsi="宋体" w:hint="eastAsia"/>
          <w:sz w:val="24"/>
        </w:rPr>
        <w:t>的申购</w:t>
      </w:r>
      <w:r>
        <w:rPr>
          <w:rFonts w:ascii="宋体" w:hAnsi="宋体" w:hint="eastAsia"/>
          <w:sz w:val="24"/>
          <w:szCs w:val="24"/>
        </w:rPr>
        <w:t>对价、赎回对价包括组合证券、现金替代、现金差额及其他对价。</w:t>
      </w:r>
    </w:p>
    <w:p w14:paraId="1AA5004D" w14:textId="77777777" w:rsidR="00E82AF4" w:rsidRDefault="005B2E6A">
      <w:pPr>
        <w:pStyle w:val="HD0"/>
        <w:adjustRightInd w:val="0"/>
        <w:ind w:firstLine="480"/>
        <w:rPr>
          <w:rFonts w:ascii="宋体" w:hAnsi="宋体"/>
          <w:sz w:val="24"/>
        </w:rPr>
      </w:pPr>
      <w:r>
        <w:rPr>
          <w:rFonts w:ascii="宋体" w:hAnsi="宋体" w:hint="eastAsia"/>
          <w:sz w:val="24"/>
          <w:szCs w:val="24"/>
        </w:rPr>
        <w:t>3、申购、</w:t>
      </w:r>
      <w:r>
        <w:rPr>
          <w:rFonts w:ascii="宋体" w:hAnsi="宋体" w:hint="eastAsia"/>
          <w:sz w:val="24"/>
        </w:rPr>
        <w:t>赎回申请</w:t>
      </w:r>
      <w:r>
        <w:rPr>
          <w:rFonts w:ascii="宋体" w:hAnsi="宋体" w:hint="eastAsia"/>
          <w:sz w:val="24"/>
          <w:szCs w:val="24"/>
        </w:rPr>
        <w:t>提交后不得</w:t>
      </w:r>
      <w:r>
        <w:rPr>
          <w:rFonts w:ascii="宋体" w:hAnsi="宋体" w:hint="eastAsia"/>
          <w:sz w:val="24"/>
        </w:rPr>
        <w:t>撤销</w:t>
      </w:r>
      <w:r>
        <w:rPr>
          <w:rFonts w:ascii="宋体" w:hAnsi="宋体" w:hint="eastAsia"/>
          <w:sz w:val="24"/>
          <w:szCs w:val="24"/>
        </w:rPr>
        <w:t>。</w:t>
      </w:r>
    </w:p>
    <w:p w14:paraId="5DCB2B3C"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rPr>
        <w:t>4、</w:t>
      </w:r>
      <w:r>
        <w:rPr>
          <w:rFonts w:ascii="宋体" w:hAnsi="宋体" w:hint="eastAsia"/>
          <w:sz w:val="24"/>
          <w:szCs w:val="24"/>
        </w:rPr>
        <w:t>申购、</w:t>
      </w:r>
      <w:r>
        <w:rPr>
          <w:rFonts w:ascii="宋体" w:hAnsi="宋体" w:hint="eastAsia"/>
          <w:sz w:val="24"/>
        </w:rPr>
        <w:t>赎回</w:t>
      </w:r>
      <w:r>
        <w:rPr>
          <w:rFonts w:ascii="宋体" w:hAnsi="宋体" w:hint="eastAsia"/>
          <w:sz w:val="24"/>
          <w:szCs w:val="24"/>
        </w:rPr>
        <w:t>应遵守深圳证券交易所和中国证券登记结算有限责任公司的规定。</w:t>
      </w:r>
    </w:p>
    <w:p w14:paraId="04EC2FE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5、办理申购、赎回业务时，应当</w:t>
      </w:r>
      <w:r>
        <w:rPr>
          <w:rFonts w:ascii="宋体" w:hAnsi="宋体" w:hint="eastAsia"/>
          <w:sz w:val="24"/>
        </w:rPr>
        <w:t>遵循</w:t>
      </w:r>
      <w:r>
        <w:rPr>
          <w:rFonts w:ascii="宋体" w:hAnsi="宋体" w:hint="eastAsia"/>
          <w:sz w:val="24"/>
          <w:szCs w:val="24"/>
        </w:rPr>
        <w:t>基金份额持有人利益优先</w:t>
      </w:r>
      <w:r>
        <w:rPr>
          <w:rFonts w:ascii="宋体" w:hAnsi="宋体" w:hint="eastAsia"/>
          <w:sz w:val="24"/>
        </w:rPr>
        <w:t>原则，</w:t>
      </w:r>
      <w:r>
        <w:rPr>
          <w:rFonts w:ascii="宋体" w:hAnsi="宋体" w:hint="eastAsia"/>
          <w:sz w:val="24"/>
          <w:szCs w:val="24"/>
        </w:rPr>
        <w:t>确保</w:t>
      </w:r>
      <w:r>
        <w:rPr>
          <w:rFonts w:ascii="宋体" w:hAnsi="宋体" w:hint="eastAsia"/>
          <w:sz w:val="24"/>
        </w:rPr>
        <w:t>投资人的</w:t>
      </w:r>
      <w:r>
        <w:rPr>
          <w:rFonts w:ascii="宋体" w:hAnsi="宋体" w:hint="eastAsia"/>
          <w:sz w:val="24"/>
          <w:szCs w:val="24"/>
        </w:rPr>
        <w:t>合法权益不受损害并得到公平对待。</w:t>
      </w:r>
    </w:p>
    <w:p w14:paraId="186280B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6、</w:t>
      </w:r>
      <w:r>
        <w:rPr>
          <w:rFonts w:ascii="宋体" w:hAnsi="宋体" w:hint="eastAsia"/>
          <w:sz w:val="24"/>
        </w:rPr>
        <w:t>基金管理人可</w:t>
      </w:r>
      <w:r>
        <w:rPr>
          <w:rFonts w:ascii="宋体" w:hAnsi="宋体" w:hint="eastAsia"/>
          <w:sz w:val="24"/>
          <w:szCs w:val="24"/>
        </w:rPr>
        <w:t>根据基金运作</w:t>
      </w:r>
      <w:r>
        <w:rPr>
          <w:rFonts w:ascii="宋体" w:hAnsi="宋体" w:hint="eastAsia"/>
          <w:sz w:val="24"/>
        </w:rPr>
        <w:t>的</w:t>
      </w:r>
      <w:r>
        <w:rPr>
          <w:rFonts w:ascii="宋体" w:hAnsi="宋体" w:hint="eastAsia"/>
          <w:sz w:val="24"/>
          <w:szCs w:val="24"/>
        </w:rPr>
        <w:t>实际情况，在对基金份额持有人无实质性不利影响的前提下调整</w:t>
      </w:r>
      <w:r>
        <w:rPr>
          <w:rFonts w:ascii="宋体" w:hAnsi="宋体" w:hint="eastAsia"/>
          <w:sz w:val="24"/>
        </w:rPr>
        <w:t>上述原则</w:t>
      </w:r>
      <w:r>
        <w:rPr>
          <w:rFonts w:ascii="宋体" w:hAnsi="宋体" w:hint="eastAsia"/>
          <w:sz w:val="24"/>
          <w:szCs w:val="24"/>
        </w:rPr>
        <w:t>，或依据深圳证券交易所或登记机构相关规则及其变更调整上述规则，但应依照《信息披露办法》的有关规定在规定媒介上公告</w:t>
      </w:r>
      <w:r>
        <w:rPr>
          <w:rFonts w:ascii="宋体" w:hAnsi="宋体" w:hint="eastAsia"/>
          <w:sz w:val="24"/>
        </w:rPr>
        <w:t>。</w:t>
      </w:r>
    </w:p>
    <w:p w14:paraId="6CC9C1DA" w14:textId="77777777" w:rsidR="00E82AF4" w:rsidRDefault="005B2E6A">
      <w:pPr>
        <w:pStyle w:val="HD0"/>
        <w:adjustRightInd w:val="0"/>
        <w:ind w:firstLine="480"/>
        <w:rPr>
          <w:rFonts w:ascii="宋体" w:hAnsi="宋体"/>
          <w:sz w:val="24"/>
        </w:rPr>
      </w:pPr>
      <w:r>
        <w:rPr>
          <w:rFonts w:ascii="宋体" w:hAnsi="宋体" w:hint="eastAsia"/>
          <w:sz w:val="24"/>
        </w:rPr>
        <w:t>四、申购与赎回的程序</w:t>
      </w:r>
    </w:p>
    <w:p w14:paraId="63189621"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、申购和赎回的申请方式</w:t>
      </w:r>
    </w:p>
    <w:p w14:paraId="175AB042" w14:textId="77777777" w:rsidR="00E82AF4" w:rsidRDefault="005B2E6A">
      <w:pPr>
        <w:pStyle w:val="HD0"/>
        <w:adjustRightInd w:val="0"/>
        <w:ind w:firstLine="480"/>
        <w:rPr>
          <w:rFonts w:ascii="宋体" w:hAnsi="宋体"/>
          <w:sz w:val="24"/>
        </w:rPr>
      </w:pPr>
      <w:r>
        <w:rPr>
          <w:rFonts w:ascii="宋体" w:hAnsi="宋体" w:hint="eastAsia"/>
          <w:sz w:val="24"/>
        </w:rPr>
        <w:t>投资人必须根据</w:t>
      </w:r>
      <w:r>
        <w:rPr>
          <w:rFonts w:ascii="宋体" w:hAnsi="宋体" w:hint="eastAsia"/>
          <w:sz w:val="24"/>
          <w:szCs w:val="24"/>
        </w:rPr>
        <w:t>申购赎回代理券商或基金管理人</w:t>
      </w:r>
      <w:r>
        <w:rPr>
          <w:rFonts w:ascii="宋体" w:hAnsi="宋体" w:hint="eastAsia"/>
          <w:sz w:val="24"/>
        </w:rPr>
        <w:t>规定的程序，在开放日的具体业务办理时间内提出申购或赎回的申请。</w:t>
      </w:r>
    </w:p>
    <w:p w14:paraId="67FF4B42" w14:textId="77777777" w:rsidR="00E82AF4" w:rsidRDefault="005B2E6A">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投资人在提交申购申请时须按申购赎回清单的规定备足申购对价，投资人在提交赎回申请时须持有足够的基金份额余额和现金。</w:t>
      </w:r>
    </w:p>
    <w:p w14:paraId="4B5333BB"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投资人办理申购、赎回等业务时应提交的文件和办理手续、办理时间、处理规则等在遵守基金合同和招募说明书规定的前提下，以各销售机构的具体规定为准。</w:t>
      </w:r>
    </w:p>
    <w:p w14:paraId="2DF93423"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2、申购和赎回</w:t>
      </w:r>
      <w:r>
        <w:rPr>
          <w:rFonts w:ascii="宋体" w:hAnsi="宋体"/>
          <w:sz w:val="24"/>
          <w:szCs w:val="24"/>
        </w:rPr>
        <w:t>申请</w:t>
      </w:r>
      <w:r>
        <w:rPr>
          <w:rFonts w:ascii="宋体" w:hAnsi="宋体" w:hint="eastAsia"/>
          <w:sz w:val="24"/>
        </w:rPr>
        <w:t>的</w:t>
      </w:r>
      <w:r>
        <w:rPr>
          <w:rFonts w:ascii="宋体" w:hAnsi="宋体"/>
          <w:sz w:val="24"/>
          <w:szCs w:val="24"/>
        </w:rPr>
        <w:t>确认</w:t>
      </w:r>
    </w:p>
    <w:p w14:paraId="7E65C80C"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投资人申购、赎回申请的确认适用登记机构及深圳证券交易所最新的业务规则，具体在招募说明书中列示。如投资人未能提供符合要求的申购对价，则申购申请不成立。如投资人持有的符合要求的基金份额不足或未能根据要求准备足额的现金，或本基金投资组合内不具备足额的符合要求的赎回对价，则赎回申请不成立。</w:t>
      </w:r>
    </w:p>
    <w:p w14:paraId="6838B19B"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申购赎回代理券商对申购、赎回申请的受理并不代表该申请一定成功，而仅代表申购赎回代理券商确实接收到申购、赎回申请。申购</w:t>
      </w:r>
      <w:r>
        <w:rPr>
          <w:rFonts w:ascii="宋体" w:hAnsi="宋体"/>
          <w:sz w:val="24"/>
          <w:szCs w:val="24"/>
        </w:rPr>
        <w:t>与</w:t>
      </w:r>
      <w:r>
        <w:rPr>
          <w:rFonts w:ascii="宋体" w:hAnsi="宋体" w:hint="eastAsia"/>
          <w:sz w:val="24"/>
          <w:szCs w:val="24"/>
        </w:rPr>
        <w:t>赎回申请的确认以登记机构的确认结果为准。对于申请的确认情况，投资人可通过其办理申购、赎回</w:t>
      </w:r>
      <w:r>
        <w:rPr>
          <w:rFonts w:ascii="宋体" w:hAnsi="宋体" w:hint="eastAsia"/>
          <w:sz w:val="24"/>
          <w:szCs w:val="24"/>
        </w:rPr>
        <w:lastRenderedPageBreak/>
        <w:t>的销售网点或以申购赎回代理券商规定的其他方式及时查询，并妥善行使合法权利。因投资人怠于履行该项查询等各项义务，致使其相关权益受损的，基金管理人、基金托管人、申购赎回代理券商不承担由此造成的损失或不利后果。如因申请未得到登记机构的确认而造成的损失，由投资人自行承担。</w:t>
      </w:r>
    </w:p>
    <w:p w14:paraId="466F97B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3、申购和赎回的</w:t>
      </w:r>
      <w:r>
        <w:rPr>
          <w:rFonts w:ascii="宋体" w:hAnsi="宋体" w:hint="eastAsia"/>
          <w:sz w:val="24"/>
          <w:szCs w:val="24"/>
        </w:rPr>
        <w:t>清算交收与登记</w:t>
      </w:r>
    </w:p>
    <w:p w14:paraId="340711AE"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基金申购赎回过程中涉及的基金份额、组合证券、现金替代、现金差额及其他对价的清算交收适用相关证券交易所、登记机构的业务规则和参与各方相关协议的有关规定，具体规则在招募说明书中列示。如相关证券交易所、中国证券登记结算有限责任公司修改或更新上述规则或新增设相关规则并适用于本基金的，则按照新的规则执行，并依照《信息披露办法》的有关规定在规定媒介上公告。</w:t>
      </w:r>
    </w:p>
    <w:p w14:paraId="0AEC03B1"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如果登记机构和基金管理人在清算交收时发现不能正常履约的情形，则依据《业务规则》和参与各方相关协议及其不时修订的有关规定进行处理。</w:t>
      </w:r>
    </w:p>
    <w:p w14:paraId="277C050A" w14:textId="77777777" w:rsidR="00E82AF4" w:rsidRDefault="005B2E6A">
      <w:pPr>
        <w:adjustRightInd w:val="0"/>
        <w:snapToGrid w:val="0"/>
        <w:spacing w:line="360" w:lineRule="auto"/>
        <w:ind w:firstLineChars="200" w:firstLine="480"/>
        <w:rPr>
          <w:sz w:val="24"/>
        </w:rPr>
      </w:pPr>
      <w:r>
        <w:rPr>
          <w:rFonts w:hint="eastAsia"/>
          <w:sz w:val="24"/>
        </w:rPr>
        <w:t>投资人应按照基金合同的约定和申购赎回代理券商的规定按时足额支付应付的现金差额、现金替代和现金替代退补款。因投资人原因导致现金差额、现金替代或现金替代退补款未能按时足额交收的，基金管理人有权为基金的利益向该投资人追偿并要求其承担由此导致的其他基金份额持有人或基金资产的损失。</w:t>
      </w:r>
    </w:p>
    <w:p w14:paraId="5CA61437" w14:textId="77777777" w:rsidR="00E82AF4" w:rsidRDefault="005B2E6A">
      <w:pPr>
        <w:adjustRightInd w:val="0"/>
        <w:snapToGrid w:val="0"/>
        <w:spacing w:line="360" w:lineRule="auto"/>
        <w:ind w:firstLineChars="200" w:firstLine="480"/>
        <w:rPr>
          <w:rFonts w:ascii="宋体" w:hAnsi="宋体"/>
          <w:sz w:val="24"/>
          <w:szCs w:val="24"/>
        </w:rPr>
      </w:pPr>
      <w:r>
        <w:rPr>
          <w:rFonts w:hint="eastAsia"/>
          <w:sz w:val="24"/>
        </w:rPr>
        <w:t>若投资人用以申购的部分或全部组合证券或者用以赎回的部分或全部基金份额因被国家有权机关冻结或强制执行导致不足额的，基金管理人有权指示申购赎回代理券商及登记机构依法进行相应处置；如该情况导致其他基金份额持有人或基金资产遭受损失的，基金管理人有权代表其他基金份额持有人或基金资产要求该投资人进行赔偿。</w:t>
      </w:r>
    </w:p>
    <w:p w14:paraId="7B433AFB"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sz w:val="24"/>
          <w:szCs w:val="24"/>
        </w:rPr>
        <w:t>4</w:t>
      </w:r>
      <w:r>
        <w:rPr>
          <w:rFonts w:ascii="宋体" w:hAnsi="宋体" w:hint="eastAsia"/>
          <w:sz w:val="24"/>
          <w:szCs w:val="24"/>
        </w:rPr>
        <w:t>、基金管理人在不损害基金份额持有人权益、并不违背交易所和登记机构相关规则的情况下可更改上述程序。基金管理人最迟须于新规则开始日前按照《信息披露办法》的有关规定在规定媒介公告。</w:t>
      </w:r>
    </w:p>
    <w:p w14:paraId="78831F1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五、申购和赎回的数量限制</w:t>
      </w:r>
    </w:p>
    <w:p w14:paraId="542CC8FB"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、投资人申购</w:t>
      </w:r>
      <w:r>
        <w:rPr>
          <w:rFonts w:ascii="宋体" w:hAnsi="宋体" w:hint="eastAsia"/>
          <w:sz w:val="24"/>
          <w:szCs w:val="24"/>
        </w:rPr>
        <w:t>、</w:t>
      </w:r>
      <w:r>
        <w:rPr>
          <w:rFonts w:ascii="宋体" w:hAnsi="宋体" w:hint="eastAsia"/>
          <w:sz w:val="24"/>
        </w:rPr>
        <w:t>赎回的</w:t>
      </w:r>
      <w:r>
        <w:rPr>
          <w:rFonts w:ascii="宋体" w:hAnsi="宋体" w:hint="eastAsia"/>
          <w:sz w:val="24"/>
          <w:szCs w:val="24"/>
        </w:rPr>
        <w:t>基金</w:t>
      </w:r>
      <w:r>
        <w:rPr>
          <w:rFonts w:ascii="宋体" w:hAnsi="宋体" w:hint="eastAsia"/>
          <w:sz w:val="24"/>
        </w:rPr>
        <w:t>份额</w:t>
      </w:r>
      <w:r>
        <w:rPr>
          <w:rFonts w:ascii="宋体" w:hAnsi="宋体" w:hint="eastAsia"/>
          <w:sz w:val="24"/>
          <w:szCs w:val="24"/>
        </w:rPr>
        <w:t>需为最小申购赎回单位的整数倍。最小申购赎回单位由基金管理人确定和调整</w:t>
      </w:r>
      <w:r>
        <w:rPr>
          <w:rFonts w:ascii="宋体" w:hAnsi="宋体" w:hint="eastAsia"/>
          <w:sz w:val="24"/>
        </w:rPr>
        <w:t>，具体规定请参见招募说明书或相关公告。基金管理人可根据基金运作情况、市场变化以及投资者需求等因素对基金的最小申购、赎回单位进行调整并按规定公告。</w:t>
      </w:r>
    </w:p>
    <w:p w14:paraId="6913780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lastRenderedPageBreak/>
        <w:t>2、基金管理人可以规定本基金当日申购份额及当日赎回份额上限，具体规定请参见相关公告、申购赎回清单或招募说明书（更新）。</w:t>
      </w:r>
    </w:p>
    <w:p w14:paraId="703E3DC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3</w:t>
      </w:r>
      <w:r>
        <w:rPr>
          <w:rFonts w:ascii="宋体" w:hAnsi="宋体" w:hint="eastAsia"/>
          <w:sz w:val="24"/>
        </w:rPr>
        <w:t>、当接受申购申请对存量基金份额持有人利益构成潜在重大不利影响时，基金管理人应当采取设定单一</w:t>
      </w:r>
      <w:r>
        <w:rPr>
          <w:rFonts w:ascii="宋体" w:hAnsi="宋体" w:hint="eastAsia"/>
          <w:sz w:val="24"/>
          <w:szCs w:val="24"/>
        </w:rPr>
        <w:t>投资人</w:t>
      </w:r>
      <w:r>
        <w:rPr>
          <w:rFonts w:ascii="宋体" w:hAnsi="宋体" w:hint="eastAsia"/>
          <w:sz w:val="24"/>
        </w:rPr>
        <w:t>申购</w:t>
      </w:r>
      <w:r>
        <w:rPr>
          <w:rFonts w:ascii="宋体" w:hAnsi="宋体" w:hint="eastAsia"/>
          <w:sz w:val="24"/>
          <w:szCs w:val="24"/>
        </w:rPr>
        <w:t>份额</w:t>
      </w:r>
      <w:r>
        <w:rPr>
          <w:rFonts w:ascii="宋体" w:hAnsi="宋体" w:hint="eastAsia"/>
          <w:sz w:val="24"/>
        </w:rPr>
        <w:t>上限或基金单日净申购比例上限、拒绝大额申购、暂停基金申购等措施，切实保护存量基金份额持有人的合法权益。</w:t>
      </w:r>
      <w:r>
        <w:rPr>
          <w:rFonts w:ascii="宋体" w:hAnsi="宋体" w:hint="eastAsia"/>
          <w:sz w:val="24"/>
          <w:szCs w:val="24"/>
        </w:rPr>
        <w:t>基金管理人基于投资运作与风险控制的需要，可采取上述措施对基金规模予以控制。具体见基金管理人</w:t>
      </w:r>
      <w:r>
        <w:rPr>
          <w:rFonts w:ascii="宋体" w:hAnsi="宋体" w:hint="eastAsia"/>
          <w:sz w:val="24"/>
        </w:rPr>
        <w:t>相关公告。</w:t>
      </w:r>
    </w:p>
    <w:p w14:paraId="26D0896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4</w:t>
      </w:r>
      <w:r>
        <w:rPr>
          <w:rFonts w:ascii="宋体" w:hAnsi="宋体" w:hint="eastAsia"/>
          <w:sz w:val="24"/>
        </w:rPr>
        <w:t>、基金管理人可在不违反法律法规的情况下，调整上述规定申购和赎回的数量限制，或者新增基金规模控制措施。</w:t>
      </w:r>
      <w:bookmarkStart w:id="177" w:name="OLE_LINK1"/>
      <w:bookmarkStart w:id="178" w:name="OLE_LINK2"/>
      <w:r>
        <w:rPr>
          <w:rFonts w:ascii="宋体" w:hAnsi="宋体" w:hint="eastAsia"/>
          <w:sz w:val="24"/>
        </w:rPr>
        <w:t>基金管理人应依照《信息披露办法》的有关规定在规定媒介上公</w:t>
      </w:r>
      <w:bookmarkEnd w:id="177"/>
      <w:bookmarkEnd w:id="178"/>
      <w:r>
        <w:rPr>
          <w:rFonts w:ascii="宋体" w:hAnsi="宋体" w:hint="eastAsia"/>
          <w:sz w:val="24"/>
        </w:rPr>
        <w:t>告。</w:t>
      </w:r>
    </w:p>
    <w:p w14:paraId="6BA9068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六、申购和赎回的</w:t>
      </w:r>
      <w:r>
        <w:rPr>
          <w:rFonts w:ascii="宋体" w:hAnsi="宋体" w:hint="eastAsia"/>
          <w:sz w:val="24"/>
          <w:szCs w:val="24"/>
        </w:rPr>
        <w:t>对价</w:t>
      </w:r>
      <w:r>
        <w:rPr>
          <w:rFonts w:ascii="宋体" w:hAnsi="宋体" w:hint="eastAsia"/>
          <w:sz w:val="24"/>
        </w:rPr>
        <w:t>、费用及其用途</w:t>
      </w:r>
    </w:p>
    <w:p w14:paraId="2382CD38"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、本基金</w:t>
      </w:r>
      <w:r>
        <w:rPr>
          <w:rFonts w:ascii="宋体" w:hAnsi="宋体"/>
          <w:sz w:val="24"/>
          <w:szCs w:val="24"/>
        </w:rPr>
        <w:t>基金</w:t>
      </w:r>
      <w:r>
        <w:rPr>
          <w:rFonts w:ascii="宋体" w:hAnsi="宋体" w:hint="eastAsia"/>
          <w:sz w:val="24"/>
        </w:rPr>
        <w:t>份额净值的计算，保留到小数点后</w:t>
      </w:r>
      <w:r>
        <w:rPr>
          <w:rFonts w:ascii="宋体" w:hAnsi="宋体" w:hint="eastAsia"/>
          <w:sz w:val="24"/>
          <w:szCs w:val="24"/>
        </w:rPr>
        <w:t>4</w:t>
      </w:r>
      <w:r>
        <w:rPr>
          <w:rFonts w:ascii="宋体" w:hAnsi="宋体" w:hint="eastAsia"/>
          <w:sz w:val="24"/>
        </w:rPr>
        <w:t>位，小数点后第</w:t>
      </w:r>
      <w:r>
        <w:rPr>
          <w:rFonts w:ascii="宋体" w:hAnsi="宋体" w:hint="eastAsia"/>
          <w:sz w:val="24"/>
          <w:szCs w:val="24"/>
        </w:rPr>
        <w:t>5</w:t>
      </w:r>
      <w:r>
        <w:rPr>
          <w:rFonts w:ascii="宋体" w:hAnsi="宋体" w:hint="eastAsia"/>
          <w:sz w:val="24"/>
        </w:rPr>
        <w:t>位四舍五入，由此产生的收益或损失由基金财产承担。</w:t>
      </w:r>
      <w:r>
        <w:rPr>
          <w:rFonts w:ascii="宋体" w:hAnsi="宋体" w:hint="eastAsia"/>
          <w:sz w:val="24"/>
          <w:szCs w:val="24"/>
        </w:rPr>
        <w:t>基金申购、赎回开放日（</w:t>
      </w:r>
      <w:r>
        <w:rPr>
          <w:rFonts w:ascii="宋体" w:hAnsi="宋体" w:hint="eastAsia"/>
          <w:sz w:val="24"/>
        </w:rPr>
        <w:t>T日</w:t>
      </w:r>
      <w:r>
        <w:rPr>
          <w:rFonts w:ascii="宋体" w:hAnsi="宋体" w:hint="eastAsia"/>
          <w:sz w:val="24"/>
          <w:szCs w:val="24"/>
        </w:rPr>
        <w:t>）</w:t>
      </w:r>
      <w:r>
        <w:rPr>
          <w:rFonts w:ascii="宋体" w:hAnsi="宋体" w:hint="eastAsia"/>
          <w:sz w:val="24"/>
        </w:rPr>
        <w:t>的基金份额净值在当天收市后计算，并按基金合同的约定公告。遇特殊情况，经</w:t>
      </w:r>
      <w:r>
        <w:rPr>
          <w:rFonts w:ascii="宋体" w:hAnsi="宋体" w:hint="eastAsia"/>
          <w:sz w:val="24"/>
          <w:szCs w:val="24"/>
        </w:rPr>
        <w:t>履行适当程序</w:t>
      </w:r>
      <w:r>
        <w:rPr>
          <w:rFonts w:ascii="宋体" w:hAnsi="宋体" w:hint="eastAsia"/>
          <w:sz w:val="24"/>
        </w:rPr>
        <w:t>，可以适当延迟计算或公告。</w:t>
      </w:r>
    </w:p>
    <w:p w14:paraId="6A23A923"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2、申购对价、赎回对价根据申购赎回清单和投资人申购、赎回的基金份额数额确定。申购对价是指投资人申购基金份额时应交付的组合证券、现金替代、现金差额及其他对价。赎回对价是指基金份额持有人赎回基金份额时，基金管理人应交付给</w:t>
      </w:r>
      <w:r>
        <w:rPr>
          <w:rFonts w:ascii="宋体" w:hAnsi="宋体"/>
          <w:sz w:val="24"/>
          <w:szCs w:val="24"/>
        </w:rPr>
        <w:t>赎回人</w:t>
      </w:r>
      <w:r>
        <w:rPr>
          <w:rFonts w:ascii="宋体" w:hAnsi="宋体" w:hint="eastAsia"/>
          <w:sz w:val="24"/>
          <w:szCs w:val="24"/>
        </w:rPr>
        <w:t>的组合证券、现金替代、现金差额及其他对价。</w:t>
      </w:r>
    </w:p>
    <w:p w14:paraId="75AF318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申购赎回清单由基金管理人编制。T日的申购赎回清单在当日深圳证券交易所开市前公告。申购赎回清单的内容与格式见《招募说明书》。</w:t>
      </w:r>
    </w:p>
    <w:p w14:paraId="43FE354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3、投资人在申购或赎回基金份额时，申购赎回代理券商可按照一定的标准收取佣金，其中包含证券交易所、登记机构等收取的相关费用，具体规定请参见《招募说明书》及基金产品资料概要。</w:t>
      </w:r>
    </w:p>
    <w:p w14:paraId="3037C5FE"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4、若市场情况发生变化，或相关业务规则发生变化，</w:t>
      </w:r>
      <w:r>
        <w:rPr>
          <w:rFonts w:ascii="宋体" w:hAnsi="宋体" w:hint="eastAsia"/>
          <w:sz w:val="24"/>
        </w:rPr>
        <w:t>或因实际情况需要，</w:t>
      </w:r>
      <w:r>
        <w:rPr>
          <w:rFonts w:ascii="宋体" w:hAnsi="宋体" w:hint="eastAsia"/>
          <w:sz w:val="24"/>
          <w:szCs w:val="24"/>
        </w:rPr>
        <w:t>基金管理人可以在不违反相关法律法规且对基金份额持有人利益无实质性不利影响的情况下对</w:t>
      </w:r>
      <w:r>
        <w:rPr>
          <w:rFonts w:ascii="宋体" w:hAnsi="宋体"/>
          <w:sz w:val="24"/>
        </w:rPr>
        <w:t>申购对价、赎回对价组成、</w:t>
      </w:r>
      <w:r>
        <w:rPr>
          <w:rFonts w:ascii="宋体" w:hAnsi="宋体" w:hint="eastAsia"/>
          <w:sz w:val="24"/>
          <w:szCs w:val="24"/>
        </w:rPr>
        <w:t>基金份额净值、申购赎回清单的计算和公告时间或频率进行调整并按规定公告。</w:t>
      </w:r>
    </w:p>
    <w:p w14:paraId="041C861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七、拒绝或暂停申购的情形</w:t>
      </w:r>
      <w:r>
        <w:rPr>
          <w:rFonts w:ascii="宋体" w:hAnsi="宋体" w:hint="eastAsia"/>
          <w:sz w:val="24"/>
          <w:szCs w:val="24"/>
        </w:rPr>
        <w:t>及</w:t>
      </w:r>
      <w:r>
        <w:rPr>
          <w:rFonts w:ascii="宋体" w:hAnsi="宋体"/>
          <w:sz w:val="24"/>
          <w:szCs w:val="24"/>
        </w:rPr>
        <w:t>处理方式</w:t>
      </w:r>
    </w:p>
    <w:p w14:paraId="614F0FE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发生下列情况时，基金管理人可拒绝或暂停接受投资人的申购申请：</w:t>
      </w:r>
    </w:p>
    <w:p w14:paraId="642BFE93"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lastRenderedPageBreak/>
        <w:t>1</w:t>
      </w:r>
      <w:r>
        <w:rPr>
          <w:rFonts w:ascii="宋体" w:hAnsi="宋体" w:hint="eastAsia"/>
          <w:sz w:val="24"/>
        </w:rPr>
        <w:t>、因不可抗力导致基金无法正常运作。</w:t>
      </w:r>
    </w:p>
    <w:p w14:paraId="069227D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2、发生基金合同规定的暂停基金资产估值情况时，基金管理人可暂停</w:t>
      </w:r>
      <w:r>
        <w:rPr>
          <w:rFonts w:ascii="宋体" w:hAnsi="宋体" w:hint="eastAsia"/>
          <w:sz w:val="24"/>
          <w:szCs w:val="24"/>
        </w:rPr>
        <w:t>接受投资人的申购申请。当前一估值日基金资产净值50</w:t>
      </w:r>
      <w:r>
        <w:rPr>
          <w:sz w:val="24"/>
        </w:rPr>
        <w:t>%</w:t>
      </w:r>
      <w:r>
        <w:rPr>
          <w:rFonts w:ascii="宋体" w:hAnsi="宋体" w:hint="eastAsia"/>
          <w:sz w:val="24"/>
          <w:szCs w:val="24"/>
        </w:rPr>
        <w:t>以上的资产出现无可参考的活跃市场价格且采用估值技术仍导致公允价值存在重大不确定性时，经与基金托管人协商确认后，基金管理人应当采取暂停接受基金申购申请的措施</w:t>
      </w:r>
      <w:r>
        <w:rPr>
          <w:rFonts w:ascii="宋体" w:hAnsi="宋体" w:hint="eastAsia"/>
          <w:sz w:val="24"/>
        </w:rPr>
        <w:t>。</w:t>
      </w:r>
    </w:p>
    <w:p w14:paraId="61EE57E3"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w:t>
      </w:r>
      <w:r>
        <w:rPr>
          <w:rFonts w:ascii="宋体" w:hAnsi="宋体" w:hint="eastAsia"/>
          <w:bCs/>
          <w:sz w:val="24"/>
          <w:szCs w:val="24"/>
        </w:rPr>
        <w:t>证券/期货交易所依法决定临时停市或</w:t>
      </w:r>
      <w:r>
        <w:rPr>
          <w:rFonts w:ascii="宋体" w:hAnsi="宋体" w:hint="eastAsia"/>
          <w:sz w:val="24"/>
        </w:rPr>
        <w:t>交易时间非正常停市，导致基金管理人无法计算当日基金资产净值</w:t>
      </w:r>
      <w:r>
        <w:rPr>
          <w:rFonts w:ascii="宋体" w:hAnsi="宋体" w:hint="eastAsia"/>
          <w:sz w:val="24"/>
          <w:szCs w:val="24"/>
        </w:rPr>
        <w:t>或无法办理基金的申购业务</w:t>
      </w:r>
      <w:r>
        <w:rPr>
          <w:rFonts w:ascii="宋体" w:hAnsi="宋体" w:hint="eastAsia"/>
          <w:bCs/>
          <w:sz w:val="24"/>
          <w:szCs w:val="24"/>
        </w:rPr>
        <w:t>或者无法进行证券交易</w:t>
      </w:r>
      <w:r>
        <w:rPr>
          <w:rFonts w:ascii="宋体" w:hAnsi="宋体" w:hint="eastAsia"/>
          <w:sz w:val="24"/>
        </w:rPr>
        <w:t>。</w:t>
      </w:r>
    </w:p>
    <w:p w14:paraId="423CDCEB" w14:textId="77777777" w:rsidR="00E82AF4" w:rsidRDefault="005B2E6A">
      <w:pPr>
        <w:adjustRightInd w:val="0"/>
        <w:snapToGrid w:val="0"/>
        <w:spacing w:line="360" w:lineRule="auto"/>
        <w:ind w:firstLineChars="200" w:firstLine="480"/>
        <w:rPr>
          <w:rFonts w:ascii="宋体" w:hAnsi="宋体"/>
          <w:sz w:val="24"/>
        </w:rPr>
      </w:pPr>
      <w:bookmarkStart w:id="179" w:name="_Hlt70481650"/>
      <w:bookmarkEnd w:id="179"/>
      <w:r>
        <w:rPr>
          <w:rFonts w:ascii="宋体" w:hAnsi="宋体" w:hint="eastAsia"/>
          <w:sz w:val="24"/>
        </w:rPr>
        <w:t>4、接受某笔或某些申购申请可能会影响或损害现有基金份额持有人利益时。</w:t>
      </w:r>
    </w:p>
    <w:p w14:paraId="48B9A710"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5、</w:t>
      </w:r>
      <w:r>
        <w:rPr>
          <w:rFonts w:ascii="宋体" w:hAnsi="宋体"/>
          <w:sz w:val="24"/>
          <w:szCs w:val="24"/>
        </w:rPr>
        <w:t>基金管理人可根据市场情况</w:t>
      </w:r>
      <w:r>
        <w:rPr>
          <w:rFonts w:ascii="宋体" w:hAnsi="宋体" w:hint="eastAsia"/>
          <w:sz w:val="24"/>
          <w:szCs w:val="24"/>
        </w:rPr>
        <w:t>及法律</w:t>
      </w:r>
      <w:r>
        <w:rPr>
          <w:rFonts w:ascii="宋体" w:hAnsi="宋体"/>
          <w:sz w:val="24"/>
          <w:szCs w:val="24"/>
        </w:rPr>
        <w:t>法规</w:t>
      </w:r>
      <w:r>
        <w:rPr>
          <w:rFonts w:ascii="宋体" w:hAnsi="宋体" w:hint="eastAsia"/>
          <w:sz w:val="24"/>
          <w:szCs w:val="24"/>
        </w:rPr>
        <w:t>、</w:t>
      </w:r>
      <w:r>
        <w:rPr>
          <w:rFonts w:ascii="宋体" w:hAnsi="宋体"/>
          <w:sz w:val="24"/>
          <w:szCs w:val="24"/>
        </w:rPr>
        <w:t>交易所</w:t>
      </w:r>
      <w:r>
        <w:rPr>
          <w:rFonts w:ascii="宋体" w:hAnsi="宋体" w:hint="eastAsia"/>
          <w:sz w:val="24"/>
          <w:szCs w:val="24"/>
        </w:rPr>
        <w:t>规则要求或基金合同约定</w:t>
      </w:r>
      <w:r>
        <w:rPr>
          <w:rFonts w:ascii="宋体" w:hAnsi="宋体"/>
          <w:sz w:val="24"/>
          <w:szCs w:val="24"/>
        </w:rPr>
        <w:t>在申购赎回清单中设置申购份额或申购比例上限，</w:t>
      </w:r>
      <w:r>
        <w:rPr>
          <w:rFonts w:ascii="宋体" w:hAnsi="宋体" w:hint="eastAsia"/>
          <w:sz w:val="24"/>
          <w:szCs w:val="24"/>
        </w:rPr>
        <w:t>如果一笔新的申购申请被确认成功，会使本基金当日申请份额超过申购赎回清单中规定的申购份额</w:t>
      </w:r>
      <w:r>
        <w:rPr>
          <w:rFonts w:ascii="宋体" w:hAnsi="宋体"/>
          <w:sz w:val="24"/>
          <w:szCs w:val="24"/>
        </w:rPr>
        <w:t>或申购比例</w:t>
      </w:r>
      <w:r>
        <w:rPr>
          <w:rFonts w:ascii="宋体" w:hAnsi="宋体" w:hint="eastAsia"/>
          <w:sz w:val="24"/>
          <w:szCs w:val="24"/>
        </w:rPr>
        <w:t>上限时，该笔申购申请将被拒绝。</w:t>
      </w:r>
    </w:p>
    <w:p w14:paraId="7A5FD9B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6</w:t>
      </w:r>
      <w:r>
        <w:rPr>
          <w:rFonts w:ascii="宋体" w:hAnsi="宋体" w:hint="eastAsia"/>
          <w:sz w:val="24"/>
        </w:rPr>
        <w:t>、基金资产规模过大，使基金管理人无法找到合适的投资品种，或证券市场价格发生大幅波动，或其他可能对基金业绩产生负面影响，</w:t>
      </w:r>
      <w:r>
        <w:rPr>
          <w:rFonts w:ascii="宋体" w:hAnsi="宋体" w:hint="eastAsia"/>
          <w:sz w:val="24"/>
          <w:szCs w:val="24"/>
        </w:rPr>
        <w:t>或发生其他</w:t>
      </w:r>
      <w:r>
        <w:rPr>
          <w:rFonts w:ascii="宋体" w:hAnsi="宋体" w:hint="eastAsia"/>
          <w:sz w:val="24"/>
        </w:rPr>
        <w:t>损害现有基金份额持有人利益的情形。</w:t>
      </w:r>
    </w:p>
    <w:p w14:paraId="05AC9A38"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7、相关证券/期货交易所、申购赎回代理券商、基金管理人、基金托管人、登记机构等因异常情况无法办理申购，或者指数编制机构、相关证券交易所等因异常情况使申购赎回清单无法编制或编制不当。上述异常情况指基金管理人无法预见并不可控制的情形，包括但不限于系统故障、网络故障、通讯故障、电力故障、数据错误等。</w:t>
      </w:r>
    </w:p>
    <w:p w14:paraId="2F4E017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8、基金管理人开市前因异常情况无法编制或未公布申购赎回清单或</w:t>
      </w:r>
      <w:r>
        <w:rPr>
          <w:rFonts w:ascii="宋体" w:hAnsi="宋体"/>
          <w:sz w:val="24"/>
          <w:szCs w:val="24"/>
        </w:rPr>
        <w:t>开市</w:t>
      </w:r>
      <w:r>
        <w:rPr>
          <w:rFonts w:ascii="宋体" w:hAnsi="宋体" w:hint="eastAsia"/>
          <w:sz w:val="24"/>
          <w:szCs w:val="24"/>
        </w:rPr>
        <w:t>后发现</w:t>
      </w:r>
      <w:r>
        <w:rPr>
          <w:rFonts w:ascii="宋体" w:hAnsi="宋体"/>
          <w:sz w:val="24"/>
          <w:szCs w:val="24"/>
        </w:rPr>
        <w:t>申购赎回清单编制错误</w:t>
      </w:r>
      <w:r>
        <w:rPr>
          <w:rFonts w:ascii="宋体" w:hAnsi="宋体" w:hint="eastAsia"/>
          <w:sz w:val="24"/>
          <w:szCs w:val="24"/>
        </w:rPr>
        <w:t>或</w:t>
      </w:r>
      <w:r>
        <w:rPr>
          <w:rFonts w:ascii="宋体" w:hAnsi="宋体" w:hint="eastAsia"/>
          <w:bCs/>
          <w:sz w:val="24"/>
          <w:szCs w:val="24"/>
        </w:rPr>
        <w:t>开市后发现基金份额参考净值计算错误</w:t>
      </w:r>
      <w:r>
        <w:rPr>
          <w:rFonts w:ascii="宋体" w:hAnsi="宋体" w:hint="eastAsia"/>
          <w:sz w:val="24"/>
          <w:szCs w:val="24"/>
        </w:rPr>
        <w:t>。</w:t>
      </w:r>
    </w:p>
    <w:p w14:paraId="014BA544" w14:textId="77777777" w:rsidR="00E82AF4" w:rsidRDefault="005B2E6A">
      <w:pPr>
        <w:spacing w:line="360" w:lineRule="auto"/>
        <w:ind w:firstLineChars="200" w:firstLine="480"/>
        <w:rPr>
          <w:rFonts w:ascii="宋体" w:hAnsi="宋体"/>
          <w:sz w:val="24"/>
          <w:szCs w:val="24"/>
        </w:rPr>
      </w:pPr>
      <w:r>
        <w:rPr>
          <w:rFonts w:ascii="宋体" w:hAnsi="宋体" w:hint="eastAsia"/>
          <w:sz w:val="24"/>
          <w:szCs w:val="24"/>
        </w:rPr>
        <w:t>9、在发生标的指数成份股上市公司重大行为、成份股市场价格异常波动等情形时。</w:t>
      </w:r>
    </w:p>
    <w:p w14:paraId="3BC4340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10、基金所投资的投资品种的估值出现重大转变时。</w:t>
      </w:r>
    </w:p>
    <w:p w14:paraId="0CFAD4D8"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t>11</w:t>
      </w:r>
      <w:r>
        <w:rPr>
          <w:rFonts w:ascii="宋体" w:hAnsi="宋体" w:hint="eastAsia"/>
          <w:sz w:val="24"/>
        </w:rPr>
        <w:t>、法律法规规定或中国证监会、深圳证券交易所认定的其他情形。</w:t>
      </w:r>
    </w:p>
    <w:p w14:paraId="0436BB8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发生上述除第4项、第5项以外的暂停申购情形之一</w:t>
      </w:r>
      <w:r>
        <w:rPr>
          <w:rFonts w:ascii="宋体" w:hAnsi="宋体" w:hint="eastAsia"/>
          <w:sz w:val="24"/>
          <w:szCs w:val="24"/>
        </w:rPr>
        <w:t>且基金管理人决定暂停接受投资人申购申请</w:t>
      </w:r>
      <w:r>
        <w:rPr>
          <w:rFonts w:ascii="宋体" w:hAnsi="宋体" w:hint="eastAsia"/>
          <w:sz w:val="24"/>
        </w:rPr>
        <w:t>时，基金管理人应当根据有关规定在规定媒介上刊登暂停申购公告。如果投资人的申购申请被</w:t>
      </w:r>
      <w:r>
        <w:rPr>
          <w:rFonts w:ascii="宋体" w:hAnsi="宋体" w:hint="eastAsia"/>
          <w:sz w:val="24"/>
          <w:szCs w:val="24"/>
        </w:rPr>
        <w:t>全部或部分</w:t>
      </w:r>
      <w:r>
        <w:rPr>
          <w:rFonts w:ascii="宋体" w:hAnsi="宋体" w:hint="eastAsia"/>
          <w:sz w:val="24"/>
        </w:rPr>
        <w:t>拒绝</w:t>
      </w:r>
      <w:r>
        <w:rPr>
          <w:rFonts w:ascii="宋体" w:hAnsi="宋体" w:hint="eastAsia"/>
          <w:sz w:val="24"/>
          <w:szCs w:val="24"/>
        </w:rPr>
        <w:t>的</w:t>
      </w:r>
      <w:r>
        <w:rPr>
          <w:rFonts w:ascii="宋体" w:hAnsi="宋体" w:hint="eastAsia"/>
          <w:sz w:val="24"/>
        </w:rPr>
        <w:t>，被拒绝的申购</w:t>
      </w:r>
      <w:r>
        <w:rPr>
          <w:rFonts w:ascii="宋体" w:hAnsi="宋体" w:hint="eastAsia"/>
          <w:sz w:val="24"/>
          <w:szCs w:val="24"/>
        </w:rPr>
        <w:t>对价</w:t>
      </w:r>
      <w:r>
        <w:rPr>
          <w:rFonts w:ascii="宋体" w:hAnsi="宋体" w:hint="eastAsia"/>
          <w:sz w:val="24"/>
        </w:rPr>
        <w:t>将退还</w:t>
      </w:r>
      <w:r>
        <w:rPr>
          <w:rFonts w:ascii="宋体" w:hAnsi="宋体" w:hint="eastAsia"/>
          <w:sz w:val="24"/>
        </w:rPr>
        <w:lastRenderedPageBreak/>
        <w:t>给投资人。在暂停申购的情况消除时，基金管理人应及时恢复申购业务的办理。</w:t>
      </w:r>
    </w:p>
    <w:p w14:paraId="6C10524C"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八、暂停赎回或延缓支付赎回</w:t>
      </w:r>
      <w:r>
        <w:rPr>
          <w:rFonts w:ascii="宋体" w:hAnsi="宋体" w:hint="eastAsia"/>
          <w:sz w:val="24"/>
          <w:szCs w:val="24"/>
        </w:rPr>
        <w:t>对价</w:t>
      </w:r>
      <w:r>
        <w:rPr>
          <w:rFonts w:ascii="宋体" w:hAnsi="宋体" w:hint="eastAsia"/>
          <w:sz w:val="24"/>
        </w:rPr>
        <w:t>的情形</w:t>
      </w:r>
      <w:r>
        <w:rPr>
          <w:rFonts w:ascii="宋体" w:hAnsi="宋体" w:hint="eastAsia"/>
          <w:sz w:val="24"/>
          <w:szCs w:val="24"/>
        </w:rPr>
        <w:t>及</w:t>
      </w:r>
      <w:r>
        <w:rPr>
          <w:rFonts w:ascii="宋体" w:hAnsi="宋体"/>
          <w:sz w:val="24"/>
          <w:szCs w:val="24"/>
        </w:rPr>
        <w:t>处理方式</w:t>
      </w:r>
    </w:p>
    <w:p w14:paraId="17B9F38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发生下列情形时，基金管理人可暂停接受投资人的赎回申请或延缓支付赎回</w:t>
      </w:r>
      <w:r>
        <w:rPr>
          <w:rFonts w:ascii="宋体" w:hAnsi="宋体" w:hint="eastAsia"/>
          <w:sz w:val="24"/>
          <w:szCs w:val="24"/>
        </w:rPr>
        <w:t>对价</w:t>
      </w:r>
      <w:r>
        <w:rPr>
          <w:rFonts w:ascii="宋体" w:hAnsi="宋体" w:hint="eastAsia"/>
          <w:sz w:val="24"/>
        </w:rPr>
        <w:t>：</w:t>
      </w:r>
    </w:p>
    <w:p w14:paraId="496413DD"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、因不可抗力导致基金管理人不能支付赎回</w:t>
      </w:r>
      <w:r>
        <w:rPr>
          <w:rFonts w:ascii="宋体" w:hAnsi="宋体" w:hint="eastAsia"/>
          <w:sz w:val="24"/>
          <w:szCs w:val="24"/>
        </w:rPr>
        <w:t>对价</w:t>
      </w:r>
      <w:r>
        <w:rPr>
          <w:rFonts w:ascii="宋体" w:hAnsi="宋体" w:hint="eastAsia"/>
          <w:sz w:val="24"/>
        </w:rPr>
        <w:t>。</w:t>
      </w:r>
    </w:p>
    <w:p w14:paraId="185A8C9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2、发生基金合同规定的暂停基金资产估值情况时，基金管理人可暂停</w:t>
      </w:r>
      <w:r>
        <w:rPr>
          <w:rFonts w:ascii="宋体" w:hAnsi="宋体" w:hint="eastAsia"/>
          <w:sz w:val="24"/>
          <w:szCs w:val="24"/>
        </w:rPr>
        <w:t>接受</w:t>
      </w:r>
      <w:r>
        <w:rPr>
          <w:rFonts w:ascii="宋体" w:hAnsi="宋体" w:hint="eastAsia"/>
          <w:sz w:val="24"/>
        </w:rPr>
        <w:t>投资人的赎回申请或延缓支付赎回</w:t>
      </w:r>
      <w:r>
        <w:rPr>
          <w:rFonts w:ascii="宋体" w:hAnsi="宋体" w:hint="eastAsia"/>
          <w:sz w:val="24"/>
          <w:szCs w:val="24"/>
        </w:rPr>
        <w:t>对价。</w:t>
      </w:r>
      <w:r>
        <w:rPr>
          <w:rFonts w:ascii="宋体" w:hAnsi="宋体" w:hint="eastAsia"/>
          <w:sz w:val="24"/>
        </w:rPr>
        <w:t>当前一估值日基金资产净值50</w:t>
      </w:r>
      <w:r>
        <w:rPr>
          <w:sz w:val="24"/>
        </w:rPr>
        <w:t>%</w:t>
      </w:r>
      <w:r>
        <w:rPr>
          <w:rFonts w:ascii="宋体" w:hAnsi="宋体" w:hint="eastAsia"/>
          <w:sz w:val="24"/>
        </w:rPr>
        <w:t>以上的资产出现无可参考的活跃市场价格且采用估值技术仍导致公允价值存在重大不确定性时，经与基金托管人协商确认后，基金管理人应当</w:t>
      </w:r>
      <w:r>
        <w:rPr>
          <w:rFonts w:ascii="宋体" w:hAnsi="宋体" w:hint="eastAsia"/>
          <w:sz w:val="24"/>
          <w:szCs w:val="24"/>
        </w:rPr>
        <w:t>采取</w:t>
      </w:r>
      <w:r>
        <w:rPr>
          <w:rFonts w:ascii="宋体" w:hAnsi="宋体" w:hint="eastAsia"/>
          <w:sz w:val="24"/>
        </w:rPr>
        <w:t>延缓支付赎回</w:t>
      </w:r>
      <w:r>
        <w:rPr>
          <w:rFonts w:ascii="宋体" w:hAnsi="宋体" w:hint="eastAsia"/>
          <w:sz w:val="24"/>
          <w:szCs w:val="24"/>
        </w:rPr>
        <w:t>对价</w:t>
      </w:r>
      <w:r>
        <w:rPr>
          <w:rFonts w:ascii="宋体" w:hAnsi="宋体" w:hint="eastAsia"/>
          <w:sz w:val="24"/>
        </w:rPr>
        <w:t>或暂停接受基金赎回申请</w:t>
      </w:r>
      <w:r>
        <w:rPr>
          <w:rFonts w:ascii="宋体" w:hAnsi="宋体" w:hint="eastAsia"/>
          <w:sz w:val="24"/>
          <w:szCs w:val="24"/>
        </w:rPr>
        <w:t>的措施</w:t>
      </w:r>
      <w:r>
        <w:rPr>
          <w:rFonts w:ascii="宋体" w:hAnsi="宋体" w:hint="eastAsia"/>
          <w:sz w:val="24"/>
        </w:rPr>
        <w:t>。</w:t>
      </w:r>
    </w:p>
    <w:p w14:paraId="18E86905"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3、</w:t>
      </w:r>
      <w:r>
        <w:rPr>
          <w:rFonts w:ascii="宋体" w:hAnsi="宋体" w:hint="eastAsia"/>
          <w:bCs/>
          <w:sz w:val="24"/>
          <w:szCs w:val="24"/>
        </w:rPr>
        <w:t>证券/期货交易所依法决定临时停市或交易时间非正常停市</w:t>
      </w:r>
      <w:r>
        <w:rPr>
          <w:rFonts w:ascii="宋体" w:hAnsi="宋体"/>
          <w:sz w:val="24"/>
          <w:szCs w:val="24"/>
        </w:rPr>
        <w:t>，导致基金管理人无法计算当日基金资产净值</w:t>
      </w:r>
      <w:r>
        <w:rPr>
          <w:rFonts w:ascii="宋体" w:hAnsi="宋体" w:hint="eastAsia"/>
          <w:sz w:val="24"/>
          <w:szCs w:val="24"/>
        </w:rPr>
        <w:t>或无法办理基金的赎回业务或者无法进行证券交易</w:t>
      </w:r>
      <w:r>
        <w:rPr>
          <w:rFonts w:ascii="宋体" w:hAnsi="宋体"/>
          <w:sz w:val="24"/>
          <w:szCs w:val="24"/>
        </w:rPr>
        <w:t>。</w:t>
      </w:r>
      <w:bookmarkStart w:id="180" w:name="_Hlt152500890"/>
    </w:p>
    <w:p w14:paraId="23C7E9BD"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4、相关证券/期货交易所、申购赎回代理券商、基金管理人、基金托管人、登记机构等因异常情况无法办理赎回，或者指数编制机构、相关证券交易所等因异常情况使申购赎回清单无法编制或编制不当。上述异常情况指基金管理人无法预见并不可控制的情形，包括但不限于系统故障、网络故障、通讯故障、电力故障、数据错误等。</w:t>
      </w:r>
    </w:p>
    <w:bookmarkEnd w:id="180"/>
    <w:p w14:paraId="20A44CF5" w14:textId="54CB7823" w:rsidR="00E82AF4" w:rsidRDefault="004F1317">
      <w:pPr>
        <w:adjustRightInd w:val="0"/>
        <w:snapToGrid w:val="0"/>
        <w:spacing w:line="360" w:lineRule="auto"/>
        <w:ind w:firstLineChars="200" w:firstLine="480"/>
        <w:rPr>
          <w:rFonts w:ascii="宋体" w:hAnsi="宋体"/>
          <w:sz w:val="24"/>
          <w:szCs w:val="24"/>
        </w:rPr>
      </w:pPr>
      <w:r>
        <w:rPr>
          <w:rFonts w:ascii="宋体" w:hAnsi="宋体"/>
          <w:sz w:val="24"/>
          <w:szCs w:val="24"/>
        </w:rPr>
        <w:t>5</w:t>
      </w:r>
      <w:r w:rsidR="005B2E6A">
        <w:rPr>
          <w:rFonts w:ascii="宋体" w:hAnsi="宋体" w:hint="eastAsia"/>
          <w:sz w:val="24"/>
          <w:szCs w:val="24"/>
        </w:rPr>
        <w:t>、</w:t>
      </w:r>
      <w:r w:rsidR="005B2E6A">
        <w:rPr>
          <w:rFonts w:ascii="宋体" w:hAnsi="宋体"/>
          <w:sz w:val="24"/>
          <w:szCs w:val="24"/>
        </w:rPr>
        <w:t>基金管理人可根据市场情况在申购赎回清单中设置赎回份额上限，如果一笔新的赎回申请被确认成功，会使本基金当日赎回份额超过申购赎回清单中规定的赎回份额上限时，该笔赎回申请将被拒绝</w:t>
      </w:r>
      <w:r w:rsidR="005B2E6A">
        <w:rPr>
          <w:rFonts w:ascii="宋体" w:hAnsi="宋体" w:hint="eastAsia"/>
          <w:sz w:val="24"/>
          <w:szCs w:val="24"/>
        </w:rPr>
        <w:t>。</w:t>
      </w:r>
    </w:p>
    <w:p w14:paraId="7AE751E1" w14:textId="3125A90A" w:rsidR="00E82AF4" w:rsidRDefault="004F1317">
      <w:pPr>
        <w:adjustRightInd w:val="0"/>
        <w:snapToGrid w:val="0"/>
        <w:spacing w:line="360" w:lineRule="auto"/>
        <w:ind w:firstLineChars="200" w:firstLine="480"/>
        <w:rPr>
          <w:rFonts w:ascii="宋体" w:hAnsi="宋体"/>
          <w:sz w:val="24"/>
          <w:szCs w:val="24"/>
        </w:rPr>
      </w:pPr>
      <w:r>
        <w:rPr>
          <w:rFonts w:ascii="宋体" w:hAnsi="宋体"/>
          <w:sz w:val="24"/>
          <w:szCs w:val="24"/>
        </w:rPr>
        <w:t>6</w:t>
      </w:r>
      <w:r w:rsidR="005B2E6A">
        <w:rPr>
          <w:rFonts w:ascii="宋体" w:hAnsi="宋体" w:hint="eastAsia"/>
          <w:sz w:val="24"/>
          <w:szCs w:val="24"/>
        </w:rPr>
        <w:t>、遵循基金份额持有人利益优先原则，</w:t>
      </w:r>
      <w:r w:rsidR="005B2E6A">
        <w:rPr>
          <w:rFonts w:hint="eastAsia"/>
          <w:sz w:val="24"/>
        </w:rPr>
        <w:t>发生继续接受赎回申请将损害现有基金份额持有人利益的情形时</w:t>
      </w:r>
      <w:r w:rsidR="005B2E6A">
        <w:rPr>
          <w:rFonts w:ascii="宋体" w:hAnsi="宋体" w:hint="eastAsia"/>
          <w:sz w:val="24"/>
          <w:szCs w:val="24"/>
        </w:rPr>
        <w:t>。</w:t>
      </w:r>
    </w:p>
    <w:p w14:paraId="32A6762A" w14:textId="72C76DE2" w:rsidR="00E82AF4" w:rsidRDefault="004F1317">
      <w:pPr>
        <w:adjustRightInd w:val="0"/>
        <w:snapToGrid w:val="0"/>
        <w:spacing w:line="360" w:lineRule="auto"/>
        <w:ind w:firstLineChars="200" w:firstLine="480"/>
        <w:rPr>
          <w:rFonts w:ascii="宋体" w:hAnsi="宋体"/>
          <w:sz w:val="24"/>
          <w:szCs w:val="24"/>
        </w:rPr>
      </w:pPr>
      <w:r>
        <w:rPr>
          <w:rFonts w:ascii="宋体" w:hAnsi="宋体"/>
          <w:sz w:val="24"/>
          <w:szCs w:val="24"/>
        </w:rPr>
        <w:t>7</w:t>
      </w:r>
      <w:r w:rsidR="005B2E6A">
        <w:rPr>
          <w:rFonts w:ascii="宋体" w:hAnsi="宋体" w:hint="eastAsia"/>
          <w:sz w:val="24"/>
          <w:szCs w:val="24"/>
        </w:rPr>
        <w:t>、因成份股临时停牌或跌停等因素导致不能代卖出而使得赎回现金替代不能按时交收而需要暂停赎回的情形。</w:t>
      </w:r>
    </w:p>
    <w:p w14:paraId="43C6E369" w14:textId="39ABCA22" w:rsidR="00E82AF4" w:rsidRDefault="004F1317">
      <w:pPr>
        <w:adjustRightInd w:val="0"/>
        <w:snapToGrid w:val="0"/>
        <w:spacing w:line="360" w:lineRule="auto"/>
        <w:ind w:firstLineChars="200" w:firstLine="480"/>
        <w:rPr>
          <w:rFonts w:ascii="宋体" w:hAnsi="宋体"/>
          <w:sz w:val="24"/>
          <w:szCs w:val="24"/>
        </w:rPr>
      </w:pPr>
      <w:r>
        <w:rPr>
          <w:rFonts w:ascii="宋体" w:hAnsi="宋体"/>
          <w:sz w:val="24"/>
          <w:szCs w:val="24"/>
        </w:rPr>
        <w:t>8</w:t>
      </w:r>
      <w:r w:rsidR="005B2E6A">
        <w:rPr>
          <w:rFonts w:ascii="宋体" w:hAnsi="宋体" w:hint="eastAsia"/>
          <w:sz w:val="24"/>
          <w:szCs w:val="24"/>
        </w:rPr>
        <w:t>、基金所投资的投资品种的估值出现重大转变时。</w:t>
      </w:r>
    </w:p>
    <w:p w14:paraId="466F0872" w14:textId="3653A37C" w:rsidR="00E82AF4" w:rsidRDefault="004F1317">
      <w:pPr>
        <w:adjustRightInd w:val="0"/>
        <w:snapToGrid w:val="0"/>
        <w:spacing w:line="360" w:lineRule="auto"/>
        <w:ind w:firstLineChars="200" w:firstLine="480"/>
        <w:rPr>
          <w:rFonts w:ascii="宋体" w:hAnsi="宋体"/>
          <w:sz w:val="24"/>
          <w:szCs w:val="24"/>
        </w:rPr>
      </w:pPr>
      <w:r>
        <w:rPr>
          <w:rFonts w:ascii="宋体" w:hAnsi="宋体"/>
          <w:sz w:val="24"/>
          <w:szCs w:val="24"/>
        </w:rPr>
        <w:t>9</w:t>
      </w:r>
      <w:r w:rsidR="005B2E6A">
        <w:rPr>
          <w:rFonts w:ascii="宋体" w:hAnsi="宋体" w:hint="eastAsia"/>
          <w:sz w:val="24"/>
          <w:szCs w:val="24"/>
        </w:rPr>
        <w:t>、法律法规规定或中国证监会、深圳证券交易所认定的其他情形。</w:t>
      </w:r>
    </w:p>
    <w:p w14:paraId="60DDF464" w14:textId="43CB508F"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发生上述除</w:t>
      </w:r>
      <w:r w:rsidR="004F1317">
        <w:rPr>
          <w:rFonts w:ascii="宋体" w:hAnsi="宋体" w:hint="eastAsia"/>
          <w:sz w:val="24"/>
        </w:rPr>
        <w:t>第</w:t>
      </w:r>
      <w:r w:rsidR="004F1317">
        <w:rPr>
          <w:rFonts w:ascii="宋体" w:hAnsi="宋体"/>
          <w:sz w:val="24"/>
        </w:rPr>
        <w:t>5</w:t>
      </w:r>
      <w:r>
        <w:rPr>
          <w:rFonts w:ascii="宋体" w:hAnsi="宋体" w:hint="eastAsia"/>
          <w:sz w:val="24"/>
        </w:rPr>
        <w:t>项以外的情形之一</w:t>
      </w:r>
      <w:r>
        <w:rPr>
          <w:rFonts w:ascii="宋体" w:hAnsi="宋体" w:hint="eastAsia"/>
          <w:sz w:val="24"/>
          <w:szCs w:val="24"/>
        </w:rPr>
        <w:t>且基金管理人决定暂停赎回或</w:t>
      </w:r>
      <w:r>
        <w:rPr>
          <w:rFonts w:ascii="宋体" w:hAnsi="宋体"/>
          <w:sz w:val="24"/>
          <w:szCs w:val="24"/>
        </w:rPr>
        <w:t>延缓支付赎回对价</w:t>
      </w:r>
      <w:r>
        <w:rPr>
          <w:rFonts w:ascii="宋体" w:hAnsi="宋体" w:hint="eastAsia"/>
          <w:sz w:val="24"/>
        </w:rPr>
        <w:t>时，基金管理人应按规定报中国证监会备案，基金</w:t>
      </w:r>
      <w:r>
        <w:rPr>
          <w:rFonts w:ascii="宋体" w:hAnsi="宋体" w:hint="eastAsia"/>
          <w:sz w:val="24"/>
          <w:szCs w:val="24"/>
        </w:rPr>
        <w:t>管理</w:t>
      </w:r>
      <w:r>
        <w:rPr>
          <w:rFonts w:ascii="宋体" w:hAnsi="宋体" w:hint="eastAsia"/>
          <w:sz w:val="24"/>
        </w:rPr>
        <w:t>人</w:t>
      </w:r>
      <w:r>
        <w:rPr>
          <w:rFonts w:ascii="宋体" w:hAnsi="宋体" w:hint="eastAsia"/>
          <w:sz w:val="24"/>
          <w:szCs w:val="24"/>
        </w:rPr>
        <w:t>应当根据有关规定在规定媒介上刊登暂停</w:t>
      </w:r>
      <w:r>
        <w:rPr>
          <w:rFonts w:ascii="宋体" w:hAnsi="宋体" w:hint="eastAsia"/>
          <w:sz w:val="24"/>
        </w:rPr>
        <w:t>赎回</w:t>
      </w:r>
      <w:r>
        <w:rPr>
          <w:rFonts w:ascii="宋体" w:hAnsi="宋体" w:hint="eastAsia"/>
          <w:sz w:val="24"/>
          <w:szCs w:val="24"/>
        </w:rPr>
        <w:t>公告</w:t>
      </w:r>
      <w:r>
        <w:rPr>
          <w:rFonts w:ascii="宋体" w:hAnsi="宋体" w:hint="eastAsia"/>
          <w:sz w:val="24"/>
        </w:rPr>
        <w:t>。在暂停赎回的情况消除时，基金管理人应</w:t>
      </w:r>
      <w:r>
        <w:rPr>
          <w:rFonts w:ascii="宋体" w:hAnsi="宋体" w:hint="eastAsia"/>
          <w:sz w:val="24"/>
        </w:rPr>
        <w:lastRenderedPageBreak/>
        <w:t>及时恢复赎回业务的办理并公告。</w:t>
      </w:r>
    </w:p>
    <w:p w14:paraId="175E1C6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九、</w:t>
      </w:r>
      <w:r>
        <w:rPr>
          <w:rFonts w:ascii="宋体" w:hAnsi="宋体" w:hint="eastAsia"/>
          <w:sz w:val="24"/>
          <w:szCs w:val="24"/>
        </w:rPr>
        <w:t>其他申购、</w:t>
      </w:r>
      <w:r>
        <w:rPr>
          <w:rFonts w:ascii="宋体" w:hAnsi="宋体" w:hint="eastAsia"/>
          <w:sz w:val="24"/>
        </w:rPr>
        <w:t>赎回方式</w:t>
      </w:r>
    </w:p>
    <w:p w14:paraId="6FA62CF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w:t>
      </w:r>
      <w:bookmarkStart w:id="181" w:name="OLE_LINK21"/>
      <w:bookmarkStart w:id="182" w:name="OLE_LINK20"/>
      <w:r>
        <w:rPr>
          <w:rFonts w:ascii="宋体" w:hAnsi="宋体" w:hint="eastAsia"/>
          <w:sz w:val="24"/>
        </w:rPr>
        <w:t>基金管理人可以在不</w:t>
      </w:r>
      <w:r>
        <w:rPr>
          <w:rFonts w:ascii="宋体" w:hAnsi="宋体"/>
          <w:sz w:val="24"/>
          <w:szCs w:val="24"/>
        </w:rPr>
        <w:t>违反法律法规规定且对</w:t>
      </w:r>
      <w:r>
        <w:rPr>
          <w:rFonts w:ascii="宋体" w:hAnsi="宋体" w:hint="eastAsia"/>
          <w:sz w:val="24"/>
        </w:rPr>
        <w:t>持有人</w:t>
      </w:r>
      <w:r>
        <w:rPr>
          <w:rFonts w:ascii="宋体" w:hAnsi="宋体"/>
          <w:sz w:val="24"/>
          <w:szCs w:val="24"/>
        </w:rPr>
        <w:t>利益无实质性不利影响的情况下，开通本基金的场外申购、赎回业务，调整基金申购赎回方式或申购</w:t>
      </w:r>
      <w:r>
        <w:rPr>
          <w:rFonts w:ascii="宋体" w:hAnsi="宋体" w:hint="eastAsia"/>
          <w:sz w:val="24"/>
          <w:szCs w:val="24"/>
        </w:rPr>
        <w:t>、</w:t>
      </w:r>
      <w:r>
        <w:rPr>
          <w:rFonts w:ascii="宋体" w:hAnsi="宋体"/>
          <w:sz w:val="24"/>
          <w:szCs w:val="24"/>
        </w:rPr>
        <w:t>赎回对价组成，并</w:t>
      </w:r>
      <w:r>
        <w:rPr>
          <w:rFonts w:ascii="宋体" w:hAnsi="宋体" w:hint="eastAsia"/>
          <w:sz w:val="24"/>
          <w:szCs w:val="24"/>
        </w:rPr>
        <w:t>按规定</w:t>
      </w:r>
      <w:r>
        <w:rPr>
          <w:rFonts w:ascii="宋体" w:hAnsi="宋体"/>
          <w:sz w:val="24"/>
          <w:szCs w:val="24"/>
        </w:rPr>
        <w:t>公告</w:t>
      </w:r>
      <w:bookmarkEnd w:id="181"/>
      <w:bookmarkEnd w:id="182"/>
      <w:r>
        <w:rPr>
          <w:rFonts w:ascii="宋体" w:hAnsi="宋体" w:hint="eastAsia"/>
          <w:sz w:val="24"/>
        </w:rPr>
        <w:t>。</w:t>
      </w:r>
    </w:p>
    <w:p w14:paraId="1F1F833C"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2、在履行适当程序后，本基金可接受投资者以一只或多只成份股或备选成份股进行集合申购，在不损害基金份额持有人利益的前提下，基金管理人有权制定相关规则。具体以基金管理人届时公告为准。</w:t>
      </w:r>
    </w:p>
    <w:p w14:paraId="6CDC02E6"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、如法律法规、监管机构或业务规则以后允许新</w:t>
      </w:r>
      <w:r>
        <w:rPr>
          <w:rFonts w:ascii="宋体" w:hAnsi="宋体"/>
          <w:sz w:val="24"/>
        </w:rPr>
        <w:t>的申购</w:t>
      </w:r>
      <w:r>
        <w:rPr>
          <w:rFonts w:ascii="宋体" w:hAnsi="宋体" w:hint="eastAsia"/>
          <w:sz w:val="24"/>
        </w:rPr>
        <w:t>、赎回</w:t>
      </w:r>
      <w:r>
        <w:rPr>
          <w:rFonts w:ascii="宋体" w:hAnsi="宋体"/>
          <w:sz w:val="24"/>
        </w:rPr>
        <w:t>方式</w:t>
      </w:r>
      <w:r>
        <w:rPr>
          <w:rFonts w:ascii="宋体" w:hAnsi="宋体" w:hint="eastAsia"/>
          <w:sz w:val="24"/>
        </w:rPr>
        <w:t>，基金管理人可开放</w:t>
      </w:r>
      <w:r>
        <w:rPr>
          <w:rFonts w:ascii="宋体" w:hAnsi="宋体"/>
          <w:sz w:val="24"/>
        </w:rPr>
        <w:t>新的申购</w:t>
      </w:r>
      <w:r>
        <w:rPr>
          <w:rFonts w:ascii="宋体" w:hAnsi="宋体" w:hint="eastAsia"/>
          <w:sz w:val="24"/>
        </w:rPr>
        <w:t>、赎回</w:t>
      </w:r>
      <w:r>
        <w:rPr>
          <w:rFonts w:ascii="宋体" w:hAnsi="宋体"/>
          <w:sz w:val="24"/>
        </w:rPr>
        <w:t>方式，</w:t>
      </w:r>
      <w:r>
        <w:rPr>
          <w:rFonts w:ascii="宋体" w:hAnsi="宋体" w:hint="eastAsia"/>
          <w:sz w:val="24"/>
        </w:rPr>
        <w:t>相关适用条件、业务办理时间、业务规则、原则、费用等相关事项按规定予以公告。</w:t>
      </w:r>
    </w:p>
    <w:p w14:paraId="047207F2"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、基金管理人指定的代理机构可依据本基金合同开展其他服务，双方需签订书面委托代理协议。</w:t>
      </w:r>
    </w:p>
    <w:p w14:paraId="0668219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5、对于符合要求的特定机构投资者，基金管理人可在不违反法律法规且对基金份额持有人利益无实质性不利影响的情况下，安排专门的申购赎回方式，并按规定公告。</w:t>
      </w:r>
    </w:p>
    <w:p w14:paraId="52D048F5"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十、</w:t>
      </w:r>
      <w:r>
        <w:rPr>
          <w:rFonts w:ascii="宋体" w:hAnsi="宋体"/>
          <w:sz w:val="24"/>
        </w:rPr>
        <w:t>基金的</w:t>
      </w:r>
      <w:r>
        <w:rPr>
          <w:rFonts w:ascii="宋体" w:hAnsi="宋体" w:hint="eastAsia"/>
          <w:sz w:val="24"/>
        </w:rPr>
        <w:t>转托管</w:t>
      </w:r>
      <w:r>
        <w:rPr>
          <w:rFonts w:ascii="宋体" w:hAnsi="宋体"/>
          <w:sz w:val="24"/>
        </w:rPr>
        <w:t>、非交易过户</w:t>
      </w:r>
      <w:r>
        <w:rPr>
          <w:rFonts w:ascii="宋体" w:hAnsi="宋体" w:hint="eastAsia"/>
          <w:sz w:val="24"/>
        </w:rPr>
        <w:t>、冻结和解冻等</w:t>
      </w:r>
      <w:r>
        <w:rPr>
          <w:rFonts w:ascii="宋体" w:hAnsi="宋体"/>
          <w:sz w:val="24"/>
        </w:rPr>
        <w:t>其他业务</w:t>
      </w:r>
    </w:p>
    <w:p w14:paraId="2B2B613E"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基金登记机构可依据相关法律法规及其业务规则，受理基金份额的转托管</w:t>
      </w:r>
      <w:r>
        <w:rPr>
          <w:rFonts w:ascii="宋体" w:hAnsi="宋体"/>
          <w:sz w:val="24"/>
          <w:szCs w:val="24"/>
        </w:rPr>
        <w:t>、</w:t>
      </w:r>
      <w:r>
        <w:rPr>
          <w:rFonts w:ascii="宋体" w:hAnsi="宋体" w:hint="eastAsia"/>
          <w:sz w:val="24"/>
          <w:szCs w:val="24"/>
        </w:rPr>
        <w:t>非交易过户、冻结与解冻等业务，并收取一定的手续费用。</w:t>
      </w:r>
      <w:r>
        <w:rPr>
          <w:rFonts w:hint="eastAsia"/>
          <w:bCs/>
          <w:sz w:val="24"/>
        </w:rPr>
        <w:t>基金份额被冻结的，被冻结部分产生的权益一并冻结，被冻结部分份额仍然参与收益分配。法律法规或监管机构另有规定的除外。</w:t>
      </w:r>
    </w:p>
    <w:p w14:paraId="1A49DA61" w14:textId="77777777" w:rsidR="00E82AF4" w:rsidRDefault="005B2E6A">
      <w:pPr>
        <w:adjustRightInd w:val="0"/>
        <w:snapToGrid w:val="0"/>
        <w:spacing w:line="360" w:lineRule="auto"/>
        <w:ind w:firstLineChars="200" w:firstLine="480"/>
        <w:rPr>
          <w:sz w:val="24"/>
        </w:rPr>
      </w:pPr>
      <w:r>
        <w:rPr>
          <w:rFonts w:hint="eastAsia"/>
          <w:sz w:val="24"/>
        </w:rPr>
        <w:t>十一</w:t>
      </w:r>
      <w:r>
        <w:rPr>
          <w:sz w:val="24"/>
        </w:rPr>
        <w:t>、</w:t>
      </w:r>
      <w:r>
        <w:rPr>
          <w:rFonts w:hint="eastAsia"/>
          <w:bCs/>
          <w:sz w:val="24"/>
        </w:rPr>
        <w:t>基金份额的转让</w:t>
      </w:r>
    </w:p>
    <w:p w14:paraId="0FAD33EB" w14:textId="77777777" w:rsidR="00E82AF4" w:rsidRDefault="005B2E6A">
      <w:pPr>
        <w:adjustRightInd w:val="0"/>
        <w:snapToGrid w:val="0"/>
        <w:spacing w:line="360" w:lineRule="auto"/>
        <w:ind w:firstLineChars="200" w:firstLine="480"/>
        <w:rPr>
          <w:bCs/>
          <w:sz w:val="24"/>
        </w:rPr>
      </w:pPr>
      <w:r>
        <w:rPr>
          <w:rFonts w:hint="eastAsia"/>
          <w:bCs/>
          <w:sz w:val="24"/>
        </w:rPr>
        <w:t>在法律法规允许且条件具备的情况下，基金管理人可受理基金份额持有人通过中国证监会认可的证券交易所以外的交易场所或者交易方式进行基金份额转让的申请并由登记机构办理基金份额的过户登记。基金管理人拟受理基金份额转让业务的，将提前公告，基金份额持有人应根据基金管理人公告的业务规则办理基金份额转让业务。</w:t>
      </w:r>
    </w:p>
    <w:p w14:paraId="737C24DC"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十二、</w:t>
      </w:r>
      <w:r>
        <w:rPr>
          <w:rFonts w:ascii="宋体" w:hAnsi="宋体" w:hint="eastAsia"/>
          <w:sz w:val="24"/>
          <w:szCs w:val="24"/>
        </w:rPr>
        <w:t>联接</w:t>
      </w:r>
      <w:r>
        <w:rPr>
          <w:rFonts w:ascii="宋体" w:hAnsi="宋体" w:hint="eastAsia"/>
          <w:sz w:val="24"/>
        </w:rPr>
        <w:t>基金的</w:t>
      </w:r>
      <w:r>
        <w:rPr>
          <w:rFonts w:ascii="宋体" w:hAnsi="宋体" w:hint="eastAsia"/>
          <w:sz w:val="24"/>
          <w:szCs w:val="24"/>
        </w:rPr>
        <w:t>特殊申购</w:t>
      </w:r>
    </w:p>
    <w:p w14:paraId="5E4FA5D1"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若基金管理人推出以本基金为目标ETF的联接基金，本基金可根据实际情况需要向本基金的联接基金开通特殊申购，不收取申购费用。具体见招募说明书。</w:t>
      </w:r>
    </w:p>
    <w:p w14:paraId="03D031B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lastRenderedPageBreak/>
        <w:t>十三、基金</w:t>
      </w:r>
      <w:r>
        <w:rPr>
          <w:rFonts w:ascii="宋体" w:hAnsi="宋体" w:hint="eastAsia"/>
          <w:sz w:val="24"/>
          <w:szCs w:val="24"/>
        </w:rPr>
        <w:t>清算交收与登记模式的调整或新增</w:t>
      </w:r>
    </w:p>
    <w:p w14:paraId="28FB9742" w14:textId="5F87F7BD" w:rsidR="00E82AF4" w:rsidRDefault="005B2E6A">
      <w:pPr>
        <w:adjustRightInd w:val="0"/>
        <w:snapToGrid w:val="0"/>
        <w:spacing w:line="360" w:lineRule="auto"/>
        <w:ind w:firstLineChars="200" w:firstLine="480"/>
        <w:rPr>
          <w:rFonts w:ascii="宋体" w:hAnsi="宋体"/>
          <w:sz w:val="24"/>
          <w:szCs w:val="24"/>
        </w:rPr>
      </w:pPr>
      <w:bookmarkStart w:id="183" w:name="_Toc16859"/>
      <w:r>
        <w:rPr>
          <w:rFonts w:ascii="宋体" w:hAnsi="宋体" w:hint="eastAsia"/>
          <w:sz w:val="24"/>
          <w:szCs w:val="24"/>
        </w:rPr>
        <w:t>若深圳证券交易所或中国证券登记结算有限责任公司针对交易型开放式指数证券投资基金修改现有的清算交收与登记模式或推出新的清算交收与登记模式并引入新的申购、赎回方式或调整现有的清算交收与登记模式，履行适当程序后，本基金管理人可调整本基金的清算交收与登记模式及申购、赎回方式，或新增本基金的清算交收与登记模式并引入新的申购、赎回方式，届时将发布公告予以披露并在本基金的基金合同和/或招募说明书（更新）中予以更新，无需召开基金份额持有人大会审议。</w:t>
      </w:r>
    </w:p>
    <w:p w14:paraId="04178D1E" w14:textId="77777777" w:rsidR="00E82AF4" w:rsidRDefault="005B2E6A">
      <w:pPr>
        <w:adjustRightInd w:val="0"/>
        <w:snapToGrid w:val="0"/>
        <w:spacing w:line="360" w:lineRule="auto"/>
        <w:ind w:firstLineChars="200" w:firstLine="480"/>
      </w:pPr>
      <w:r>
        <w:rPr>
          <w:rFonts w:ascii="宋体" w:hAnsi="宋体" w:hint="eastAsia"/>
          <w:sz w:val="24"/>
          <w:szCs w:val="24"/>
        </w:rPr>
        <w:t>十四、在不违反相关法律法规规定和基金合同约定且对基金份额持有人利益无实质性不利影响的前提下，基金管理人可以在履行相关程序后，根据具体情况对上述申购和赎回的安排进行补充和调整，或者办理基金份额质押等相关业务，届时须提前公告。</w:t>
      </w:r>
    </w:p>
    <w:p w14:paraId="04692E3B" w14:textId="77777777" w:rsidR="00E82AF4" w:rsidRDefault="005B2E6A">
      <w:pPr>
        <w:pStyle w:val="1"/>
        <w:spacing w:before="0" w:after="0"/>
        <w:jc w:val="center"/>
        <w:rPr>
          <w:rFonts w:ascii="Times New Roman"/>
          <w:color w:val="auto"/>
          <w:sz w:val="32"/>
        </w:rPr>
      </w:pPr>
      <w:r>
        <w:rPr>
          <w:szCs w:val="21"/>
        </w:rPr>
        <w:br w:type="page"/>
      </w:r>
      <w:bookmarkStart w:id="184" w:name="_Toc5243"/>
      <w:bookmarkStart w:id="185" w:name="_Toc139991737"/>
      <w:bookmarkStart w:id="186" w:name="_Toc123112235"/>
      <w:bookmarkStart w:id="187" w:name="_Toc123051453"/>
      <w:bookmarkStart w:id="188" w:name="_Toc14835"/>
      <w:bookmarkStart w:id="189" w:name="_Toc6405"/>
      <w:bookmarkStart w:id="190" w:name="_Toc12245"/>
      <w:bookmarkStart w:id="191" w:name="_Toc3601"/>
      <w:bookmarkStart w:id="192" w:name="_Toc123102454"/>
      <w:bookmarkStart w:id="193" w:name="_Toc15143"/>
      <w:bookmarkStart w:id="194" w:name="_Toc31644"/>
      <w:bookmarkStart w:id="195" w:name="_Toc98560353"/>
      <w:bookmarkStart w:id="196" w:name="_Toc29251"/>
      <w:bookmarkStart w:id="197" w:name="_Toc31653"/>
      <w:bookmarkStart w:id="198" w:name="_Toc31235"/>
      <w:bookmarkStart w:id="199" w:name="_Toc32307764"/>
      <w:bookmarkStart w:id="200" w:name="_Toc26207"/>
      <w:bookmarkStart w:id="201" w:name="_Toc141703887"/>
      <w:bookmarkStart w:id="202" w:name="_Hlk163663959"/>
      <w:r>
        <w:rPr>
          <w:rFonts w:ascii="Times New Roman"/>
          <w:color w:val="auto"/>
          <w:sz w:val="32"/>
          <w:szCs w:val="32"/>
        </w:rPr>
        <w:lastRenderedPageBreak/>
        <w:t>第</w:t>
      </w:r>
      <w:r>
        <w:rPr>
          <w:rFonts w:ascii="Times New Roman" w:hint="eastAsia"/>
          <w:color w:val="auto"/>
          <w:sz w:val="32"/>
          <w:szCs w:val="32"/>
        </w:rPr>
        <w:t>九</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基金合同当事人及权利义务</w:t>
      </w:r>
      <w:bookmarkStart w:id="203" w:name="_Hlt55355235"/>
      <w:bookmarkStart w:id="204" w:name="_Toc523711668"/>
      <w:bookmarkStart w:id="205" w:name="_Toc79392580"/>
      <w:bookmarkStart w:id="206" w:name="_Toc57530239"/>
      <w:bookmarkStart w:id="207" w:name="_Toc15118234"/>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3"/>
    </w:p>
    <w:p w14:paraId="3134CEE3" w14:textId="77777777" w:rsidR="00E82AF4" w:rsidRDefault="00E82AF4">
      <w:pPr>
        <w:spacing w:line="360" w:lineRule="auto"/>
        <w:ind w:firstLineChars="200" w:firstLine="480"/>
        <w:rPr>
          <w:bCs/>
          <w:sz w:val="24"/>
        </w:rPr>
      </w:pPr>
    </w:p>
    <w:p w14:paraId="728AB1F7" w14:textId="77777777" w:rsidR="00E82AF4" w:rsidRDefault="005B2E6A">
      <w:pPr>
        <w:spacing w:line="360" w:lineRule="auto"/>
        <w:ind w:firstLineChars="200" w:firstLine="480"/>
        <w:rPr>
          <w:rFonts w:ascii="宋体" w:hAnsi="宋体"/>
          <w:sz w:val="24"/>
        </w:rPr>
      </w:pPr>
      <w:r>
        <w:rPr>
          <w:rFonts w:ascii="宋体" w:hAnsi="宋体" w:hint="eastAsia"/>
          <w:sz w:val="24"/>
        </w:rPr>
        <w:t>一、基金</w:t>
      </w:r>
      <w:bookmarkEnd w:id="204"/>
      <w:r>
        <w:rPr>
          <w:rFonts w:ascii="宋体" w:hAnsi="宋体" w:hint="eastAsia"/>
          <w:sz w:val="24"/>
        </w:rPr>
        <w:t>管理人</w:t>
      </w:r>
      <w:bookmarkEnd w:id="205"/>
      <w:bookmarkEnd w:id="206"/>
      <w:bookmarkEnd w:id="207"/>
    </w:p>
    <w:p w14:paraId="40D7E6FA" w14:textId="77777777" w:rsidR="00E82AF4" w:rsidRDefault="005B2E6A">
      <w:pPr>
        <w:spacing w:line="360" w:lineRule="auto"/>
        <w:ind w:firstLineChars="200" w:firstLine="480"/>
        <w:rPr>
          <w:rFonts w:ascii="宋体" w:hAnsi="宋体"/>
          <w:sz w:val="24"/>
        </w:rPr>
      </w:pPr>
      <w:bookmarkStart w:id="208" w:name="_Toc15118235"/>
      <w:r>
        <w:rPr>
          <w:rFonts w:ascii="宋体" w:hAnsi="宋体" w:hint="eastAsia"/>
          <w:sz w:val="24"/>
        </w:rPr>
        <w:t>（一）基金管理人简况</w:t>
      </w:r>
      <w:bookmarkEnd w:id="208"/>
    </w:p>
    <w:p w14:paraId="2C755AC0" w14:textId="77777777" w:rsidR="00E82AF4" w:rsidRDefault="005B2E6A">
      <w:pPr>
        <w:spacing w:line="360" w:lineRule="auto"/>
        <w:ind w:firstLineChars="200" w:firstLine="480"/>
        <w:rPr>
          <w:rFonts w:ascii="宋体" w:hAnsi="宋体"/>
          <w:sz w:val="24"/>
        </w:rPr>
      </w:pPr>
      <w:bookmarkStart w:id="209" w:name="_Toc15118236"/>
      <w:bookmarkStart w:id="210" w:name="_Toc15118237"/>
      <w:r>
        <w:rPr>
          <w:rFonts w:ascii="宋体" w:hAnsi="宋体" w:hint="eastAsia"/>
          <w:sz w:val="24"/>
        </w:rPr>
        <w:t>名称：</w:t>
      </w:r>
      <w:r>
        <w:rPr>
          <w:rFonts w:ascii="宋体" w:hAnsi="宋体" w:hint="eastAsia"/>
          <w:sz w:val="24"/>
          <w:szCs w:val="24"/>
        </w:rPr>
        <w:t>银华基金管理股份有限公司</w:t>
      </w:r>
    </w:p>
    <w:p w14:paraId="68DD544E" w14:textId="77777777" w:rsidR="00E82AF4" w:rsidRDefault="005B2E6A">
      <w:pPr>
        <w:spacing w:line="360" w:lineRule="auto"/>
        <w:ind w:firstLineChars="200" w:firstLine="480"/>
        <w:rPr>
          <w:rFonts w:ascii="宋体" w:hAnsi="宋体"/>
          <w:sz w:val="24"/>
          <w:szCs w:val="24"/>
        </w:rPr>
      </w:pPr>
      <w:r>
        <w:rPr>
          <w:rFonts w:ascii="宋体" w:hAnsi="宋体" w:hint="eastAsia"/>
          <w:sz w:val="24"/>
          <w:szCs w:val="24"/>
        </w:rPr>
        <w:t>住所：深圳市福田区深南大道6008号特区报业大厦19层</w:t>
      </w:r>
    </w:p>
    <w:p w14:paraId="24313F9F" w14:textId="77777777" w:rsidR="00E82AF4" w:rsidRDefault="005B2E6A">
      <w:pPr>
        <w:spacing w:line="360" w:lineRule="auto"/>
        <w:ind w:firstLineChars="200" w:firstLine="480"/>
        <w:rPr>
          <w:rFonts w:ascii="宋体" w:hAnsi="宋体"/>
          <w:sz w:val="24"/>
          <w:szCs w:val="24"/>
        </w:rPr>
      </w:pPr>
      <w:r>
        <w:rPr>
          <w:rFonts w:ascii="宋体" w:hAnsi="宋体" w:hint="eastAsia"/>
          <w:sz w:val="24"/>
          <w:szCs w:val="24"/>
        </w:rPr>
        <w:t>办公地址：北京市东城区东长安街1号东方广场东方经贸城C2办公楼15层</w:t>
      </w:r>
    </w:p>
    <w:p w14:paraId="3D5C4D5F" w14:textId="77777777" w:rsidR="00E82AF4" w:rsidRDefault="005B2E6A">
      <w:pPr>
        <w:spacing w:line="360" w:lineRule="auto"/>
        <w:ind w:firstLineChars="200" w:firstLine="480"/>
        <w:rPr>
          <w:rFonts w:ascii="宋体" w:hAnsi="宋体"/>
          <w:sz w:val="24"/>
        </w:rPr>
      </w:pPr>
      <w:r>
        <w:rPr>
          <w:rFonts w:ascii="宋体" w:hAnsi="宋体" w:hint="eastAsia"/>
          <w:sz w:val="24"/>
        </w:rPr>
        <w:t>法定代表人：</w:t>
      </w:r>
      <w:r>
        <w:rPr>
          <w:rFonts w:ascii="宋体" w:hAnsi="宋体" w:hint="eastAsia"/>
          <w:sz w:val="24"/>
          <w:szCs w:val="24"/>
        </w:rPr>
        <w:t>王珠林</w:t>
      </w:r>
    </w:p>
    <w:p w14:paraId="1668099E" w14:textId="77777777" w:rsidR="00E82AF4" w:rsidRDefault="005B2E6A">
      <w:pPr>
        <w:spacing w:line="360" w:lineRule="auto"/>
        <w:ind w:firstLineChars="200" w:firstLine="480"/>
        <w:rPr>
          <w:rFonts w:ascii="宋体" w:hAnsi="宋体"/>
          <w:sz w:val="24"/>
        </w:rPr>
      </w:pPr>
      <w:r>
        <w:rPr>
          <w:rFonts w:ascii="宋体" w:hAnsi="宋体" w:hint="eastAsia"/>
          <w:sz w:val="24"/>
        </w:rPr>
        <w:t>设立日期：</w:t>
      </w:r>
      <w:r>
        <w:rPr>
          <w:rFonts w:ascii="宋体" w:hAnsi="宋体" w:hint="eastAsia"/>
          <w:sz w:val="24"/>
          <w:szCs w:val="24"/>
        </w:rPr>
        <w:t>2001年5月28日</w:t>
      </w:r>
    </w:p>
    <w:p w14:paraId="229F979E" w14:textId="77777777" w:rsidR="00E82AF4" w:rsidRDefault="005B2E6A">
      <w:pPr>
        <w:spacing w:line="360" w:lineRule="auto"/>
        <w:ind w:firstLineChars="200" w:firstLine="480"/>
        <w:rPr>
          <w:rFonts w:ascii="宋体" w:hAnsi="宋体"/>
          <w:sz w:val="24"/>
        </w:rPr>
      </w:pPr>
      <w:r>
        <w:rPr>
          <w:rFonts w:ascii="宋体" w:hAnsi="宋体" w:hint="eastAsia"/>
          <w:sz w:val="24"/>
        </w:rPr>
        <w:t>批准设立机关及批准设立文号：</w:t>
      </w:r>
      <w:r>
        <w:rPr>
          <w:rFonts w:ascii="宋体" w:hAnsi="宋体" w:hint="eastAsia"/>
          <w:sz w:val="24"/>
          <w:szCs w:val="24"/>
        </w:rPr>
        <w:t>中国证监会证监基金字［2001］7号</w:t>
      </w:r>
    </w:p>
    <w:p w14:paraId="561069D6" w14:textId="77777777" w:rsidR="00E82AF4" w:rsidRDefault="005B2E6A">
      <w:pPr>
        <w:spacing w:line="360" w:lineRule="auto"/>
        <w:ind w:firstLineChars="200" w:firstLine="480"/>
        <w:rPr>
          <w:rFonts w:ascii="宋体" w:hAnsi="宋体"/>
          <w:sz w:val="24"/>
        </w:rPr>
      </w:pPr>
      <w:r>
        <w:rPr>
          <w:rFonts w:ascii="宋体" w:hAnsi="宋体" w:hint="eastAsia"/>
          <w:sz w:val="24"/>
        </w:rPr>
        <w:t>组织形式：</w:t>
      </w:r>
      <w:r>
        <w:rPr>
          <w:rFonts w:ascii="宋体" w:hAnsi="宋体" w:hint="eastAsia"/>
          <w:sz w:val="24"/>
          <w:szCs w:val="24"/>
        </w:rPr>
        <w:t>股份有限公司</w:t>
      </w:r>
    </w:p>
    <w:p w14:paraId="60255D17" w14:textId="77777777" w:rsidR="00E82AF4" w:rsidRDefault="005B2E6A">
      <w:pPr>
        <w:spacing w:line="360" w:lineRule="auto"/>
        <w:ind w:firstLineChars="200" w:firstLine="480"/>
        <w:rPr>
          <w:rFonts w:ascii="宋体" w:hAnsi="宋体"/>
          <w:sz w:val="24"/>
        </w:rPr>
      </w:pPr>
      <w:r>
        <w:rPr>
          <w:rFonts w:ascii="宋体" w:hAnsi="宋体" w:hint="eastAsia"/>
          <w:sz w:val="24"/>
        </w:rPr>
        <w:t>注册资本：</w:t>
      </w:r>
      <w:r>
        <w:rPr>
          <w:rFonts w:ascii="宋体" w:hAnsi="宋体" w:hint="eastAsia"/>
          <w:sz w:val="24"/>
          <w:szCs w:val="24"/>
        </w:rPr>
        <w:t>贰亿贰仟贰佰贰拾万元人民币</w:t>
      </w:r>
    </w:p>
    <w:p w14:paraId="6EC357B9" w14:textId="77777777" w:rsidR="00E82AF4" w:rsidRDefault="005B2E6A">
      <w:pPr>
        <w:spacing w:line="360" w:lineRule="auto"/>
        <w:ind w:firstLineChars="200" w:firstLine="480"/>
        <w:rPr>
          <w:rFonts w:ascii="宋体" w:hAnsi="宋体"/>
          <w:sz w:val="24"/>
        </w:rPr>
      </w:pPr>
      <w:r>
        <w:rPr>
          <w:rFonts w:ascii="宋体" w:hAnsi="宋体" w:hint="eastAsia"/>
          <w:sz w:val="24"/>
        </w:rPr>
        <w:t>存续期限：</w:t>
      </w:r>
      <w:r>
        <w:rPr>
          <w:rFonts w:ascii="宋体" w:hAnsi="宋体" w:hint="eastAsia"/>
          <w:sz w:val="24"/>
          <w:szCs w:val="24"/>
        </w:rPr>
        <w:t>持续经营</w:t>
      </w:r>
    </w:p>
    <w:p w14:paraId="3BE78BEA" w14:textId="77777777" w:rsidR="00E82AF4" w:rsidRDefault="005B2E6A">
      <w:pPr>
        <w:spacing w:line="360" w:lineRule="auto"/>
        <w:ind w:firstLineChars="200" w:firstLine="480"/>
        <w:rPr>
          <w:rFonts w:ascii="宋体" w:hAnsi="宋体"/>
          <w:sz w:val="24"/>
        </w:rPr>
      </w:pPr>
      <w:r>
        <w:rPr>
          <w:rFonts w:ascii="宋体" w:hAnsi="宋体" w:hint="eastAsia"/>
          <w:sz w:val="24"/>
        </w:rPr>
        <w:t>联系电话：</w:t>
      </w:r>
      <w:r>
        <w:rPr>
          <w:rFonts w:ascii="宋体" w:hAnsi="宋体" w:hint="eastAsia"/>
          <w:sz w:val="24"/>
          <w:szCs w:val="24"/>
        </w:rPr>
        <w:t>010-58163000</w:t>
      </w:r>
      <w:bookmarkEnd w:id="209"/>
    </w:p>
    <w:p w14:paraId="0A668A0E" w14:textId="77777777" w:rsidR="00E82AF4" w:rsidRDefault="005B2E6A">
      <w:pPr>
        <w:spacing w:line="360" w:lineRule="auto"/>
        <w:ind w:firstLineChars="200" w:firstLine="480"/>
        <w:rPr>
          <w:rFonts w:ascii="宋体" w:hAnsi="宋体"/>
          <w:sz w:val="24"/>
        </w:rPr>
      </w:pPr>
      <w:r>
        <w:rPr>
          <w:rFonts w:ascii="宋体" w:hAnsi="宋体" w:hint="eastAsia"/>
          <w:sz w:val="24"/>
        </w:rPr>
        <w:t>（二）基金管理人的权利与义务</w:t>
      </w:r>
      <w:bookmarkEnd w:id="210"/>
    </w:p>
    <w:p w14:paraId="0D60EF64"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1、根据《基金法》、《运作办法》及其他有关规定，基金管理人的权利包括但不限于：</w:t>
      </w:r>
    </w:p>
    <w:p w14:paraId="63FB6E93" w14:textId="77777777" w:rsidR="00E82AF4" w:rsidRDefault="005B2E6A">
      <w:pPr>
        <w:spacing w:line="360" w:lineRule="auto"/>
        <w:ind w:firstLineChars="200" w:firstLine="480"/>
        <w:rPr>
          <w:rFonts w:ascii="宋体" w:hAnsi="宋体"/>
          <w:sz w:val="24"/>
        </w:rPr>
      </w:pPr>
      <w:r>
        <w:rPr>
          <w:rFonts w:ascii="宋体" w:hAnsi="宋体" w:hint="eastAsia"/>
          <w:sz w:val="24"/>
        </w:rPr>
        <w:t>（1）依法募集资金；</w:t>
      </w:r>
    </w:p>
    <w:p w14:paraId="643EC982" w14:textId="77777777" w:rsidR="00E82AF4" w:rsidRDefault="005B2E6A">
      <w:pPr>
        <w:spacing w:line="360" w:lineRule="auto"/>
        <w:ind w:firstLineChars="200" w:firstLine="480"/>
        <w:rPr>
          <w:rFonts w:ascii="宋体" w:hAnsi="宋体"/>
          <w:sz w:val="24"/>
        </w:rPr>
      </w:pPr>
      <w:r>
        <w:rPr>
          <w:rFonts w:ascii="宋体" w:hAnsi="宋体" w:hint="eastAsia"/>
          <w:sz w:val="24"/>
        </w:rPr>
        <w:t>（2）自</w:t>
      </w:r>
      <w:r>
        <w:rPr>
          <w:rFonts w:ascii="宋体" w:hAnsi="宋体" w:hint="eastAsia"/>
          <w:sz w:val="24"/>
          <w:szCs w:val="24"/>
        </w:rPr>
        <w:t>基金合同</w:t>
      </w:r>
      <w:r>
        <w:rPr>
          <w:rFonts w:ascii="宋体" w:hAnsi="宋体" w:hint="eastAsia"/>
          <w:sz w:val="24"/>
        </w:rPr>
        <w:t>生效之日起，根据法律法规和</w:t>
      </w:r>
      <w:r>
        <w:rPr>
          <w:rFonts w:ascii="宋体" w:hAnsi="宋体" w:hint="eastAsia"/>
          <w:sz w:val="24"/>
          <w:szCs w:val="24"/>
        </w:rPr>
        <w:t>基金合同</w:t>
      </w:r>
      <w:r>
        <w:rPr>
          <w:rFonts w:ascii="宋体" w:hAnsi="宋体" w:hint="eastAsia"/>
          <w:sz w:val="24"/>
        </w:rPr>
        <w:t>独立运用并管理基金财产；</w:t>
      </w:r>
    </w:p>
    <w:p w14:paraId="7FDA3AE7" w14:textId="77777777" w:rsidR="00E82AF4" w:rsidRDefault="005B2E6A">
      <w:pPr>
        <w:spacing w:line="360" w:lineRule="auto"/>
        <w:ind w:firstLineChars="200" w:firstLine="480"/>
        <w:rPr>
          <w:rFonts w:ascii="宋体" w:hAnsi="宋体"/>
          <w:sz w:val="24"/>
        </w:rPr>
      </w:pPr>
      <w:r>
        <w:rPr>
          <w:rFonts w:ascii="宋体" w:hAnsi="宋体" w:hint="eastAsia"/>
          <w:sz w:val="24"/>
        </w:rPr>
        <w:t>（3）依照</w:t>
      </w:r>
      <w:r>
        <w:rPr>
          <w:rFonts w:ascii="宋体" w:hAnsi="宋体" w:hint="eastAsia"/>
          <w:sz w:val="24"/>
          <w:szCs w:val="24"/>
        </w:rPr>
        <w:t>基金合同</w:t>
      </w:r>
      <w:r>
        <w:rPr>
          <w:rFonts w:ascii="宋体" w:hAnsi="宋体" w:hint="eastAsia"/>
          <w:sz w:val="24"/>
        </w:rPr>
        <w:t>收取基金管理费以及法律法规规定或中国证监会批准的其他费用；</w:t>
      </w:r>
    </w:p>
    <w:p w14:paraId="7C931B5B" w14:textId="77777777" w:rsidR="00E82AF4" w:rsidRDefault="005B2E6A">
      <w:pPr>
        <w:spacing w:line="360" w:lineRule="auto"/>
        <w:ind w:firstLineChars="200" w:firstLine="480"/>
        <w:rPr>
          <w:rFonts w:ascii="宋体" w:hAnsi="宋体"/>
          <w:sz w:val="24"/>
        </w:rPr>
      </w:pPr>
      <w:r>
        <w:rPr>
          <w:rFonts w:ascii="宋体" w:hAnsi="宋体" w:hint="eastAsia"/>
          <w:sz w:val="24"/>
        </w:rPr>
        <w:t>（4）销售基金份额；</w:t>
      </w:r>
    </w:p>
    <w:p w14:paraId="463F6FC7" w14:textId="77777777" w:rsidR="00E82AF4" w:rsidRDefault="005B2E6A">
      <w:pPr>
        <w:spacing w:line="360" w:lineRule="auto"/>
        <w:ind w:firstLineChars="200" w:firstLine="480"/>
        <w:rPr>
          <w:rFonts w:ascii="宋体" w:hAnsi="宋体"/>
          <w:sz w:val="24"/>
        </w:rPr>
      </w:pPr>
      <w:r>
        <w:rPr>
          <w:rFonts w:ascii="宋体" w:hAnsi="宋体" w:hint="eastAsia"/>
          <w:sz w:val="24"/>
        </w:rPr>
        <w:t>（5）</w:t>
      </w:r>
      <w:bookmarkStart w:id="211" w:name="_Hlt88896155"/>
      <w:r>
        <w:rPr>
          <w:rFonts w:ascii="宋体" w:hAnsi="宋体" w:hint="eastAsia"/>
          <w:sz w:val="24"/>
        </w:rPr>
        <w:t>按照规定召集</w:t>
      </w:r>
      <w:bookmarkEnd w:id="211"/>
      <w:r>
        <w:rPr>
          <w:rFonts w:ascii="宋体" w:hAnsi="宋体" w:hint="eastAsia"/>
          <w:sz w:val="24"/>
        </w:rPr>
        <w:t>基金份额持有人大会；</w:t>
      </w:r>
    </w:p>
    <w:p w14:paraId="0CBA12AB" w14:textId="77777777" w:rsidR="00E82AF4" w:rsidRDefault="005B2E6A">
      <w:pPr>
        <w:spacing w:line="360" w:lineRule="auto"/>
        <w:ind w:firstLineChars="200" w:firstLine="480"/>
        <w:rPr>
          <w:rFonts w:ascii="宋体" w:hAnsi="宋体"/>
          <w:sz w:val="24"/>
        </w:rPr>
      </w:pPr>
      <w:r>
        <w:rPr>
          <w:rFonts w:ascii="宋体" w:hAnsi="宋体" w:hint="eastAsia"/>
          <w:sz w:val="24"/>
        </w:rPr>
        <w:t>（6）依据</w:t>
      </w:r>
      <w:r>
        <w:rPr>
          <w:rFonts w:ascii="宋体" w:hAnsi="宋体" w:hint="eastAsia"/>
          <w:sz w:val="24"/>
          <w:szCs w:val="24"/>
        </w:rPr>
        <w:t>基金合同</w:t>
      </w:r>
      <w:r>
        <w:rPr>
          <w:rFonts w:ascii="宋体" w:hAnsi="宋体" w:hint="eastAsia"/>
          <w:sz w:val="24"/>
        </w:rPr>
        <w:t>及有关法律规定监督基金托管人，如认为基金托管人违反了</w:t>
      </w:r>
      <w:r>
        <w:rPr>
          <w:rFonts w:ascii="宋体" w:hAnsi="宋体" w:hint="eastAsia"/>
          <w:sz w:val="24"/>
          <w:szCs w:val="24"/>
        </w:rPr>
        <w:t>基金合同</w:t>
      </w:r>
      <w:r>
        <w:rPr>
          <w:rFonts w:ascii="宋体" w:hAnsi="宋体" w:hint="eastAsia"/>
          <w:sz w:val="24"/>
        </w:rPr>
        <w:t>及国家有关法律规定，应呈报中国证监会和其他监管部门，并采取必要措施保护基金</w:t>
      </w:r>
      <w:r>
        <w:rPr>
          <w:rFonts w:ascii="宋体" w:hAnsi="宋体" w:hint="eastAsia"/>
          <w:sz w:val="24"/>
          <w:szCs w:val="24"/>
        </w:rPr>
        <w:t>投资人</w:t>
      </w:r>
      <w:r>
        <w:rPr>
          <w:rFonts w:ascii="宋体" w:hAnsi="宋体" w:hint="eastAsia"/>
          <w:sz w:val="24"/>
        </w:rPr>
        <w:t>的利益；</w:t>
      </w:r>
    </w:p>
    <w:p w14:paraId="3D5A7E4B" w14:textId="77777777" w:rsidR="00E82AF4" w:rsidRDefault="005B2E6A">
      <w:pPr>
        <w:spacing w:line="360" w:lineRule="auto"/>
        <w:ind w:firstLineChars="200" w:firstLine="480"/>
        <w:rPr>
          <w:rFonts w:ascii="宋体" w:hAnsi="宋体"/>
          <w:sz w:val="24"/>
        </w:rPr>
      </w:pPr>
      <w:r>
        <w:rPr>
          <w:rFonts w:ascii="宋体" w:hAnsi="宋体" w:hint="eastAsia"/>
          <w:sz w:val="24"/>
        </w:rPr>
        <w:t>（7）在基金托管人更换时，提名新的基金托管人；</w:t>
      </w:r>
    </w:p>
    <w:p w14:paraId="6166AE64"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（8）选择、更换销售机构，对销售机构的相关行为进行监督和处理；</w:t>
      </w:r>
    </w:p>
    <w:p w14:paraId="1A7DC170" w14:textId="77777777" w:rsidR="00E82AF4" w:rsidRDefault="005B2E6A">
      <w:pPr>
        <w:spacing w:line="360" w:lineRule="auto"/>
        <w:ind w:firstLineChars="200" w:firstLine="480"/>
        <w:rPr>
          <w:rFonts w:ascii="宋体" w:hAnsi="宋体"/>
          <w:sz w:val="24"/>
        </w:rPr>
      </w:pPr>
      <w:r>
        <w:rPr>
          <w:rFonts w:ascii="宋体" w:hAnsi="宋体" w:hint="eastAsia"/>
          <w:sz w:val="24"/>
        </w:rPr>
        <w:t>（9）担任或委托其他符合条件的机构担任基金登记机构办理基金登记业务并获得</w:t>
      </w:r>
      <w:r>
        <w:rPr>
          <w:rFonts w:ascii="宋体" w:hAnsi="宋体" w:hint="eastAsia"/>
          <w:sz w:val="24"/>
          <w:szCs w:val="24"/>
        </w:rPr>
        <w:t>基金合同</w:t>
      </w:r>
      <w:r>
        <w:rPr>
          <w:rFonts w:ascii="宋体" w:hAnsi="宋体" w:hint="eastAsia"/>
          <w:sz w:val="24"/>
        </w:rPr>
        <w:t>规定的费用；</w:t>
      </w:r>
    </w:p>
    <w:p w14:paraId="0E5A0521" w14:textId="77777777" w:rsidR="00E82AF4" w:rsidRDefault="005B2E6A">
      <w:pPr>
        <w:spacing w:line="360" w:lineRule="auto"/>
        <w:ind w:firstLineChars="200" w:firstLine="480"/>
        <w:rPr>
          <w:rFonts w:ascii="宋体" w:hAnsi="宋体"/>
          <w:sz w:val="24"/>
        </w:rPr>
      </w:pPr>
      <w:r>
        <w:rPr>
          <w:rFonts w:ascii="宋体" w:hAnsi="宋体" w:hint="eastAsia"/>
          <w:sz w:val="24"/>
        </w:rPr>
        <w:t>（10）依据</w:t>
      </w:r>
      <w:r>
        <w:rPr>
          <w:rFonts w:ascii="宋体" w:hAnsi="宋体" w:hint="eastAsia"/>
          <w:sz w:val="24"/>
          <w:szCs w:val="24"/>
        </w:rPr>
        <w:t>基金合同</w:t>
      </w:r>
      <w:r>
        <w:rPr>
          <w:rFonts w:ascii="宋体" w:hAnsi="宋体" w:hint="eastAsia"/>
          <w:sz w:val="24"/>
        </w:rPr>
        <w:t>及有关法律规定决定基金收益的分配方案；</w:t>
      </w:r>
    </w:p>
    <w:p w14:paraId="2BD378DD" w14:textId="77777777" w:rsidR="00E82AF4" w:rsidRDefault="005B2E6A">
      <w:pPr>
        <w:spacing w:line="360" w:lineRule="auto"/>
        <w:ind w:firstLineChars="200" w:firstLine="480"/>
        <w:rPr>
          <w:rFonts w:ascii="宋体" w:hAnsi="宋体"/>
          <w:sz w:val="24"/>
        </w:rPr>
      </w:pPr>
      <w:r>
        <w:rPr>
          <w:rFonts w:ascii="宋体" w:hAnsi="宋体" w:hint="eastAsia"/>
          <w:sz w:val="24"/>
        </w:rPr>
        <w:t>（11）在</w:t>
      </w:r>
      <w:r>
        <w:rPr>
          <w:rFonts w:ascii="宋体" w:hAnsi="宋体" w:hint="eastAsia"/>
          <w:sz w:val="24"/>
          <w:szCs w:val="24"/>
        </w:rPr>
        <w:t>基金合同</w:t>
      </w:r>
      <w:r>
        <w:rPr>
          <w:rFonts w:ascii="宋体" w:hAnsi="宋体" w:hint="eastAsia"/>
          <w:sz w:val="24"/>
        </w:rPr>
        <w:t>约定的范围内，拒绝或暂停受理申购</w:t>
      </w:r>
      <w:r>
        <w:rPr>
          <w:rFonts w:ascii="宋体" w:hAnsi="宋体" w:hint="eastAsia"/>
          <w:sz w:val="24"/>
          <w:szCs w:val="24"/>
        </w:rPr>
        <w:t>与</w:t>
      </w:r>
      <w:r>
        <w:rPr>
          <w:rFonts w:ascii="宋体" w:hAnsi="宋体" w:hint="eastAsia"/>
          <w:sz w:val="24"/>
        </w:rPr>
        <w:t>赎回申请；</w:t>
      </w:r>
    </w:p>
    <w:p w14:paraId="595B9A2B" w14:textId="77777777" w:rsidR="00E82AF4" w:rsidRDefault="005B2E6A">
      <w:pPr>
        <w:spacing w:line="360" w:lineRule="auto"/>
        <w:ind w:firstLineChars="200" w:firstLine="480"/>
        <w:rPr>
          <w:rFonts w:ascii="宋体" w:hAnsi="宋体"/>
          <w:sz w:val="24"/>
        </w:rPr>
      </w:pPr>
      <w:r>
        <w:rPr>
          <w:rFonts w:ascii="宋体" w:hAnsi="宋体" w:hint="eastAsia"/>
          <w:sz w:val="24"/>
        </w:rPr>
        <w:t>（12）依照法律法规为基金的利益对被投资公司行使股东权利，为基金的利益行使因基金财产投资于证券</w:t>
      </w:r>
      <w:r>
        <w:rPr>
          <w:rFonts w:ascii="宋体" w:hAnsi="宋体" w:hint="eastAsia"/>
          <w:bCs/>
          <w:sz w:val="24"/>
          <w:szCs w:val="24"/>
        </w:rPr>
        <w:t>/期货</w:t>
      </w:r>
      <w:r>
        <w:rPr>
          <w:rFonts w:ascii="宋体" w:hAnsi="宋体" w:hint="eastAsia"/>
          <w:sz w:val="24"/>
        </w:rPr>
        <w:t>所产生的权利；</w:t>
      </w:r>
    </w:p>
    <w:p w14:paraId="40F21FD6" w14:textId="77777777" w:rsidR="00E82AF4" w:rsidRDefault="005B2E6A">
      <w:pPr>
        <w:spacing w:line="360" w:lineRule="auto"/>
        <w:ind w:firstLineChars="200" w:firstLine="480"/>
        <w:rPr>
          <w:rFonts w:ascii="宋体" w:hAnsi="宋体"/>
          <w:sz w:val="24"/>
        </w:rPr>
      </w:pPr>
      <w:r>
        <w:rPr>
          <w:rFonts w:ascii="宋体" w:hAnsi="宋体" w:hint="eastAsia"/>
          <w:sz w:val="24"/>
        </w:rPr>
        <w:t>（13）在法律法规允许的前提下，为基金的利益依法为基金进行融资</w:t>
      </w:r>
      <w:r>
        <w:rPr>
          <w:rFonts w:ascii="宋体" w:hAnsi="宋体" w:hint="eastAsia"/>
          <w:sz w:val="24"/>
          <w:szCs w:val="24"/>
        </w:rPr>
        <w:t>及转融通证券出借业务；</w:t>
      </w:r>
    </w:p>
    <w:p w14:paraId="27D63EE3" w14:textId="77777777" w:rsidR="00E82AF4" w:rsidRDefault="005B2E6A">
      <w:pPr>
        <w:spacing w:line="360" w:lineRule="auto"/>
        <w:ind w:firstLineChars="200" w:firstLine="480"/>
        <w:rPr>
          <w:rFonts w:ascii="宋体" w:hAnsi="宋体"/>
          <w:sz w:val="24"/>
        </w:rPr>
      </w:pPr>
      <w:r>
        <w:rPr>
          <w:rFonts w:ascii="宋体" w:hAnsi="宋体" w:hint="eastAsia"/>
          <w:sz w:val="24"/>
        </w:rPr>
        <w:t>（14）以基金管理人的名义，代表基金份额持有人的利益行使诉讼权利或者实施其他法律行为；</w:t>
      </w:r>
    </w:p>
    <w:p w14:paraId="55DACD6A" w14:textId="77777777" w:rsidR="00E82AF4" w:rsidRDefault="005B2E6A">
      <w:pPr>
        <w:spacing w:line="360" w:lineRule="auto"/>
        <w:ind w:firstLineChars="200" w:firstLine="480"/>
        <w:rPr>
          <w:rFonts w:ascii="宋体" w:hAnsi="宋体"/>
          <w:sz w:val="24"/>
        </w:rPr>
      </w:pPr>
      <w:r>
        <w:rPr>
          <w:rFonts w:ascii="宋体" w:hAnsi="宋体" w:hint="eastAsia"/>
          <w:sz w:val="24"/>
        </w:rPr>
        <w:t>（15）选择、更换律师事务所、会计师事务所、</w:t>
      </w:r>
      <w:r>
        <w:rPr>
          <w:rFonts w:ascii="宋体" w:hAnsi="宋体" w:hint="eastAsia"/>
          <w:sz w:val="24"/>
          <w:szCs w:val="24"/>
        </w:rPr>
        <w:t>证券/期货经纪商</w:t>
      </w:r>
      <w:r>
        <w:rPr>
          <w:rFonts w:ascii="宋体" w:hAnsi="宋体" w:hint="eastAsia"/>
          <w:sz w:val="24"/>
        </w:rPr>
        <w:t>或其他为基金提供服务的外部机构；若本基金采用证券经纪机构交易结算模式，基金管理人有权选择代表本基金进行场内交易、作为结算参与人代理本基金进行结算的证券经纪机构，并签订证券经纪服务协议；</w:t>
      </w:r>
    </w:p>
    <w:p w14:paraId="7611AB96" w14:textId="77777777" w:rsidR="00E82AF4" w:rsidRDefault="005B2E6A">
      <w:pPr>
        <w:spacing w:line="360" w:lineRule="auto"/>
        <w:ind w:firstLineChars="200" w:firstLine="480"/>
        <w:rPr>
          <w:rFonts w:ascii="宋体" w:hAnsi="宋体"/>
          <w:sz w:val="24"/>
        </w:rPr>
      </w:pPr>
      <w:r>
        <w:rPr>
          <w:rFonts w:ascii="宋体" w:hAnsi="宋体" w:hint="eastAsia"/>
          <w:sz w:val="24"/>
        </w:rPr>
        <w:t>（16）在符合有关法律、法规的前提下，制订和调整有关基金认购、申购、赎回</w:t>
      </w:r>
      <w:r>
        <w:rPr>
          <w:rFonts w:ascii="宋体" w:hAnsi="宋体" w:hint="eastAsia"/>
          <w:sz w:val="24"/>
          <w:szCs w:val="24"/>
        </w:rPr>
        <w:t>等</w:t>
      </w:r>
      <w:r>
        <w:rPr>
          <w:rFonts w:ascii="宋体" w:hAnsi="宋体" w:hint="eastAsia"/>
          <w:sz w:val="24"/>
        </w:rPr>
        <w:t>业务规则；</w:t>
      </w:r>
    </w:p>
    <w:p w14:paraId="48057F9A" w14:textId="77777777" w:rsidR="00E82AF4" w:rsidRDefault="005B2E6A">
      <w:pPr>
        <w:spacing w:line="360" w:lineRule="auto"/>
        <w:ind w:firstLineChars="200" w:firstLine="480"/>
        <w:rPr>
          <w:rFonts w:ascii="宋体" w:hAnsi="宋体"/>
          <w:sz w:val="24"/>
        </w:rPr>
      </w:pPr>
      <w:r>
        <w:rPr>
          <w:rFonts w:ascii="宋体" w:hAnsi="宋体" w:hint="eastAsia"/>
          <w:sz w:val="24"/>
        </w:rPr>
        <w:t>（17）基金管理人有权根据反洗钱法律法规的相关规定，结合基金份额持有人洗钱风险状况，采取相应合理的控制措施；</w:t>
      </w:r>
    </w:p>
    <w:p w14:paraId="3675F453" w14:textId="77777777" w:rsidR="00E82AF4" w:rsidRDefault="005B2E6A">
      <w:pPr>
        <w:spacing w:line="360" w:lineRule="auto"/>
        <w:ind w:firstLineChars="200" w:firstLine="480"/>
        <w:rPr>
          <w:rFonts w:ascii="宋体" w:hAnsi="宋体"/>
          <w:sz w:val="24"/>
        </w:rPr>
      </w:pPr>
      <w:r>
        <w:rPr>
          <w:rFonts w:ascii="宋体" w:hAnsi="宋体" w:hint="eastAsia"/>
          <w:sz w:val="24"/>
        </w:rPr>
        <w:t>（18）在法律法规和基金合同规定的范围内决定调整基金费率结构和收费方式；</w:t>
      </w:r>
    </w:p>
    <w:p w14:paraId="71CBA2EC" w14:textId="77777777" w:rsidR="00E82AF4" w:rsidRDefault="005B2E6A">
      <w:pPr>
        <w:spacing w:line="360" w:lineRule="auto"/>
        <w:ind w:firstLineChars="200" w:firstLine="480"/>
        <w:rPr>
          <w:rFonts w:ascii="宋体" w:hAnsi="宋体"/>
          <w:sz w:val="24"/>
        </w:rPr>
      </w:pPr>
      <w:r>
        <w:rPr>
          <w:rFonts w:ascii="宋体" w:hAnsi="宋体" w:hint="eastAsia"/>
          <w:sz w:val="24"/>
        </w:rPr>
        <w:t>（19）法律法规及中国证监会规定的和</w:t>
      </w:r>
      <w:r>
        <w:rPr>
          <w:rFonts w:ascii="宋体" w:hAnsi="宋体" w:hint="eastAsia"/>
          <w:sz w:val="24"/>
          <w:szCs w:val="24"/>
        </w:rPr>
        <w:t>基金合同</w:t>
      </w:r>
      <w:r>
        <w:rPr>
          <w:rFonts w:ascii="宋体" w:hAnsi="宋体" w:hint="eastAsia"/>
          <w:sz w:val="24"/>
        </w:rPr>
        <w:t>约定的其他权利。</w:t>
      </w:r>
    </w:p>
    <w:p w14:paraId="51949E41"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2、根据《基金法》、《运作办法》及其他有关规定，基金管理人的义务包括但不限于：</w:t>
      </w:r>
    </w:p>
    <w:p w14:paraId="00C56626" w14:textId="77777777" w:rsidR="00E82AF4" w:rsidRDefault="005B2E6A">
      <w:pPr>
        <w:spacing w:line="360" w:lineRule="auto"/>
        <w:ind w:firstLineChars="200" w:firstLine="480"/>
        <w:rPr>
          <w:rFonts w:ascii="宋体" w:hAnsi="宋体"/>
          <w:sz w:val="24"/>
        </w:rPr>
      </w:pPr>
      <w:bookmarkStart w:id="212" w:name="_Toc523711669"/>
      <w:r>
        <w:rPr>
          <w:rFonts w:ascii="宋体" w:hAnsi="宋体" w:hint="eastAsia"/>
          <w:sz w:val="24"/>
        </w:rPr>
        <w:t>（1）依法募集资金，办理或者委托经中国证监会认定的其他机构代为办理基金份额的发售、申购、赎回和登记事宜；</w:t>
      </w:r>
    </w:p>
    <w:p w14:paraId="1DC724B0" w14:textId="77777777" w:rsidR="00E82AF4" w:rsidRDefault="005B2E6A">
      <w:pPr>
        <w:spacing w:line="360" w:lineRule="auto"/>
        <w:ind w:firstLineChars="200" w:firstLine="480"/>
        <w:rPr>
          <w:rFonts w:ascii="宋体" w:hAnsi="宋体"/>
          <w:sz w:val="24"/>
        </w:rPr>
      </w:pPr>
      <w:r>
        <w:rPr>
          <w:rFonts w:ascii="宋体" w:hAnsi="宋体" w:hint="eastAsia"/>
          <w:sz w:val="24"/>
        </w:rPr>
        <w:t>（2）办理基金备案手续；</w:t>
      </w:r>
    </w:p>
    <w:p w14:paraId="083DB52D" w14:textId="77777777" w:rsidR="00E82AF4" w:rsidRDefault="005B2E6A">
      <w:pPr>
        <w:spacing w:line="360" w:lineRule="auto"/>
        <w:ind w:firstLineChars="200" w:firstLine="480"/>
        <w:rPr>
          <w:rFonts w:ascii="宋体" w:hAnsi="宋体"/>
          <w:sz w:val="24"/>
        </w:rPr>
      </w:pPr>
      <w:r>
        <w:rPr>
          <w:rFonts w:ascii="宋体" w:hAnsi="宋体" w:hint="eastAsia"/>
          <w:sz w:val="24"/>
        </w:rPr>
        <w:t>（3）自</w:t>
      </w:r>
      <w:r>
        <w:rPr>
          <w:rFonts w:ascii="宋体" w:hAnsi="宋体" w:hint="eastAsia"/>
          <w:sz w:val="24"/>
          <w:szCs w:val="24"/>
        </w:rPr>
        <w:t>基金合同</w:t>
      </w:r>
      <w:r>
        <w:rPr>
          <w:rFonts w:ascii="宋体" w:hAnsi="宋体" w:hint="eastAsia"/>
          <w:sz w:val="24"/>
        </w:rPr>
        <w:t>生效之日起</w:t>
      </w:r>
      <w:r>
        <w:rPr>
          <w:rFonts w:ascii="宋体" w:hAnsi="宋体" w:hint="eastAsia"/>
          <w:sz w:val="24"/>
          <w:szCs w:val="24"/>
        </w:rPr>
        <w:t>，</w:t>
      </w:r>
      <w:r>
        <w:rPr>
          <w:rFonts w:ascii="宋体" w:hAnsi="宋体" w:hint="eastAsia"/>
          <w:sz w:val="24"/>
        </w:rPr>
        <w:t>以诚实信用、谨慎勤勉的原则管理和运用基金财产；</w:t>
      </w:r>
    </w:p>
    <w:p w14:paraId="56F2EC70"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（4）配备足够的具有专业资格的人员进行基金投资分析、决策，以专业化的经营方式管理和运作基金财产；</w:t>
      </w:r>
    </w:p>
    <w:p w14:paraId="42021969" w14:textId="77777777" w:rsidR="00E82AF4" w:rsidRDefault="005B2E6A">
      <w:pPr>
        <w:spacing w:line="360" w:lineRule="auto"/>
        <w:ind w:firstLineChars="200" w:firstLine="480"/>
        <w:rPr>
          <w:rFonts w:ascii="宋体" w:hAnsi="宋体"/>
          <w:sz w:val="24"/>
        </w:rPr>
      </w:pPr>
      <w:r>
        <w:rPr>
          <w:rFonts w:ascii="宋体" w:hAnsi="宋体" w:hint="eastAsia"/>
          <w:sz w:val="24"/>
        </w:rPr>
        <w:t>（5）建立健全内部风险控制、监察与稽核、财务管理及人事管理等制度，保证所管理的基金财产和基金管理人的财产相互独立</w:t>
      </w:r>
      <w:r>
        <w:rPr>
          <w:rFonts w:ascii="宋体" w:hAnsi="宋体" w:hint="eastAsia"/>
          <w:sz w:val="24"/>
          <w:szCs w:val="24"/>
        </w:rPr>
        <w:t>，</w:t>
      </w:r>
      <w:r>
        <w:rPr>
          <w:rFonts w:ascii="宋体" w:hAnsi="宋体" w:hint="eastAsia"/>
          <w:sz w:val="24"/>
        </w:rPr>
        <w:t>对所管理的不同基金分别管理，分别记账，进行</w:t>
      </w:r>
      <w:r>
        <w:rPr>
          <w:rFonts w:ascii="宋体" w:hAnsi="宋体" w:hint="eastAsia"/>
          <w:sz w:val="24"/>
          <w:szCs w:val="24"/>
        </w:rPr>
        <w:t>证券/期货投资</w:t>
      </w:r>
      <w:r>
        <w:rPr>
          <w:rFonts w:ascii="宋体" w:hAnsi="宋体" w:hint="eastAsia"/>
          <w:sz w:val="24"/>
        </w:rPr>
        <w:t>；</w:t>
      </w:r>
    </w:p>
    <w:p w14:paraId="27AA662E" w14:textId="77777777" w:rsidR="00E82AF4" w:rsidRDefault="005B2E6A">
      <w:pPr>
        <w:spacing w:line="360" w:lineRule="auto"/>
        <w:ind w:firstLineChars="200" w:firstLine="480"/>
        <w:rPr>
          <w:rFonts w:ascii="宋体" w:hAnsi="宋体"/>
          <w:sz w:val="24"/>
        </w:rPr>
      </w:pPr>
      <w:r>
        <w:rPr>
          <w:rFonts w:ascii="宋体" w:hAnsi="宋体" w:hint="eastAsia"/>
          <w:sz w:val="24"/>
        </w:rPr>
        <w:t>（6）除依据《基金法》、</w:t>
      </w:r>
      <w:r>
        <w:rPr>
          <w:rFonts w:ascii="宋体" w:hAnsi="宋体" w:hint="eastAsia"/>
          <w:sz w:val="24"/>
          <w:szCs w:val="24"/>
        </w:rPr>
        <w:t>基金合同</w:t>
      </w:r>
      <w:r>
        <w:rPr>
          <w:rFonts w:ascii="宋体" w:hAnsi="宋体" w:hint="eastAsia"/>
          <w:sz w:val="24"/>
        </w:rPr>
        <w:t>及其他有关规定外</w:t>
      </w:r>
      <w:r>
        <w:rPr>
          <w:rFonts w:ascii="宋体" w:hAnsi="宋体" w:hint="eastAsia"/>
          <w:sz w:val="24"/>
          <w:szCs w:val="24"/>
        </w:rPr>
        <w:t>，</w:t>
      </w:r>
      <w:r>
        <w:rPr>
          <w:rFonts w:ascii="宋体" w:hAnsi="宋体" w:hint="eastAsia"/>
          <w:sz w:val="24"/>
        </w:rPr>
        <w:t>不得利用基金财产为自己及任何第三人谋取利益，不得委托第三人运作基金财产；</w:t>
      </w:r>
    </w:p>
    <w:p w14:paraId="7C0043BC" w14:textId="77777777" w:rsidR="00E82AF4" w:rsidRDefault="005B2E6A">
      <w:pPr>
        <w:spacing w:line="360" w:lineRule="auto"/>
        <w:ind w:firstLineChars="200" w:firstLine="480"/>
        <w:rPr>
          <w:rFonts w:ascii="宋体" w:hAnsi="宋体"/>
          <w:sz w:val="24"/>
        </w:rPr>
      </w:pPr>
      <w:r>
        <w:rPr>
          <w:rFonts w:ascii="宋体" w:hAnsi="宋体" w:hint="eastAsia"/>
          <w:sz w:val="24"/>
        </w:rPr>
        <w:t>（7）依法接受基金托管人的监督；</w:t>
      </w:r>
    </w:p>
    <w:p w14:paraId="2944471F" w14:textId="77777777" w:rsidR="00E82AF4" w:rsidRDefault="005B2E6A">
      <w:pPr>
        <w:spacing w:line="360" w:lineRule="auto"/>
        <w:ind w:firstLineChars="200" w:firstLine="480"/>
        <w:rPr>
          <w:rFonts w:ascii="宋体" w:hAnsi="宋体"/>
          <w:sz w:val="24"/>
        </w:rPr>
      </w:pPr>
      <w:r>
        <w:rPr>
          <w:rFonts w:ascii="宋体" w:hAnsi="宋体" w:hint="eastAsia"/>
          <w:sz w:val="24"/>
        </w:rPr>
        <w:t>（8）采取适当合理的措施使计算基金份额认购</w:t>
      </w:r>
      <w:r>
        <w:rPr>
          <w:rFonts w:ascii="宋体" w:hAnsi="宋体" w:hint="eastAsia"/>
          <w:sz w:val="24"/>
          <w:szCs w:val="24"/>
        </w:rPr>
        <w:t>价格</w:t>
      </w:r>
      <w:r>
        <w:rPr>
          <w:rFonts w:ascii="宋体" w:hAnsi="宋体" w:hint="eastAsia"/>
          <w:sz w:val="24"/>
        </w:rPr>
        <w:t>、申购对价、赎回</w:t>
      </w:r>
      <w:r>
        <w:rPr>
          <w:rFonts w:ascii="宋体" w:hAnsi="宋体" w:hint="eastAsia"/>
          <w:sz w:val="24"/>
          <w:szCs w:val="24"/>
        </w:rPr>
        <w:t>对价</w:t>
      </w:r>
      <w:r>
        <w:rPr>
          <w:rFonts w:ascii="宋体" w:hAnsi="宋体" w:hint="eastAsia"/>
          <w:sz w:val="24"/>
        </w:rPr>
        <w:t>的方法符合《基金合同》等法律文件的规定，按有关规定计算并公告基金净值</w:t>
      </w:r>
      <w:r>
        <w:rPr>
          <w:rFonts w:ascii="宋体" w:hAnsi="宋体"/>
          <w:sz w:val="24"/>
          <w:szCs w:val="24"/>
        </w:rPr>
        <w:t>信息</w:t>
      </w:r>
      <w:r>
        <w:rPr>
          <w:rFonts w:ascii="宋体" w:hAnsi="宋体" w:hint="eastAsia"/>
          <w:sz w:val="24"/>
        </w:rPr>
        <w:t>，确定基金份额申购、赎回</w:t>
      </w:r>
      <w:r>
        <w:rPr>
          <w:rFonts w:ascii="宋体" w:hAnsi="宋体" w:hint="eastAsia"/>
          <w:sz w:val="24"/>
          <w:szCs w:val="24"/>
        </w:rPr>
        <w:t>对价，编制申购赎回清单</w:t>
      </w:r>
      <w:r>
        <w:rPr>
          <w:rFonts w:ascii="宋体" w:hAnsi="宋体" w:hint="eastAsia"/>
          <w:sz w:val="24"/>
        </w:rPr>
        <w:t>；</w:t>
      </w:r>
    </w:p>
    <w:p w14:paraId="25627254" w14:textId="77777777" w:rsidR="00E82AF4" w:rsidRDefault="005B2E6A">
      <w:pPr>
        <w:spacing w:line="360" w:lineRule="auto"/>
        <w:ind w:firstLineChars="200" w:firstLine="480"/>
        <w:rPr>
          <w:rFonts w:ascii="宋体" w:hAnsi="宋体"/>
          <w:sz w:val="24"/>
        </w:rPr>
      </w:pPr>
      <w:r>
        <w:rPr>
          <w:rFonts w:ascii="宋体" w:hAnsi="宋体" w:hint="eastAsia"/>
          <w:sz w:val="24"/>
        </w:rPr>
        <w:t>（9）进行基金会计核算并编制基金财务会计报告；</w:t>
      </w:r>
    </w:p>
    <w:p w14:paraId="71E5571E" w14:textId="77777777" w:rsidR="00E82AF4" w:rsidRDefault="005B2E6A">
      <w:pPr>
        <w:spacing w:line="360" w:lineRule="auto"/>
        <w:ind w:firstLineChars="200" w:firstLine="480"/>
        <w:rPr>
          <w:rFonts w:ascii="宋体" w:hAnsi="宋体"/>
          <w:sz w:val="24"/>
        </w:rPr>
      </w:pPr>
      <w:r>
        <w:rPr>
          <w:rFonts w:ascii="宋体" w:hAnsi="宋体" w:hint="eastAsia"/>
          <w:sz w:val="24"/>
        </w:rPr>
        <w:t>（10）</w:t>
      </w:r>
      <w:r>
        <w:rPr>
          <w:rFonts w:ascii="宋体" w:hAnsi="宋体" w:hint="eastAsia"/>
          <w:sz w:val="24"/>
          <w:szCs w:val="24"/>
        </w:rPr>
        <w:t>编制季度报告、中期</w:t>
      </w:r>
      <w:r>
        <w:rPr>
          <w:rFonts w:ascii="宋体" w:hAnsi="宋体"/>
          <w:sz w:val="24"/>
          <w:szCs w:val="24"/>
        </w:rPr>
        <w:t>报告</w:t>
      </w:r>
      <w:r>
        <w:rPr>
          <w:rFonts w:ascii="宋体" w:hAnsi="宋体" w:hint="eastAsia"/>
          <w:sz w:val="24"/>
          <w:szCs w:val="24"/>
        </w:rPr>
        <w:t>和年度报告</w:t>
      </w:r>
      <w:r>
        <w:rPr>
          <w:rFonts w:ascii="宋体" w:hAnsi="宋体" w:hint="eastAsia"/>
          <w:sz w:val="24"/>
        </w:rPr>
        <w:t>；</w:t>
      </w:r>
    </w:p>
    <w:p w14:paraId="420F984F" w14:textId="77777777" w:rsidR="00E82AF4" w:rsidRDefault="005B2E6A">
      <w:pPr>
        <w:spacing w:line="360" w:lineRule="auto"/>
        <w:ind w:firstLineChars="200" w:firstLine="480"/>
        <w:rPr>
          <w:rFonts w:ascii="宋体" w:hAnsi="宋体"/>
          <w:sz w:val="24"/>
        </w:rPr>
      </w:pPr>
      <w:r>
        <w:rPr>
          <w:rFonts w:ascii="宋体" w:hAnsi="宋体" w:hint="eastAsia"/>
          <w:sz w:val="24"/>
        </w:rPr>
        <w:t>（11）严格按照《基金法》、</w:t>
      </w:r>
      <w:r>
        <w:rPr>
          <w:rFonts w:ascii="宋体" w:hAnsi="宋体" w:hint="eastAsia"/>
          <w:sz w:val="24"/>
          <w:szCs w:val="24"/>
        </w:rPr>
        <w:t>基金合同</w:t>
      </w:r>
      <w:r>
        <w:rPr>
          <w:rFonts w:ascii="宋体" w:hAnsi="宋体" w:hint="eastAsia"/>
          <w:sz w:val="24"/>
        </w:rPr>
        <w:t>及其他有关规定，履行信息披露及报告义务；</w:t>
      </w:r>
    </w:p>
    <w:p w14:paraId="17FAB4FB" w14:textId="77777777" w:rsidR="00E82AF4" w:rsidRDefault="005B2E6A">
      <w:pPr>
        <w:spacing w:line="360" w:lineRule="auto"/>
        <w:ind w:firstLineChars="200" w:firstLine="480"/>
        <w:rPr>
          <w:rFonts w:ascii="宋体" w:hAnsi="宋体"/>
          <w:sz w:val="24"/>
        </w:rPr>
      </w:pPr>
      <w:r>
        <w:rPr>
          <w:rFonts w:ascii="宋体" w:hAnsi="宋体" w:hint="eastAsia"/>
          <w:sz w:val="24"/>
        </w:rPr>
        <w:t>（12）保守基金商业秘密，不泄露基金投资计划、投资意向等。除《基金法》、</w:t>
      </w:r>
      <w:r>
        <w:rPr>
          <w:rFonts w:ascii="宋体" w:hAnsi="宋体" w:hint="eastAsia"/>
          <w:sz w:val="24"/>
          <w:szCs w:val="24"/>
        </w:rPr>
        <w:t>基金合同</w:t>
      </w:r>
      <w:r>
        <w:rPr>
          <w:rFonts w:ascii="宋体" w:hAnsi="宋体" w:hint="eastAsia"/>
          <w:sz w:val="24"/>
        </w:rPr>
        <w:t>及其他有关</w:t>
      </w:r>
      <w:r>
        <w:rPr>
          <w:rFonts w:ascii="宋体" w:hAnsi="宋体" w:hint="eastAsia"/>
          <w:sz w:val="24"/>
          <w:szCs w:val="24"/>
        </w:rPr>
        <w:t>法律法规或监管机构</w:t>
      </w:r>
      <w:r>
        <w:rPr>
          <w:rFonts w:ascii="宋体" w:hAnsi="宋体" w:hint="eastAsia"/>
          <w:sz w:val="24"/>
        </w:rPr>
        <w:t>另有规定</w:t>
      </w:r>
      <w:r>
        <w:rPr>
          <w:rFonts w:ascii="宋体" w:hAnsi="宋体" w:hint="eastAsia"/>
          <w:sz w:val="24"/>
          <w:szCs w:val="24"/>
        </w:rPr>
        <w:t>或</w:t>
      </w:r>
      <w:r>
        <w:rPr>
          <w:rFonts w:ascii="宋体" w:hAnsi="宋体"/>
          <w:sz w:val="24"/>
          <w:szCs w:val="24"/>
        </w:rPr>
        <w:t>要求</w:t>
      </w:r>
      <w:r>
        <w:rPr>
          <w:rFonts w:ascii="宋体" w:hAnsi="宋体" w:hint="eastAsia"/>
          <w:sz w:val="24"/>
        </w:rPr>
        <w:t>外，在基金信息公开披露前应予保密，不向他人泄露</w:t>
      </w:r>
      <w:r>
        <w:rPr>
          <w:rFonts w:ascii="宋体" w:hAnsi="宋体" w:hint="eastAsia"/>
          <w:sz w:val="24"/>
          <w:szCs w:val="24"/>
        </w:rPr>
        <w:t>，</w:t>
      </w:r>
      <w:r>
        <w:rPr>
          <w:rFonts w:ascii="宋体" w:hAnsi="宋体" w:hint="eastAsia"/>
          <w:sz w:val="24"/>
        </w:rPr>
        <w:t>但向监管机构、司法机关提供或</w:t>
      </w:r>
      <w:r>
        <w:rPr>
          <w:rFonts w:ascii="宋体" w:hAnsi="宋体" w:hint="eastAsia"/>
          <w:sz w:val="24"/>
          <w:szCs w:val="24"/>
        </w:rPr>
        <w:t>因审计、法律等外部专业顾问提供服务而向其提供的情况除外</w:t>
      </w:r>
      <w:r>
        <w:rPr>
          <w:rFonts w:ascii="宋体" w:hAnsi="宋体" w:hint="eastAsia"/>
          <w:sz w:val="24"/>
        </w:rPr>
        <w:t>；</w:t>
      </w:r>
    </w:p>
    <w:p w14:paraId="47148760" w14:textId="77777777" w:rsidR="00E82AF4" w:rsidRDefault="005B2E6A">
      <w:pPr>
        <w:spacing w:line="360" w:lineRule="auto"/>
        <w:ind w:firstLineChars="200" w:firstLine="480"/>
        <w:rPr>
          <w:rFonts w:ascii="宋体" w:hAnsi="宋体"/>
          <w:sz w:val="24"/>
        </w:rPr>
      </w:pPr>
      <w:r>
        <w:rPr>
          <w:rFonts w:ascii="宋体" w:hAnsi="宋体" w:hint="eastAsia"/>
          <w:sz w:val="24"/>
        </w:rPr>
        <w:t>（13）按</w:t>
      </w:r>
      <w:r>
        <w:rPr>
          <w:rFonts w:ascii="宋体" w:hAnsi="宋体" w:hint="eastAsia"/>
          <w:sz w:val="24"/>
          <w:szCs w:val="24"/>
        </w:rPr>
        <w:t>基金合同</w:t>
      </w:r>
      <w:r>
        <w:rPr>
          <w:rFonts w:ascii="宋体" w:hAnsi="宋体" w:hint="eastAsia"/>
          <w:sz w:val="24"/>
        </w:rPr>
        <w:t>的约定确定基金收益分配方案，及时向基金份额持有人分配基金收益；</w:t>
      </w:r>
    </w:p>
    <w:p w14:paraId="364C86DB" w14:textId="77777777" w:rsidR="00E82AF4" w:rsidRDefault="005B2E6A">
      <w:pPr>
        <w:spacing w:line="360" w:lineRule="auto"/>
        <w:ind w:firstLineChars="200" w:firstLine="480"/>
        <w:rPr>
          <w:rFonts w:ascii="宋体" w:hAnsi="宋体"/>
          <w:sz w:val="24"/>
        </w:rPr>
      </w:pPr>
      <w:r>
        <w:rPr>
          <w:rFonts w:ascii="宋体" w:hAnsi="宋体" w:hint="eastAsia"/>
          <w:sz w:val="24"/>
        </w:rPr>
        <w:t>（14）按规定受理申购与赎回申请，及时、足额支付赎回</w:t>
      </w:r>
      <w:r>
        <w:rPr>
          <w:rFonts w:ascii="宋体" w:hAnsi="宋体" w:hint="eastAsia"/>
          <w:sz w:val="24"/>
          <w:szCs w:val="24"/>
        </w:rPr>
        <w:t>对价</w:t>
      </w:r>
      <w:r>
        <w:rPr>
          <w:rFonts w:ascii="宋体" w:hAnsi="宋体" w:hint="eastAsia"/>
          <w:sz w:val="24"/>
        </w:rPr>
        <w:t>；</w:t>
      </w:r>
    </w:p>
    <w:p w14:paraId="416B7E66" w14:textId="77777777" w:rsidR="00E82AF4" w:rsidRDefault="005B2E6A">
      <w:pPr>
        <w:spacing w:line="360" w:lineRule="auto"/>
        <w:ind w:firstLineChars="200" w:firstLine="480"/>
        <w:rPr>
          <w:rFonts w:ascii="宋体" w:hAnsi="宋体"/>
          <w:sz w:val="24"/>
        </w:rPr>
      </w:pPr>
      <w:r>
        <w:rPr>
          <w:rFonts w:ascii="宋体" w:hAnsi="宋体" w:hint="eastAsia"/>
          <w:sz w:val="24"/>
        </w:rPr>
        <w:t>（15）依据《基金法》、</w:t>
      </w:r>
      <w:r>
        <w:rPr>
          <w:rFonts w:ascii="宋体" w:hAnsi="宋体" w:hint="eastAsia"/>
          <w:sz w:val="24"/>
          <w:szCs w:val="24"/>
        </w:rPr>
        <w:t>基金合同</w:t>
      </w:r>
      <w:r>
        <w:rPr>
          <w:rFonts w:ascii="宋体" w:hAnsi="宋体" w:hint="eastAsia"/>
          <w:sz w:val="24"/>
        </w:rPr>
        <w:t>及其他有关规定召集基金份额持有人大会或配合基金托管人、基金份额持有人依法召集基金份额持有人大会；</w:t>
      </w:r>
    </w:p>
    <w:p w14:paraId="606535A0" w14:textId="77777777" w:rsidR="00E82AF4" w:rsidRDefault="005B2E6A">
      <w:pPr>
        <w:spacing w:line="360" w:lineRule="auto"/>
        <w:ind w:firstLineChars="200" w:firstLine="480"/>
        <w:rPr>
          <w:rFonts w:ascii="宋体" w:hAnsi="宋体"/>
          <w:sz w:val="24"/>
        </w:rPr>
      </w:pPr>
      <w:r>
        <w:rPr>
          <w:rFonts w:ascii="宋体" w:hAnsi="宋体" w:hint="eastAsia"/>
          <w:sz w:val="24"/>
        </w:rPr>
        <w:t>（16）按规定保存基金财产管理业务活动的会计账册、报表、记录和其他相关资料</w:t>
      </w:r>
      <w:r>
        <w:rPr>
          <w:rFonts w:ascii="宋体" w:hAnsi="宋体" w:hint="eastAsia"/>
          <w:sz w:val="24"/>
          <w:szCs w:val="24"/>
        </w:rPr>
        <w:t>，保存期限不低于法律法规的规定</w:t>
      </w:r>
      <w:r>
        <w:rPr>
          <w:rFonts w:ascii="宋体" w:hAnsi="宋体" w:hint="eastAsia"/>
          <w:sz w:val="24"/>
        </w:rPr>
        <w:t>；</w:t>
      </w:r>
    </w:p>
    <w:p w14:paraId="088156D0" w14:textId="77777777" w:rsidR="00E82AF4" w:rsidRDefault="005B2E6A">
      <w:pPr>
        <w:spacing w:line="360" w:lineRule="auto"/>
        <w:ind w:firstLineChars="200" w:firstLine="480"/>
        <w:rPr>
          <w:rFonts w:ascii="宋体" w:hAnsi="宋体"/>
          <w:sz w:val="24"/>
        </w:rPr>
      </w:pPr>
      <w:r>
        <w:rPr>
          <w:rFonts w:ascii="宋体" w:hAnsi="宋体" w:hint="eastAsia"/>
          <w:sz w:val="24"/>
        </w:rPr>
        <w:t>（17）确保需要向基金</w:t>
      </w:r>
      <w:r>
        <w:rPr>
          <w:rFonts w:ascii="宋体" w:hAnsi="宋体" w:hint="eastAsia"/>
          <w:sz w:val="24"/>
          <w:szCs w:val="24"/>
        </w:rPr>
        <w:t>投资人</w:t>
      </w:r>
      <w:r>
        <w:rPr>
          <w:rFonts w:ascii="宋体" w:hAnsi="宋体" w:hint="eastAsia"/>
          <w:sz w:val="24"/>
        </w:rPr>
        <w:t>提供的各项文件或资料在规定时间发出，并且保证</w:t>
      </w:r>
      <w:r>
        <w:rPr>
          <w:rFonts w:ascii="宋体" w:hAnsi="宋体" w:hint="eastAsia"/>
          <w:sz w:val="24"/>
          <w:szCs w:val="24"/>
        </w:rPr>
        <w:t>投资人</w:t>
      </w:r>
      <w:r>
        <w:rPr>
          <w:rFonts w:ascii="宋体" w:hAnsi="宋体" w:hint="eastAsia"/>
          <w:sz w:val="24"/>
        </w:rPr>
        <w:t>能够按照</w:t>
      </w:r>
      <w:r>
        <w:rPr>
          <w:rFonts w:ascii="宋体" w:hAnsi="宋体" w:hint="eastAsia"/>
          <w:sz w:val="24"/>
          <w:szCs w:val="24"/>
        </w:rPr>
        <w:t>基金合同</w:t>
      </w:r>
      <w:r>
        <w:rPr>
          <w:rFonts w:ascii="宋体" w:hAnsi="宋体" w:hint="eastAsia"/>
          <w:sz w:val="24"/>
        </w:rPr>
        <w:t>规定的时间和方式，随时查阅到与基金有关的公开资料，并在支付合理成本的条件下得到有关资料的复印件；</w:t>
      </w:r>
    </w:p>
    <w:p w14:paraId="55348AA1"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（18）组织并参加基金财产清算小组</w:t>
      </w:r>
      <w:r>
        <w:rPr>
          <w:rFonts w:ascii="宋体" w:hAnsi="宋体" w:hint="eastAsia"/>
          <w:sz w:val="24"/>
          <w:szCs w:val="24"/>
        </w:rPr>
        <w:t>，</w:t>
      </w:r>
      <w:r>
        <w:rPr>
          <w:rFonts w:ascii="宋体" w:hAnsi="宋体" w:hint="eastAsia"/>
          <w:sz w:val="24"/>
        </w:rPr>
        <w:t>参与基金财产的保管、清理、估价、变现和分配；</w:t>
      </w:r>
    </w:p>
    <w:p w14:paraId="5D3CBCDE" w14:textId="77777777" w:rsidR="00E82AF4" w:rsidRDefault="005B2E6A">
      <w:pPr>
        <w:spacing w:line="360" w:lineRule="auto"/>
        <w:ind w:firstLineChars="200" w:firstLine="480"/>
        <w:rPr>
          <w:rFonts w:ascii="宋体" w:hAnsi="宋体"/>
          <w:sz w:val="24"/>
        </w:rPr>
      </w:pPr>
      <w:r>
        <w:rPr>
          <w:rFonts w:ascii="宋体" w:hAnsi="宋体" w:hint="eastAsia"/>
          <w:sz w:val="24"/>
        </w:rPr>
        <w:t>（19）面临解散、依法被撤销或者被依法宣告破产时，及时报告中国证监会并通知基金托管人；</w:t>
      </w:r>
    </w:p>
    <w:p w14:paraId="40CEF792" w14:textId="77777777" w:rsidR="00E82AF4" w:rsidRDefault="005B2E6A">
      <w:pPr>
        <w:spacing w:line="360" w:lineRule="auto"/>
        <w:ind w:firstLineChars="200" w:firstLine="480"/>
        <w:rPr>
          <w:rFonts w:ascii="宋体" w:hAnsi="宋体"/>
          <w:sz w:val="24"/>
        </w:rPr>
      </w:pPr>
      <w:r>
        <w:rPr>
          <w:rFonts w:ascii="宋体" w:hAnsi="宋体" w:hint="eastAsia"/>
          <w:sz w:val="24"/>
        </w:rPr>
        <w:t>（20）因违反</w:t>
      </w:r>
      <w:r>
        <w:rPr>
          <w:rFonts w:ascii="宋体" w:hAnsi="宋体" w:hint="eastAsia"/>
          <w:sz w:val="24"/>
          <w:szCs w:val="24"/>
        </w:rPr>
        <w:t>基金合同</w:t>
      </w:r>
      <w:r>
        <w:rPr>
          <w:rFonts w:ascii="宋体" w:hAnsi="宋体" w:hint="eastAsia"/>
          <w:sz w:val="24"/>
        </w:rPr>
        <w:t>导致基金财产的损失或损害基金份额持有人合法权益时，应当承担赔偿责任，其赔偿责任不因其退任而免除；</w:t>
      </w:r>
    </w:p>
    <w:p w14:paraId="6E1B29D8" w14:textId="77777777" w:rsidR="00E82AF4" w:rsidRDefault="005B2E6A">
      <w:pPr>
        <w:spacing w:line="360" w:lineRule="auto"/>
        <w:ind w:firstLineChars="200" w:firstLine="480"/>
        <w:rPr>
          <w:rFonts w:ascii="宋体" w:hAnsi="宋体"/>
          <w:sz w:val="24"/>
        </w:rPr>
      </w:pPr>
      <w:r>
        <w:rPr>
          <w:rFonts w:ascii="宋体" w:hAnsi="宋体" w:hint="eastAsia"/>
          <w:sz w:val="24"/>
        </w:rPr>
        <w:t>（21）监督基金托管人按法律法规和</w:t>
      </w:r>
      <w:r>
        <w:rPr>
          <w:rFonts w:ascii="宋体" w:hAnsi="宋体" w:hint="eastAsia"/>
          <w:sz w:val="24"/>
          <w:szCs w:val="24"/>
        </w:rPr>
        <w:t>基金合同</w:t>
      </w:r>
      <w:r>
        <w:rPr>
          <w:rFonts w:ascii="宋体" w:hAnsi="宋体" w:hint="eastAsia"/>
          <w:sz w:val="24"/>
        </w:rPr>
        <w:t>规定履行自己的义务，基金托管人违反</w:t>
      </w:r>
      <w:r>
        <w:rPr>
          <w:rFonts w:ascii="宋体" w:hAnsi="宋体" w:hint="eastAsia"/>
          <w:sz w:val="24"/>
          <w:szCs w:val="24"/>
        </w:rPr>
        <w:t>基金合同</w:t>
      </w:r>
      <w:r>
        <w:rPr>
          <w:rFonts w:ascii="宋体" w:hAnsi="宋体" w:hint="eastAsia"/>
          <w:sz w:val="24"/>
        </w:rPr>
        <w:t>造成基金财产损失时，基金管理人应为基金份额持有人利益向基金托管人追偿；</w:t>
      </w:r>
    </w:p>
    <w:p w14:paraId="6BE98103" w14:textId="77777777" w:rsidR="00E82AF4" w:rsidRDefault="005B2E6A">
      <w:pPr>
        <w:spacing w:line="360" w:lineRule="auto"/>
        <w:ind w:firstLineChars="200" w:firstLine="480"/>
        <w:rPr>
          <w:rFonts w:ascii="宋体" w:hAnsi="宋体"/>
          <w:sz w:val="24"/>
        </w:rPr>
      </w:pPr>
      <w:r>
        <w:rPr>
          <w:rFonts w:ascii="宋体" w:hAnsi="宋体" w:hint="eastAsia"/>
          <w:sz w:val="24"/>
        </w:rPr>
        <w:t>（22）当基金管理人将其义务委托第三方处理时，应当对第三方处理有关基金事务的行为承担责任；</w:t>
      </w:r>
    </w:p>
    <w:p w14:paraId="63594C62" w14:textId="77777777" w:rsidR="00E82AF4" w:rsidRDefault="005B2E6A">
      <w:pPr>
        <w:spacing w:line="360" w:lineRule="auto"/>
        <w:ind w:firstLineChars="200" w:firstLine="480"/>
        <w:rPr>
          <w:rFonts w:ascii="宋体" w:hAnsi="宋体"/>
          <w:sz w:val="24"/>
        </w:rPr>
      </w:pPr>
      <w:r>
        <w:rPr>
          <w:rFonts w:ascii="宋体" w:hAnsi="宋体" w:hint="eastAsia"/>
          <w:sz w:val="24"/>
        </w:rPr>
        <w:t>（23）以基金管理人名义，代表基金份额持有人利益行使诉讼权利或实施其他法律行为；</w:t>
      </w:r>
    </w:p>
    <w:p w14:paraId="31583BCA" w14:textId="77777777" w:rsidR="00E82AF4" w:rsidRDefault="005B2E6A">
      <w:pPr>
        <w:spacing w:line="360" w:lineRule="auto"/>
        <w:ind w:firstLineChars="200" w:firstLine="480"/>
        <w:rPr>
          <w:rFonts w:ascii="宋体" w:hAnsi="宋体"/>
          <w:sz w:val="24"/>
        </w:rPr>
      </w:pPr>
      <w:r>
        <w:rPr>
          <w:rFonts w:ascii="宋体" w:hAnsi="宋体" w:hint="eastAsia"/>
          <w:sz w:val="24"/>
        </w:rPr>
        <w:t>（24）基金管理人在募集期间未能达到基金</w:t>
      </w:r>
      <w:bookmarkStart w:id="213" w:name="_Hlt88823209"/>
      <w:bookmarkEnd w:id="213"/>
      <w:r>
        <w:rPr>
          <w:rFonts w:ascii="宋体" w:hAnsi="宋体" w:hint="eastAsia"/>
          <w:sz w:val="24"/>
        </w:rPr>
        <w:t>的备案条件，</w:t>
      </w:r>
      <w:r>
        <w:rPr>
          <w:rFonts w:ascii="宋体" w:hAnsi="宋体" w:hint="eastAsia"/>
          <w:sz w:val="24"/>
          <w:szCs w:val="24"/>
        </w:rPr>
        <w:t>基金合同</w:t>
      </w:r>
      <w:r>
        <w:rPr>
          <w:rFonts w:ascii="宋体" w:hAnsi="宋体" w:hint="eastAsia"/>
          <w:sz w:val="24"/>
        </w:rPr>
        <w:t>不能生效，基金管理人承担全部募集费用，将已募集资金并加计银行同期</w:t>
      </w:r>
      <w:r>
        <w:rPr>
          <w:rFonts w:ascii="宋体" w:hAnsi="宋体" w:hint="eastAsia"/>
          <w:sz w:val="24"/>
          <w:szCs w:val="24"/>
        </w:rPr>
        <w:t>活期存款</w:t>
      </w:r>
      <w:r>
        <w:rPr>
          <w:rFonts w:ascii="宋体" w:hAnsi="宋体" w:hint="eastAsia"/>
          <w:sz w:val="24"/>
        </w:rPr>
        <w:t>利息</w:t>
      </w:r>
      <w:r>
        <w:rPr>
          <w:rFonts w:ascii="宋体" w:hAnsi="宋体" w:hint="eastAsia"/>
          <w:sz w:val="24"/>
          <w:szCs w:val="24"/>
        </w:rPr>
        <w:t>（税后）</w:t>
      </w:r>
      <w:r>
        <w:rPr>
          <w:rFonts w:ascii="宋体" w:hAnsi="宋体" w:hint="eastAsia"/>
          <w:sz w:val="24"/>
        </w:rPr>
        <w:t>在基金募集期结束后</w:t>
      </w:r>
      <w:r>
        <w:rPr>
          <w:rFonts w:ascii="宋体" w:hAnsi="宋体" w:hint="eastAsia"/>
          <w:sz w:val="24"/>
          <w:szCs w:val="24"/>
        </w:rPr>
        <w:t>30</w:t>
      </w:r>
      <w:r>
        <w:rPr>
          <w:rFonts w:ascii="宋体" w:hAnsi="宋体" w:hint="eastAsia"/>
          <w:sz w:val="24"/>
        </w:rPr>
        <w:t>日内退还基金认购人</w:t>
      </w:r>
      <w:r>
        <w:rPr>
          <w:rFonts w:ascii="宋体" w:hAnsi="宋体" w:hint="eastAsia"/>
          <w:sz w:val="24"/>
          <w:szCs w:val="24"/>
        </w:rPr>
        <w:t>，募集期间网下股票认购所冻结的股票应予以解冻</w:t>
      </w:r>
      <w:r>
        <w:rPr>
          <w:rFonts w:ascii="宋体" w:hAnsi="宋体" w:hint="eastAsia"/>
          <w:sz w:val="24"/>
        </w:rPr>
        <w:t>；</w:t>
      </w:r>
    </w:p>
    <w:p w14:paraId="2B8B717F" w14:textId="77777777" w:rsidR="00E82AF4" w:rsidRDefault="005B2E6A">
      <w:pPr>
        <w:spacing w:line="360" w:lineRule="auto"/>
        <w:ind w:firstLineChars="200" w:firstLine="480"/>
        <w:rPr>
          <w:rFonts w:ascii="宋体" w:hAnsi="宋体"/>
          <w:sz w:val="24"/>
        </w:rPr>
      </w:pPr>
      <w:r>
        <w:rPr>
          <w:rFonts w:ascii="宋体" w:hAnsi="宋体" w:hint="eastAsia"/>
          <w:sz w:val="24"/>
        </w:rPr>
        <w:t>（25）执行生效的基金份额持有人大会的决议；</w:t>
      </w:r>
    </w:p>
    <w:p w14:paraId="15C54BCD" w14:textId="77777777" w:rsidR="00E82AF4" w:rsidRDefault="005B2E6A">
      <w:pPr>
        <w:spacing w:line="360" w:lineRule="auto"/>
        <w:ind w:firstLineChars="200" w:firstLine="480"/>
        <w:rPr>
          <w:rFonts w:ascii="宋体" w:hAnsi="宋体"/>
          <w:sz w:val="24"/>
        </w:rPr>
      </w:pPr>
      <w:r>
        <w:rPr>
          <w:rFonts w:ascii="宋体" w:hAnsi="宋体" w:hint="eastAsia"/>
          <w:sz w:val="24"/>
        </w:rPr>
        <w:t>（26）建立并保存基金份额持有人名册；</w:t>
      </w:r>
    </w:p>
    <w:p w14:paraId="46B8AF34" w14:textId="77777777" w:rsidR="00E82AF4" w:rsidRDefault="005B2E6A">
      <w:pPr>
        <w:spacing w:line="360" w:lineRule="auto"/>
        <w:ind w:firstLineChars="200" w:firstLine="480"/>
        <w:rPr>
          <w:rFonts w:ascii="宋体" w:hAnsi="宋体"/>
          <w:sz w:val="24"/>
        </w:rPr>
      </w:pPr>
      <w:r>
        <w:rPr>
          <w:rFonts w:ascii="宋体" w:hAnsi="宋体" w:hint="eastAsia"/>
          <w:sz w:val="24"/>
        </w:rPr>
        <w:t>（27）法律法规及中国证监会规定的和《基金合同》约定的其他义务。</w:t>
      </w:r>
      <w:bookmarkStart w:id="214" w:name="_Hlt88897298"/>
      <w:bookmarkStart w:id="215" w:name="_Toc15118238"/>
      <w:bookmarkStart w:id="216" w:name="_Toc57530240"/>
      <w:bookmarkStart w:id="217" w:name="_Toc79392581"/>
      <w:bookmarkEnd w:id="214"/>
    </w:p>
    <w:p w14:paraId="32A68791" w14:textId="77777777" w:rsidR="00E82AF4" w:rsidRDefault="005B2E6A">
      <w:pPr>
        <w:spacing w:line="360" w:lineRule="auto"/>
        <w:ind w:firstLineChars="200" w:firstLine="480"/>
        <w:rPr>
          <w:rFonts w:ascii="宋体" w:hAnsi="宋体"/>
          <w:sz w:val="24"/>
        </w:rPr>
      </w:pPr>
      <w:r>
        <w:rPr>
          <w:rFonts w:ascii="宋体" w:hAnsi="宋体" w:hint="eastAsia"/>
          <w:sz w:val="24"/>
        </w:rPr>
        <w:t>二、基金托管人</w:t>
      </w:r>
      <w:bookmarkEnd w:id="212"/>
      <w:bookmarkEnd w:id="215"/>
      <w:bookmarkEnd w:id="216"/>
      <w:bookmarkEnd w:id="217"/>
    </w:p>
    <w:p w14:paraId="2B5DDBED" w14:textId="77777777" w:rsidR="00E82AF4" w:rsidRDefault="005B2E6A">
      <w:pPr>
        <w:spacing w:line="360" w:lineRule="auto"/>
        <w:ind w:firstLineChars="200" w:firstLine="480"/>
        <w:rPr>
          <w:rFonts w:ascii="宋体" w:hAnsi="宋体"/>
          <w:sz w:val="24"/>
        </w:rPr>
      </w:pPr>
      <w:bookmarkStart w:id="218" w:name="_Toc15118239"/>
      <w:r>
        <w:rPr>
          <w:rFonts w:ascii="宋体" w:hAnsi="宋体" w:hint="eastAsia"/>
          <w:sz w:val="24"/>
        </w:rPr>
        <w:t>（一）基金托管人简况</w:t>
      </w:r>
      <w:bookmarkEnd w:id="218"/>
    </w:p>
    <w:p w14:paraId="0DB4EAAB" w14:textId="77777777" w:rsidR="00E82AF4" w:rsidRDefault="005B2E6A">
      <w:pPr>
        <w:spacing w:line="360" w:lineRule="auto"/>
        <w:ind w:firstLineChars="200" w:firstLine="480"/>
        <w:rPr>
          <w:rFonts w:ascii="宋体" w:hAnsi="宋体"/>
          <w:sz w:val="24"/>
        </w:rPr>
      </w:pPr>
      <w:r>
        <w:rPr>
          <w:rFonts w:ascii="宋体" w:hAnsi="宋体" w:hint="eastAsia"/>
          <w:sz w:val="24"/>
        </w:rPr>
        <w:t>名称：中国建设银行股份有限公司</w:t>
      </w:r>
    </w:p>
    <w:p w14:paraId="7655797C" w14:textId="77777777" w:rsidR="00E82AF4" w:rsidRDefault="005B2E6A">
      <w:pPr>
        <w:spacing w:line="360" w:lineRule="auto"/>
        <w:ind w:firstLineChars="200" w:firstLine="480"/>
        <w:rPr>
          <w:rFonts w:ascii="宋体" w:hAnsi="宋体"/>
          <w:sz w:val="24"/>
        </w:rPr>
      </w:pPr>
      <w:r>
        <w:rPr>
          <w:rFonts w:ascii="宋体" w:hAnsi="宋体" w:hint="eastAsia"/>
          <w:sz w:val="24"/>
        </w:rPr>
        <w:t>住所：北京市西城区金融大街25号</w:t>
      </w:r>
    </w:p>
    <w:p w14:paraId="79F89421" w14:textId="77777777" w:rsidR="00E82AF4" w:rsidRDefault="005B2E6A">
      <w:pPr>
        <w:spacing w:line="360" w:lineRule="auto"/>
        <w:ind w:firstLineChars="200" w:firstLine="480"/>
        <w:rPr>
          <w:rFonts w:ascii="宋体" w:hAnsi="宋体"/>
          <w:sz w:val="24"/>
        </w:rPr>
      </w:pPr>
      <w:r>
        <w:rPr>
          <w:rFonts w:ascii="宋体" w:hAnsi="宋体" w:hint="eastAsia"/>
          <w:sz w:val="24"/>
        </w:rPr>
        <w:t>办公地址：北京市西城区闹市口大街1号院1号楼</w:t>
      </w:r>
    </w:p>
    <w:p w14:paraId="2A93825B" w14:textId="77777777" w:rsidR="00E82AF4" w:rsidRDefault="005B2E6A">
      <w:pPr>
        <w:spacing w:line="360" w:lineRule="auto"/>
        <w:ind w:firstLineChars="200" w:firstLine="480"/>
        <w:rPr>
          <w:rFonts w:ascii="宋体" w:hAnsi="宋体"/>
          <w:sz w:val="24"/>
        </w:rPr>
      </w:pPr>
      <w:r>
        <w:rPr>
          <w:rFonts w:ascii="宋体" w:hAnsi="宋体" w:hint="eastAsia"/>
          <w:sz w:val="24"/>
        </w:rPr>
        <w:t>法定代表人：张金良</w:t>
      </w:r>
    </w:p>
    <w:p w14:paraId="7322384A" w14:textId="77777777" w:rsidR="00E82AF4" w:rsidRDefault="005B2E6A">
      <w:pPr>
        <w:spacing w:line="360" w:lineRule="auto"/>
        <w:ind w:firstLineChars="200" w:firstLine="480"/>
        <w:rPr>
          <w:rFonts w:ascii="宋体" w:hAnsi="宋体"/>
          <w:sz w:val="24"/>
        </w:rPr>
      </w:pPr>
      <w:r>
        <w:rPr>
          <w:rFonts w:ascii="宋体" w:hAnsi="宋体" w:hint="eastAsia"/>
          <w:sz w:val="24"/>
        </w:rPr>
        <w:t>成立时间：2004年09月17日</w:t>
      </w:r>
    </w:p>
    <w:p w14:paraId="60C7FEAB" w14:textId="77777777" w:rsidR="00E82AF4" w:rsidRDefault="005B2E6A">
      <w:pPr>
        <w:spacing w:line="360" w:lineRule="auto"/>
        <w:ind w:firstLineChars="200" w:firstLine="480"/>
        <w:rPr>
          <w:rFonts w:ascii="宋体" w:hAnsi="宋体"/>
          <w:sz w:val="24"/>
        </w:rPr>
      </w:pPr>
      <w:r>
        <w:rPr>
          <w:rFonts w:ascii="宋体" w:hAnsi="宋体" w:hint="eastAsia"/>
          <w:sz w:val="24"/>
        </w:rPr>
        <w:t>组织形式：股份有限公司</w:t>
      </w:r>
    </w:p>
    <w:p w14:paraId="564EEF09" w14:textId="77777777" w:rsidR="00E82AF4" w:rsidRDefault="005B2E6A">
      <w:pPr>
        <w:spacing w:line="360" w:lineRule="auto"/>
        <w:ind w:firstLineChars="200" w:firstLine="480"/>
        <w:rPr>
          <w:rFonts w:ascii="宋体" w:hAnsi="宋体"/>
          <w:sz w:val="24"/>
        </w:rPr>
      </w:pPr>
      <w:r>
        <w:rPr>
          <w:rFonts w:ascii="宋体" w:hAnsi="宋体" w:hint="eastAsia"/>
          <w:sz w:val="24"/>
        </w:rPr>
        <w:t>注册资本：贰仟陆佰壹拾陆亿零叁拾捌万壹仟肆佰伍拾玖元整</w:t>
      </w:r>
    </w:p>
    <w:p w14:paraId="13E38A02"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存续期间：持续经营</w:t>
      </w:r>
    </w:p>
    <w:p w14:paraId="1349545E" w14:textId="77777777" w:rsidR="00E82AF4" w:rsidRDefault="005B2E6A">
      <w:pPr>
        <w:spacing w:line="360" w:lineRule="auto"/>
        <w:ind w:firstLineChars="200" w:firstLine="480"/>
        <w:rPr>
          <w:rFonts w:ascii="宋体" w:hAnsi="宋体"/>
          <w:sz w:val="24"/>
        </w:rPr>
      </w:pPr>
      <w:r>
        <w:rPr>
          <w:rFonts w:ascii="宋体" w:hAnsi="宋体" w:hint="eastAsia"/>
          <w:sz w:val="24"/>
        </w:rPr>
        <w:t>基金托管资格批文文号：中国证监会证监基字[1998]12号</w:t>
      </w:r>
    </w:p>
    <w:p w14:paraId="4D143550" w14:textId="77777777" w:rsidR="00E82AF4" w:rsidRDefault="005B2E6A">
      <w:pPr>
        <w:spacing w:line="360" w:lineRule="auto"/>
        <w:ind w:firstLineChars="200" w:firstLine="480"/>
        <w:rPr>
          <w:rFonts w:ascii="宋体" w:hAnsi="宋体"/>
          <w:sz w:val="24"/>
        </w:rPr>
      </w:pPr>
      <w:r>
        <w:rPr>
          <w:rFonts w:ascii="宋体" w:hAnsi="宋体" w:hint="eastAsia"/>
          <w:sz w:val="24"/>
        </w:rPr>
        <w:t>（二）基金托管人的权利与义务</w:t>
      </w:r>
    </w:p>
    <w:p w14:paraId="54FEA230"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1、根据《基金法》、《运作办法》及其他有关规定，基金托管人的权利包括但不限于：</w:t>
      </w:r>
    </w:p>
    <w:p w14:paraId="0A5E76E9" w14:textId="77777777" w:rsidR="00E82AF4" w:rsidRDefault="005B2E6A">
      <w:pPr>
        <w:spacing w:line="360" w:lineRule="auto"/>
        <w:ind w:firstLineChars="200" w:firstLine="480"/>
        <w:rPr>
          <w:rFonts w:ascii="宋体" w:hAnsi="宋体"/>
          <w:sz w:val="24"/>
        </w:rPr>
      </w:pPr>
      <w:r>
        <w:rPr>
          <w:rFonts w:ascii="宋体" w:hAnsi="宋体" w:hint="eastAsia"/>
          <w:sz w:val="24"/>
        </w:rPr>
        <w:t>（1）自《基金合同》生效之日起，依法律法规和《基金合同》的规定安全保管基金财产；</w:t>
      </w:r>
    </w:p>
    <w:p w14:paraId="619610C9" w14:textId="77777777" w:rsidR="00E82AF4" w:rsidRDefault="005B2E6A">
      <w:pPr>
        <w:spacing w:line="360" w:lineRule="auto"/>
        <w:ind w:firstLineChars="200" w:firstLine="480"/>
        <w:rPr>
          <w:rFonts w:ascii="宋体" w:hAnsi="宋体"/>
          <w:sz w:val="24"/>
        </w:rPr>
      </w:pPr>
      <w:r>
        <w:rPr>
          <w:rFonts w:ascii="宋体" w:hAnsi="宋体" w:hint="eastAsia"/>
          <w:sz w:val="24"/>
        </w:rPr>
        <w:t>（2）依《基金合同》约定获得基金托管费以及法律法规规定或监管部门批准的其他费用；</w:t>
      </w:r>
    </w:p>
    <w:p w14:paraId="68020A69" w14:textId="77777777" w:rsidR="00E82AF4" w:rsidRDefault="005B2E6A">
      <w:pPr>
        <w:spacing w:line="360" w:lineRule="auto"/>
        <w:ind w:firstLineChars="200" w:firstLine="480"/>
        <w:rPr>
          <w:rFonts w:ascii="宋体" w:hAnsi="宋体"/>
          <w:sz w:val="24"/>
        </w:rPr>
      </w:pPr>
      <w:r>
        <w:rPr>
          <w:rFonts w:ascii="宋体" w:hAnsi="宋体" w:hint="eastAsia"/>
          <w:sz w:val="24"/>
        </w:rPr>
        <w:t>（3）监督基金管理人对本基金的投资运作，如发现基金管理人有违反《基金合同》及国家法律法规行为，对基金财产、其他当事人的利益造成重大损失的情形，应呈报中国证监会，并采取必要措施保护基金投资人的利益；</w:t>
      </w:r>
    </w:p>
    <w:p w14:paraId="44F0DF4E" w14:textId="77777777" w:rsidR="00E82AF4" w:rsidRDefault="005B2E6A">
      <w:pPr>
        <w:spacing w:line="360" w:lineRule="auto"/>
        <w:ind w:firstLineChars="200" w:firstLine="480"/>
        <w:rPr>
          <w:rFonts w:ascii="宋体" w:hAnsi="宋体"/>
          <w:sz w:val="24"/>
        </w:rPr>
      </w:pPr>
      <w:r>
        <w:rPr>
          <w:rFonts w:ascii="宋体" w:hAnsi="宋体" w:hint="eastAsia"/>
          <w:sz w:val="24"/>
        </w:rPr>
        <w:t>（4）根据相关市场规则，为基金开设资金账户、证券账户等投资所需账户，为基金办理证券交易资金清算；</w:t>
      </w:r>
    </w:p>
    <w:p w14:paraId="123919CB" w14:textId="77777777" w:rsidR="00E82AF4" w:rsidRDefault="005B2E6A">
      <w:pPr>
        <w:spacing w:line="360" w:lineRule="auto"/>
        <w:ind w:firstLineChars="200" w:firstLine="480"/>
        <w:rPr>
          <w:rFonts w:ascii="宋体" w:hAnsi="宋体"/>
          <w:sz w:val="24"/>
        </w:rPr>
      </w:pPr>
      <w:r>
        <w:rPr>
          <w:rFonts w:ascii="宋体" w:hAnsi="宋体" w:hint="eastAsia"/>
          <w:sz w:val="24"/>
        </w:rPr>
        <w:t>（5）提议召开或召集基金份额持有人大会；</w:t>
      </w:r>
    </w:p>
    <w:p w14:paraId="6A12938B" w14:textId="77777777" w:rsidR="00E82AF4" w:rsidRDefault="005B2E6A">
      <w:pPr>
        <w:spacing w:line="360" w:lineRule="auto"/>
        <w:ind w:firstLineChars="200" w:firstLine="480"/>
        <w:rPr>
          <w:rFonts w:ascii="宋体" w:hAnsi="宋体"/>
          <w:sz w:val="24"/>
        </w:rPr>
      </w:pPr>
      <w:r>
        <w:rPr>
          <w:rFonts w:ascii="宋体" w:hAnsi="宋体" w:hint="eastAsia"/>
          <w:sz w:val="24"/>
        </w:rPr>
        <w:t>（6）在基金管理人更换时，提名新的基金管理人；</w:t>
      </w:r>
    </w:p>
    <w:p w14:paraId="077BFEB3" w14:textId="77777777" w:rsidR="00E82AF4" w:rsidRDefault="005B2E6A">
      <w:pPr>
        <w:spacing w:line="360" w:lineRule="auto"/>
        <w:ind w:firstLineChars="200" w:firstLine="480"/>
        <w:rPr>
          <w:rFonts w:ascii="宋体" w:hAnsi="宋体"/>
          <w:sz w:val="24"/>
        </w:rPr>
      </w:pPr>
      <w:r>
        <w:rPr>
          <w:rFonts w:ascii="宋体" w:hAnsi="宋体" w:hint="eastAsia"/>
          <w:sz w:val="24"/>
        </w:rPr>
        <w:t>（7）法律法规及中国证监会规定的和《基金合同》约定的其他权利。</w:t>
      </w:r>
    </w:p>
    <w:p w14:paraId="040E0185"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2、根据《基金法》、《运作办法》及其他有关规定，基金托管人的义务包括但不限于：</w:t>
      </w:r>
    </w:p>
    <w:p w14:paraId="6393DC89" w14:textId="77777777" w:rsidR="00E82AF4" w:rsidRDefault="005B2E6A">
      <w:pPr>
        <w:spacing w:line="360" w:lineRule="auto"/>
        <w:ind w:firstLineChars="200" w:firstLine="480"/>
        <w:rPr>
          <w:rFonts w:ascii="宋体" w:hAnsi="宋体"/>
          <w:sz w:val="24"/>
        </w:rPr>
      </w:pPr>
      <w:r>
        <w:rPr>
          <w:rFonts w:ascii="宋体" w:hAnsi="宋体" w:hint="eastAsia"/>
          <w:sz w:val="24"/>
        </w:rPr>
        <w:t>（1）以诚实信用、勤勉尽责的原则持有并安全保管基金财产；</w:t>
      </w:r>
    </w:p>
    <w:p w14:paraId="6B06BEE8" w14:textId="77777777" w:rsidR="00E82AF4" w:rsidRDefault="005B2E6A">
      <w:pPr>
        <w:spacing w:line="360" w:lineRule="auto"/>
        <w:ind w:firstLineChars="200" w:firstLine="480"/>
        <w:rPr>
          <w:rFonts w:ascii="宋体" w:hAnsi="宋体"/>
          <w:sz w:val="24"/>
        </w:rPr>
      </w:pPr>
      <w:r>
        <w:rPr>
          <w:rFonts w:ascii="宋体" w:hAnsi="宋体" w:hint="eastAsia"/>
          <w:sz w:val="24"/>
        </w:rPr>
        <w:t>（2）设立专门的基金托管部门，具有符合要求的营业场所，配备足够的、合格的熟悉基金托管业务的专职人员，负责基金财产托管事宜；</w:t>
      </w:r>
    </w:p>
    <w:p w14:paraId="0D2EF45A" w14:textId="77777777" w:rsidR="00E82AF4" w:rsidRDefault="005B2E6A">
      <w:pPr>
        <w:spacing w:line="360" w:lineRule="auto"/>
        <w:ind w:firstLineChars="200" w:firstLine="480"/>
        <w:rPr>
          <w:rFonts w:ascii="宋体" w:hAnsi="宋体"/>
          <w:sz w:val="24"/>
        </w:rPr>
      </w:pPr>
      <w:r>
        <w:rPr>
          <w:rFonts w:ascii="宋体" w:hAnsi="宋体" w:hint="eastAsia"/>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7386440" w14:textId="77777777" w:rsidR="00E82AF4" w:rsidRDefault="005B2E6A">
      <w:pPr>
        <w:spacing w:line="360" w:lineRule="auto"/>
        <w:ind w:firstLineChars="200" w:firstLine="480"/>
        <w:rPr>
          <w:rFonts w:ascii="宋体" w:hAnsi="宋体"/>
          <w:sz w:val="24"/>
        </w:rPr>
      </w:pPr>
      <w:r>
        <w:rPr>
          <w:rFonts w:ascii="宋体" w:hAnsi="宋体" w:hint="eastAsia"/>
          <w:sz w:val="24"/>
        </w:rPr>
        <w:t>（4）除依据《基金法》、《基金合同》及其他有关规定外，不得利用基金财产为自己及任何第三人谋取利益，不得委托第三人托管基金财产；</w:t>
      </w:r>
    </w:p>
    <w:p w14:paraId="67548BEB" w14:textId="77777777" w:rsidR="00E82AF4" w:rsidRDefault="005B2E6A">
      <w:pPr>
        <w:spacing w:line="360" w:lineRule="auto"/>
        <w:ind w:firstLineChars="200" w:firstLine="480"/>
        <w:rPr>
          <w:rFonts w:ascii="宋体" w:hAnsi="宋体"/>
          <w:sz w:val="24"/>
        </w:rPr>
      </w:pPr>
      <w:r>
        <w:rPr>
          <w:rFonts w:ascii="宋体" w:hAnsi="宋体" w:hint="eastAsia"/>
          <w:sz w:val="24"/>
        </w:rPr>
        <w:t>（5）保管由基金管理人代表基金签订的与基金有关的重大合同及有关凭证；</w:t>
      </w:r>
    </w:p>
    <w:p w14:paraId="266C486F"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（6）按规定开设基金财产的资金账户和证券账户等投资所需账户，按照《基金合同》的约定，根据基金管理人的投资指令，及时办理清算、交割事宜；</w:t>
      </w:r>
    </w:p>
    <w:p w14:paraId="7733C986" w14:textId="77777777" w:rsidR="00E82AF4" w:rsidRDefault="005B2E6A">
      <w:pPr>
        <w:spacing w:line="360" w:lineRule="auto"/>
        <w:ind w:firstLineChars="200" w:firstLine="480"/>
        <w:rPr>
          <w:rFonts w:ascii="宋体" w:hAnsi="宋体"/>
          <w:sz w:val="24"/>
        </w:rPr>
      </w:pPr>
      <w:r>
        <w:rPr>
          <w:rFonts w:ascii="宋体" w:hAnsi="宋体" w:hint="eastAsia"/>
          <w:sz w:val="24"/>
        </w:rPr>
        <w:t>（7）保守基金商业秘密，除《基金法》、《基金合同》及其他有关法律法规或监管机构另有规定或要求外，在基金信息公开披露前予以保密，不得向他人泄露，但向监管机构、司法机关提供或</w:t>
      </w:r>
      <w:r>
        <w:rPr>
          <w:rFonts w:ascii="宋体" w:hAnsi="宋体" w:hint="eastAsia"/>
          <w:sz w:val="24"/>
          <w:szCs w:val="24"/>
        </w:rPr>
        <w:t>因审计、法律等外部专业顾问提供服务而向其提供的情况除外</w:t>
      </w:r>
      <w:r>
        <w:rPr>
          <w:rFonts w:ascii="宋体" w:hAnsi="宋体" w:hint="eastAsia"/>
          <w:sz w:val="24"/>
        </w:rPr>
        <w:t>；</w:t>
      </w:r>
    </w:p>
    <w:p w14:paraId="1CA28EB9" w14:textId="77777777" w:rsidR="00E82AF4" w:rsidRDefault="005B2E6A">
      <w:pPr>
        <w:spacing w:line="360" w:lineRule="auto"/>
        <w:ind w:firstLineChars="200" w:firstLine="480"/>
        <w:rPr>
          <w:rFonts w:ascii="宋体" w:hAnsi="宋体"/>
          <w:sz w:val="24"/>
        </w:rPr>
      </w:pPr>
      <w:r>
        <w:rPr>
          <w:rFonts w:ascii="宋体" w:hAnsi="宋体" w:hint="eastAsia"/>
          <w:sz w:val="24"/>
        </w:rPr>
        <w:t>（8）复核、审查基金管理人计算的基金资产净值、基金份额净值；</w:t>
      </w:r>
    </w:p>
    <w:p w14:paraId="30EDBD8D" w14:textId="77777777" w:rsidR="00E82AF4" w:rsidRDefault="005B2E6A">
      <w:pPr>
        <w:spacing w:line="360" w:lineRule="auto"/>
        <w:ind w:firstLineChars="200" w:firstLine="480"/>
        <w:rPr>
          <w:rFonts w:ascii="宋体" w:hAnsi="宋体"/>
          <w:sz w:val="24"/>
        </w:rPr>
      </w:pPr>
      <w:r>
        <w:rPr>
          <w:rFonts w:ascii="宋体" w:hAnsi="宋体" w:hint="eastAsia"/>
          <w:sz w:val="24"/>
        </w:rPr>
        <w:t>（9）办理与基金托管业务活动有关的信息披露事项；</w:t>
      </w:r>
    </w:p>
    <w:p w14:paraId="24E3FA38" w14:textId="77777777" w:rsidR="00E82AF4" w:rsidRDefault="005B2E6A">
      <w:pPr>
        <w:spacing w:line="360" w:lineRule="auto"/>
        <w:ind w:firstLineChars="200" w:firstLine="480"/>
        <w:rPr>
          <w:rFonts w:ascii="宋体" w:hAnsi="宋体"/>
          <w:sz w:val="24"/>
        </w:rPr>
      </w:pPr>
      <w:r>
        <w:rPr>
          <w:rFonts w:ascii="宋体" w:hAnsi="宋体" w:hint="eastAsia"/>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1B3D45B8" w14:textId="7E37EB64" w:rsidR="00E82AF4" w:rsidRDefault="005B2E6A">
      <w:pPr>
        <w:spacing w:line="360" w:lineRule="auto"/>
        <w:ind w:firstLineChars="200" w:firstLine="480"/>
        <w:rPr>
          <w:rFonts w:ascii="宋体" w:hAnsi="宋体"/>
          <w:sz w:val="24"/>
        </w:rPr>
      </w:pPr>
      <w:r>
        <w:rPr>
          <w:rFonts w:ascii="宋体" w:hAnsi="宋体" w:hint="eastAsia"/>
          <w:sz w:val="24"/>
        </w:rPr>
        <w:t>（11）保存基金托管业务活动的记录、账册、报表和其他相关资料，保存期限按照法律法规的规定执行；</w:t>
      </w:r>
    </w:p>
    <w:p w14:paraId="2341D049" w14:textId="424E6472" w:rsidR="00E82AF4" w:rsidRDefault="005B2E6A">
      <w:pPr>
        <w:spacing w:line="360" w:lineRule="auto"/>
        <w:ind w:firstLineChars="200" w:firstLine="480"/>
        <w:rPr>
          <w:rFonts w:ascii="宋体" w:hAnsi="宋体"/>
          <w:sz w:val="24"/>
        </w:rPr>
      </w:pPr>
      <w:r>
        <w:rPr>
          <w:rFonts w:ascii="宋体" w:hAnsi="宋体" w:hint="eastAsia"/>
          <w:sz w:val="24"/>
        </w:rPr>
        <w:t>（12）保存基金份额持有人名册，保存期限按照法律法规的规定执行；</w:t>
      </w:r>
    </w:p>
    <w:p w14:paraId="52F59DBE" w14:textId="77777777" w:rsidR="00E82AF4" w:rsidRDefault="005B2E6A">
      <w:pPr>
        <w:spacing w:line="360" w:lineRule="auto"/>
        <w:ind w:firstLineChars="200" w:firstLine="480"/>
        <w:rPr>
          <w:rFonts w:ascii="宋体" w:hAnsi="宋体"/>
          <w:sz w:val="24"/>
        </w:rPr>
      </w:pPr>
      <w:r>
        <w:rPr>
          <w:rFonts w:ascii="宋体" w:hAnsi="宋体" w:hint="eastAsia"/>
          <w:sz w:val="24"/>
        </w:rPr>
        <w:t>（13）按规定制作相关账册并与基金管理人核对；</w:t>
      </w:r>
    </w:p>
    <w:p w14:paraId="72947AA5" w14:textId="77777777" w:rsidR="00E82AF4" w:rsidRDefault="005B2E6A">
      <w:pPr>
        <w:spacing w:line="360" w:lineRule="auto"/>
        <w:ind w:firstLineChars="200" w:firstLine="480"/>
        <w:rPr>
          <w:rFonts w:ascii="宋体" w:hAnsi="宋体"/>
          <w:sz w:val="24"/>
        </w:rPr>
      </w:pPr>
      <w:r>
        <w:rPr>
          <w:rFonts w:ascii="宋体" w:hAnsi="宋体" w:hint="eastAsia"/>
          <w:sz w:val="24"/>
        </w:rPr>
        <w:t>（14）依据基金管理人的指令或有关规定向基金份额持有人支付基金收益和赎回对价的现金部分；</w:t>
      </w:r>
    </w:p>
    <w:p w14:paraId="2D981A59" w14:textId="77777777" w:rsidR="00E82AF4" w:rsidRDefault="005B2E6A">
      <w:pPr>
        <w:spacing w:line="360" w:lineRule="auto"/>
        <w:ind w:firstLineChars="200" w:firstLine="480"/>
        <w:rPr>
          <w:rFonts w:ascii="宋体" w:hAnsi="宋体"/>
          <w:sz w:val="24"/>
        </w:rPr>
      </w:pPr>
      <w:r>
        <w:rPr>
          <w:rFonts w:ascii="宋体" w:hAnsi="宋体" w:hint="eastAsia"/>
          <w:sz w:val="24"/>
        </w:rPr>
        <w:t>（15）依据《基金法》、基金合同及其他有关规定，召集基金份额持有人大会或配合基金管理人、基金份额持有人依法召集基金份额持有人大会；</w:t>
      </w:r>
    </w:p>
    <w:p w14:paraId="0741AF7D" w14:textId="77777777" w:rsidR="00E82AF4" w:rsidRDefault="005B2E6A">
      <w:pPr>
        <w:spacing w:line="360" w:lineRule="auto"/>
        <w:ind w:firstLineChars="200" w:firstLine="480"/>
        <w:rPr>
          <w:rFonts w:ascii="宋体" w:hAnsi="宋体"/>
          <w:sz w:val="24"/>
        </w:rPr>
      </w:pPr>
      <w:r>
        <w:rPr>
          <w:rFonts w:ascii="宋体" w:hAnsi="宋体" w:hint="eastAsia"/>
          <w:sz w:val="24"/>
        </w:rPr>
        <w:t>（16）按照法律法规和《基金合同》的规定监督基金管理人的投资运作；</w:t>
      </w:r>
    </w:p>
    <w:p w14:paraId="3EC331FE" w14:textId="77777777" w:rsidR="00E82AF4" w:rsidRDefault="005B2E6A">
      <w:pPr>
        <w:spacing w:line="360" w:lineRule="auto"/>
        <w:ind w:firstLineChars="200" w:firstLine="480"/>
        <w:rPr>
          <w:rFonts w:ascii="宋体" w:hAnsi="宋体"/>
          <w:sz w:val="24"/>
        </w:rPr>
      </w:pPr>
      <w:r>
        <w:rPr>
          <w:rFonts w:ascii="宋体" w:hAnsi="宋体" w:hint="eastAsia"/>
          <w:sz w:val="24"/>
        </w:rPr>
        <w:t>（17）参加基金财产清算小组，参与基金财产的保管、清理、估价、变现和分配；</w:t>
      </w:r>
    </w:p>
    <w:p w14:paraId="7E167E35" w14:textId="77777777" w:rsidR="00E82AF4" w:rsidRDefault="005B2E6A">
      <w:pPr>
        <w:spacing w:line="360" w:lineRule="auto"/>
        <w:ind w:firstLineChars="200" w:firstLine="480"/>
        <w:rPr>
          <w:rFonts w:ascii="宋体" w:hAnsi="宋体"/>
          <w:sz w:val="24"/>
        </w:rPr>
      </w:pPr>
      <w:r>
        <w:rPr>
          <w:rFonts w:ascii="宋体" w:hAnsi="宋体" w:hint="eastAsia"/>
          <w:sz w:val="24"/>
        </w:rPr>
        <w:t>（18）面临解散、依法被撤销或者被依法宣告破产时，及时报告中国证监会和银行业监督管理机构，并通知基金管理人；</w:t>
      </w:r>
    </w:p>
    <w:p w14:paraId="3A06833E" w14:textId="77777777" w:rsidR="00E82AF4" w:rsidRDefault="005B2E6A">
      <w:pPr>
        <w:spacing w:line="360" w:lineRule="auto"/>
        <w:ind w:firstLineChars="200" w:firstLine="480"/>
        <w:rPr>
          <w:rFonts w:ascii="宋体" w:hAnsi="宋体"/>
          <w:sz w:val="24"/>
        </w:rPr>
      </w:pPr>
      <w:r>
        <w:rPr>
          <w:rFonts w:ascii="宋体" w:hAnsi="宋体" w:hint="eastAsia"/>
          <w:sz w:val="24"/>
        </w:rPr>
        <w:t>（19）因违反基金合同导致基金财产损失时，应承担赔偿责任，其赔偿责任不因其退任而免除；</w:t>
      </w:r>
    </w:p>
    <w:p w14:paraId="19096F41" w14:textId="77777777" w:rsidR="00E82AF4" w:rsidRDefault="005B2E6A">
      <w:pPr>
        <w:spacing w:line="360" w:lineRule="auto"/>
        <w:ind w:firstLineChars="200" w:firstLine="480"/>
        <w:rPr>
          <w:rFonts w:ascii="宋体" w:hAnsi="宋体"/>
          <w:sz w:val="24"/>
        </w:rPr>
      </w:pPr>
      <w:r>
        <w:rPr>
          <w:rFonts w:ascii="宋体" w:hAnsi="宋体" w:hint="eastAsia"/>
          <w:sz w:val="24"/>
        </w:rPr>
        <w:t>（20）按规定监督基金管理人按法律法规和基金合同规定履行自己的义务，基金管理人因违反基金合同造成基金财产损失时，应为基金份额持有人利益向基</w:t>
      </w:r>
      <w:r>
        <w:rPr>
          <w:rFonts w:ascii="宋体" w:hAnsi="宋体" w:hint="eastAsia"/>
          <w:sz w:val="24"/>
        </w:rPr>
        <w:lastRenderedPageBreak/>
        <w:t>金管理人追偿；</w:t>
      </w:r>
    </w:p>
    <w:p w14:paraId="4916D232" w14:textId="77777777" w:rsidR="00E82AF4" w:rsidRDefault="005B2E6A">
      <w:pPr>
        <w:spacing w:line="360" w:lineRule="auto"/>
        <w:ind w:firstLineChars="200" w:firstLine="480"/>
        <w:rPr>
          <w:rFonts w:ascii="宋体" w:hAnsi="宋体"/>
          <w:sz w:val="24"/>
        </w:rPr>
      </w:pPr>
      <w:r>
        <w:rPr>
          <w:rFonts w:ascii="宋体" w:hAnsi="宋体" w:hint="eastAsia"/>
          <w:sz w:val="24"/>
        </w:rPr>
        <w:t>（21）执行生效的基金份额持有人大会的决议；</w:t>
      </w:r>
    </w:p>
    <w:p w14:paraId="36AE0B87" w14:textId="77777777" w:rsidR="00E82AF4" w:rsidRDefault="005B2E6A">
      <w:pPr>
        <w:spacing w:line="360" w:lineRule="auto"/>
        <w:ind w:firstLineChars="200" w:firstLine="480"/>
        <w:rPr>
          <w:rFonts w:ascii="宋体" w:hAnsi="宋体"/>
          <w:sz w:val="24"/>
        </w:rPr>
      </w:pPr>
      <w:r>
        <w:rPr>
          <w:rFonts w:ascii="宋体" w:hAnsi="宋体" w:hint="eastAsia"/>
          <w:sz w:val="24"/>
        </w:rPr>
        <w:t>（22）法律法规及中国证监会规定的和基金合同约定的其他义务。</w:t>
      </w:r>
      <w:bookmarkStart w:id="219" w:name="_Toc523711670"/>
      <w:bookmarkStart w:id="220" w:name="_Toc79392582"/>
    </w:p>
    <w:bookmarkEnd w:id="219"/>
    <w:p w14:paraId="4346EBFF" w14:textId="77777777" w:rsidR="00E82AF4" w:rsidRDefault="005B2E6A">
      <w:pPr>
        <w:spacing w:line="360" w:lineRule="auto"/>
        <w:ind w:firstLineChars="200" w:firstLine="480"/>
        <w:rPr>
          <w:rFonts w:ascii="宋体" w:hAnsi="宋体"/>
          <w:sz w:val="24"/>
        </w:rPr>
      </w:pPr>
      <w:r>
        <w:rPr>
          <w:rFonts w:ascii="宋体" w:hAnsi="宋体" w:hint="eastAsia"/>
          <w:sz w:val="24"/>
        </w:rPr>
        <w:t>三、基金份额持有人</w:t>
      </w:r>
      <w:bookmarkEnd w:id="220"/>
    </w:p>
    <w:p w14:paraId="0204BCB6" w14:textId="77777777" w:rsidR="00E82AF4" w:rsidRDefault="005B2E6A">
      <w:pPr>
        <w:spacing w:line="360" w:lineRule="auto"/>
        <w:ind w:firstLineChars="200" w:firstLine="480"/>
        <w:rPr>
          <w:rFonts w:ascii="宋体" w:hAnsi="宋体"/>
          <w:sz w:val="24"/>
        </w:rPr>
      </w:pPr>
      <w:r>
        <w:rPr>
          <w:rFonts w:ascii="宋体" w:hAnsi="宋体" w:hint="eastAsia"/>
          <w:sz w:val="24"/>
        </w:rPr>
        <w:t>基金</w:t>
      </w:r>
      <w:r>
        <w:rPr>
          <w:rFonts w:ascii="宋体" w:hAnsi="宋体" w:hint="eastAsia"/>
          <w:sz w:val="24"/>
          <w:szCs w:val="24"/>
        </w:rPr>
        <w:t>投资人</w:t>
      </w:r>
      <w:r>
        <w:rPr>
          <w:rFonts w:ascii="宋体" w:hAnsi="宋体" w:hint="eastAsia"/>
          <w:sz w:val="24"/>
        </w:rPr>
        <w:t>持有本基金</w:t>
      </w:r>
      <w:bookmarkStart w:id="221" w:name="_Hlt88899909"/>
      <w:bookmarkEnd w:id="221"/>
      <w:r>
        <w:rPr>
          <w:rFonts w:ascii="宋体" w:hAnsi="宋体" w:hint="eastAsia"/>
          <w:sz w:val="24"/>
        </w:rPr>
        <w:t>基金份额的行为即视为对《基金合同》的承认和接受，基金</w:t>
      </w:r>
      <w:r>
        <w:rPr>
          <w:rFonts w:ascii="宋体" w:hAnsi="宋体" w:hint="eastAsia"/>
          <w:sz w:val="24"/>
          <w:szCs w:val="24"/>
        </w:rPr>
        <w:t>投资人</w:t>
      </w:r>
      <w:r>
        <w:rPr>
          <w:rFonts w:ascii="宋体" w:hAnsi="宋体" w:hint="eastAsia"/>
          <w:sz w:val="24"/>
        </w:rPr>
        <w:t>自依据《基金合同》取得基金份额，即成为本基金</w:t>
      </w:r>
      <w:r>
        <w:rPr>
          <w:rFonts w:ascii="宋体" w:hAnsi="宋体" w:hint="eastAsia"/>
          <w:sz w:val="24"/>
          <w:szCs w:val="24"/>
        </w:rPr>
        <w:t>的基金</w:t>
      </w:r>
      <w:r>
        <w:rPr>
          <w:rFonts w:ascii="宋体" w:hAnsi="宋体" w:hint="eastAsia"/>
          <w:sz w:val="24"/>
        </w:rPr>
        <w:t>份额持有人和《基金合同》的当事人，直至其不再持有本基金的基金份额。基金份额持有人作为《基金合同》当事人并不以在《基金合同》上书面签章或签字为必要条件。</w:t>
      </w:r>
    </w:p>
    <w:p w14:paraId="20927568" w14:textId="77777777" w:rsidR="00E82AF4" w:rsidRDefault="005B2E6A">
      <w:pPr>
        <w:spacing w:line="360" w:lineRule="auto"/>
        <w:ind w:firstLineChars="200" w:firstLine="480"/>
        <w:rPr>
          <w:rFonts w:ascii="宋体" w:hAnsi="宋体"/>
          <w:sz w:val="24"/>
        </w:rPr>
      </w:pPr>
      <w:r>
        <w:rPr>
          <w:rFonts w:ascii="宋体" w:hAnsi="宋体" w:hint="eastAsia"/>
          <w:sz w:val="24"/>
        </w:rPr>
        <w:t>本基金每份基金份额具有同等的合法权益。</w:t>
      </w:r>
    </w:p>
    <w:p w14:paraId="417AD0AF"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1、根据《基金法》、《运作办法》及其他有关规定，基金份额持有人的权利包括但不限于：</w:t>
      </w:r>
    </w:p>
    <w:p w14:paraId="5A3105F5" w14:textId="77777777" w:rsidR="00E82AF4" w:rsidRDefault="005B2E6A">
      <w:pPr>
        <w:spacing w:line="360" w:lineRule="auto"/>
        <w:ind w:firstLineChars="200" w:firstLine="480"/>
        <w:rPr>
          <w:rFonts w:ascii="宋体" w:hAnsi="宋体"/>
          <w:sz w:val="24"/>
        </w:rPr>
      </w:pPr>
      <w:r>
        <w:rPr>
          <w:rFonts w:ascii="宋体" w:hAnsi="宋体" w:hint="eastAsia"/>
          <w:sz w:val="24"/>
        </w:rPr>
        <w:t>（1）分享基金财产收益；</w:t>
      </w:r>
    </w:p>
    <w:p w14:paraId="77D7739A" w14:textId="77777777" w:rsidR="00E82AF4" w:rsidRDefault="005B2E6A">
      <w:pPr>
        <w:spacing w:line="360" w:lineRule="auto"/>
        <w:ind w:firstLineChars="200" w:firstLine="480"/>
        <w:rPr>
          <w:rFonts w:ascii="宋体" w:hAnsi="宋体"/>
          <w:sz w:val="24"/>
        </w:rPr>
      </w:pPr>
      <w:r>
        <w:rPr>
          <w:rFonts w:ascii="宋体" w:hAnsi="宋体" w:hint="eastAsia"/>
          <w:sz w:val="24"/>
        </w:rPr>
        <w:t>（2）参与分配清算后的剩余基金财产；</w:t>
      </w:r>
      <w:bookmarkStart w:id="222" w:name="_Hlt88825574"/>
      <w:bookmarkEnd w:id="222"/>
    </w:p>
    <w:p w14:paraId="718955DC" w14:textId="77777777" w:rsidR="00E82AF4" w:rsidRDefault="005B2E6A">
      <w:pPr>
        <w:spacing w:line="360" w:lineRule="auto"/>
        <w:ind w:firstLineChars="200" w:firstLine="480"/>
        <w:rPr>
          <w:rFonts w:ascii="宋体" w:hAnsi="宋体"/>
          <w:sz w:val="24"/>
        </w:rPr>
      </w:pPr>
      <w:r>
        <w:rPr>
          <w:rFonts w:ascii="宋体" w:hAnsi="宋体" w:hint="eastAsia"/>
          <w:sz w:val="24"/>
        </w:rPr>
        <w:t>（3）依法</w:t>
      </w:r>
      <w:r>
        <w:rPr>
          <w:rFonts w:ascii="宋体" w:hAnsi="宋体" w:hint="eastAsia"/>
          <w:sz w:val="24"/>
          <w:szCs w:val="24"/>
        </w:rPr>
        <w:t>转让或者</w:t>
      </w:r>
      <w:r>
        <w:rPr>
          <w:rFonts w:ascii="宋体" w:hAnsi="宋体" w:hint="eastAsia"/>
          <w:sz w:val="24"/>
        </w:rPr>
        <w:t>申请赎回其持有的基金份额；</w:t>
      </w:r>
    </w:p>
    <w:p w14:paraId="6385DD10" w14:textId="77777777" w:rsidR="00E82AF4" w:rsidRDefault="005B2E6A">
      <w:pPr>
        <w:spacing w:line="360" w:lineRule="auto"/>
        <w:ind w:firstLineChars="200" w:firstLine="480"/>
        <w:rPr>
          <w:rFonts w:ascii="宋体" w:hAnsi="宋体"/>
          <w:sz w:val="24"/>
        </w:rPr>
      </w:pPr>
      <w:r>
        <w:rPr>
          <w:rFonts w:ascii="宋体" w:hAnsi="宋体" w:hint="eastAsia"/>
          <w:sz w:val="24"/>
        </w:rPr>
        <w:t>（4）按照规定要求召开基金份额持有人大会或者召集基金份额持有人大会；</w:t>
      </w:r>
    </w:p>
    <w:p w14:paraId="30DF1112" w14:textId="77777777" w:rsidR="00E82AF4" w:rsidRDefault="005B2E6A">
      <w:pPr>
        <w:spacing w:line="360" w:lineRule="auto"/>
        <w:ind w:firstLineChars="200" w:firstLine="480"/>
        <w:rPr>
          <w:rFonts w:ascii="宋体" w:hAnsi="宋体"/>
          <w:sz w:val="24"/>
        </w:rPr>
      </w:pPr>
      <w:r>
        <w:rPr>
          <w:rFonts w:ascii="宋体" w:hAnsi="宋体" w:hint="eastAsia"/>
          <w:sz w:val="24"/>
        </w:rPr>
        <w:t>（5）出席或者委派代表出席基金份额持有人大会，对基金份额持有人大会审议事项行使表决权；</w:t>
      </w:r>
    </w:p>
    <w:p w14:paraId="790AB189" w14:textId="77777777" w:rsidR="00E82AF4" w:rsidRDefault="005B2E6A">
      <w:pPr>
        <w:spacing w:line="360" w:lineRule="auto"/>
        <w:ind w:firstLineChars="200" w:firstLine="480"/>
        <w:rPr>
          <w:rFonts w:ascii="宋体" w:hAnsi="宋体"/>
          <w:sz w:val="24"/>
        </w:rPr>
      </w:pPr>
      <w:r>
        <w:rPr>
          <w:rFonts w:ascii="宋体" w:hAnsi="宋体" w:hint="eastAsia"/>
          <w:sz w:val="24"/>
        </w:rPr>
        <w:t>（6）查阅或者复制公开披露的基金信息资料；</w:t>
      </w:r>
    </w:p>
    <w:p w14:paraId="7040A482" w14:textId="77777777" w:rsidR="00E82AF4" w:rsidRDefault="005B2E6A">
      <w:pPr>
        <w:spacing w:line="360" w:lineRule="auto"/>
        <w:ind w:firstLineChars="200" w:firstLine="480"/>
        <w:rPr>
          <w:rFonts w:ascii="宋体" w:hAnsi="宋体"/>
          <w:sz w:val="24"/>
        </w:rPr>
      </w:pPr>
      <w:r>
        <w:rPr>
          <w:rFonts w:ascii="宋体" w:hAnsi="宋体" w:hint="eastAsia"/>
          <w:sz w:val="24"/>
        </w:rPr>
        <w:t>（7）监督基金管理人的投资运作；</w:t>
      </w:r>
    </w:p>
    <w:p w14:paraId="75A7D116" w14:textId="77777777" w:rsidR="00E82AF4" w:rsidRDefault="005B2E6A">
      <w:pPr>
        <w:spacing w:line="360" w:lineRule="auto"/>
        <w:ind w:firstLineChars="200" w:firstLine="480"/>
        <w:rPr>
          <w:rFonts w:ascii="宋体" w:hAnsi="宋体"/>
          <w:sz w:val="24"/>
        </w:rPr>
      </w:pPr>
      <w:r>
        <w:rPr>
          <w:rFonts w:ascii="宋体" w:hAnsi="宋体" w:hint="eastAsia"/>
          <w:sz w:val="24"/>
        </w:rPr>
        <w:t>（8）对基金管理人、基金托管人、基金</w:t>
      </w:r>
      <w:r>
        <w:rPr>
          <w:rFonts w:ascii="宋体" w:hAnsi="宋体" w:hint="eastAsia"/>
          <w:sz w:val="24"/>
          <w:szCs w:val="24"/>
        </w:rPr>
        <w:t>服务</w:t>
      </w:r>
      <w:r>
        <w:rPr>
          <w:rFonts w:ascii="宋体" w:hAnsi="宋体" w:hint="eastAsia"/>
          <w:sz w:val="24"/>
        </w:rPr>
        <w:t>机构损害其合法权益的行为依法提起诉讼或仲裁；</w:t>
      </w:r>
    </w:p>
    <w:p w14:paraId="1B50E9E1" w14:textId="77777777" w:rsidR="00E82AF4" w:rsidRDefault="005B2E6A">
      <w:pPr>
        <w:spacing w:line="360" w:lineRule="auto"/>
        <w:ind w:firstLineChars="200" w:firstLine="480"/>
        <w:rPr>
          <w:rFonts w:ascii="宋体" w:hAnsi="宋体"/>
          <w:sz w:val="24"/>
        </w:rPr>
      </w:pPr>
      <w:r>
        <w:rPr>
          <w:rFonts w:ascii="宋体" w:hAnsi="宋体" w:hint="eastAsia"/>
          <w:sz w:val="24"/>
        </w:rPr>
        <w:t>（9）法律法规及中国证监会规定的和《基金合同》约定的其他权利。</w:t>
      </w:r>
    </w:p>
    <w:p w14:paraId="76F816B6"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2、根据《基金法》、《运作办法》及其他有关规定，基金份额持有人的义务包括但不限于：</w:t>
      </w:r>
    </w:p>
    <w:p w14:paraId="34C15478" w14:textId="77777777" w:rsidR="00E82AF4" w:rsidRDefault="005B2E6A">
      <w:pPr>
        <w:spacing w:line="360" w:lineRule="auto"/>
        <w:ind w:firstLineChars="200" w:firstLine="480"/>
        <w:rPr>
          <w:rFonts w:ascii="宋体" w:hAnsi="宋体"/>
          <w:sz w:val="24"/>
        </w:rPr>
      </w:pPr>
      <w:r>
        <w:rPr>
          <w:rFonts w:ascii="宋体" w:hAnsi="宋体" w:hint="eastAsia"/>
          <w:sz w:val="24"/>
        </w:rPr>
        <w:t>（1）认真阅读并遵守</w:t>
      </w:r>
      <w:r>
        <w:rPr>
          <w:rFonts w:ascii="宋体" w:hAnsi="宋体"/>
          <w:bCs/>
          <w:sz w:val="24"/>
          <w:szCs w:val="24"/>
        </w:rPr>
        <w:t>基金合同</w:t>
      </w:r>
      <w:r>
        <w:rPr>
          <w:rFonts w:ascii="宋体" w:hAnsi="宋体" w:hint="eastAsia"/>
          <w:bCs/>
          <w:sz w:val="24"/>
          <w:szCs w:val="24"/>
        </w:rPr>
        <w:t>、招募说明书、基金产品资料概要等信息披露文件</w:t>
      </w:r>
      <w:r>
        <w:rPr>
          <w:rFonts w:ascii="宋体" w:hAnsi="宋体" w:hint="eastAsia"/>
          <w:sz w:val="24"/>
        </w:rPr>
        <w:t>；</w:t>
      </w:r>
    </w:p>
    <w:p w14:paraId="6F7B1AC4" w14:textId="77777777" w:rsidR="00E82AF4" w:rsidRDefault="005B2E6A">
      <w:pPr>
        <w:spacing w:line="360" w:lineRule="auto"/>
        <w:ind w:firstLineChars="200" w:firstLine="480"/>
        <w:rPr>
          <w:rFonts w:ascii="宋体" w:hAnsi="宋体"/>
          <w:sz w:val="24"/>
        </w:rPr>
      </w:pPr>
      <w:r>
        <w:rPr>
          <w:rFonts w:ascii="宋体" w:hAnsi="宋体" w:hint="eastAsia"/>
          <w:sz w:val="24"/>
        </w:rPr>
        <w:t>（2）了解所投资基金产品，了解自身风险承受能力，</w:t>
      </w:r>
      <w:r>
        <w:rPr>
          <w:bCs/>
          <w:sz w:val="24"/>
        </w:rPr>
        <w:t>自主判断基金的投资价值，自主做出投资决策，</w:t>
      </w:r>
      <w:r>
        <w:rPr>
          <w:rFonts w:ascii="宋体" w:hAnsi="宋体" w:hint="eastAsia"/>
          <w:sz w:val="24"/>
        </w:rPr>
        <w:t>自行承担投资风险；</w:t>
      </w:r>
    </w:p>
    <w:p w14:paraId="4AD9F100" w14:textId="77777777" w:rsidR="00E82AF4" w:rsidRDefault="005B2E6A">
      <w:pPr>
        <w:spacing w:line="360" w:lineRule="auto"/>
        <w:ind w:firstLineChars="200" w:firstLine="480"/>
        <w:rPr>
          <w:rFonts w:ascii="宋体" w:hAnsi="宋体"/>
          <w:sz w:val="24"/>
        </w:rPr>
      </w:pPr>
      <w:r>
        <w:rPr>
          <w:rFonts w:ascii="宋体" w:hAnsi="宋体" w:hint="eastAsia"/>
          <w:sz w:val="24"/>
        </w:rPr>
        <w:t>（3）关注基金信息披露，及时行使权利和履行义务；</w:t>
      </w:r>
    </w:p>
    <w:p w14:paraId="4F44E982"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（4）</w:t>
      </w:r>
      <w:r>
        <w:rPr>
          <w:rFonts w:ascii="宋体" w:hAnsi="宋体" w:hint="eastAsia"/>
          <w:sz w:val="24"/>
          <w:szCs w:val="24"/>
        </w:rPr>
        <w:t>交</w:t>
      </w:r>
      <w:r>
        <w:rPr>
          <w:rFonts w:ascii="宋体" w:hAnsi="宋体"/>
          <w:sz w:val="24"/>
          <w:szCs w:val="24"/>
        </w:rPr>
        <w:t>纳</w:t>
      </w:r>
      <w:r>
        <w:rPr>
          <w:rFonts w:ascii="宋体" w:hAnsi="宋体" w:hint="eastAsia"/>
          <w:sz w:val="24"/>
        </w:rPr>
        <w:t>基金认购</w:t>
      </w:r>
      <w:r>
        <w:rPr>
          <w:rFonts w:ascii="宋体" w:hAnsi="宋体" w:hint="eastAsia"/>
          <w:sz w:val="24"/>
          <w:szCs w:val="24"/>
        </w:rPr>
        <w:t>款项或股票</w:t>
      </w:r>
      <w:r>
        <w:rPr>
          <w:rFonts w:ascii="宋体" w:hAnsi="宋体"/>
          <w:sz w:val="24"/>
          <w:szCs w:val="24"/>
        </w:rPr>
        <w:t>、</w:t>
      </w:r>
      <w:r>
        <w:rPr>
          <w:rFonts w:ascii="宋体" w:hAnsi="宋体" w:hint="eastAsia"/>
          <w:sz w:val="24"/>
          <w:szCs w:val="24"/>
        </w:rPr>
        <w:t>应付</w:t>
      </w:r>
      <w:r>
        <w:rPr>
          <w:rFonts w:ascii="宋体" w:hAnsi="宋体" w:hint="eastAsia"/>
          <w:sz w:val="24"/>
        </w:rPr>
        <w:t>申购</w:t>
      </w:r>
      <w:r>
        <w:rPr>
          <w:rFonts w:ascii="宋体" w:hAnsi="宋体" w:hint="eastAsia"/>
          <w:sz w:val="24"/>
          <w:szCs w:val="24"/>
        </w:rPr>
        <w:t>对价</w:t>
      </w:r>
      <w:r>
        <w:rPr>
          <w:rFonts w:ascii="宋体" w:hAnsi="宋体" w:hint="eastAsia"/>
          <w:sz w:val="24"/>
        </w:rPr>
        <w:t>及法律法规和《基金合同》所规定的费用；</w:t>
      </w:r>
    </w:p>
    <w:p w14:paraId="006A69D2" w14:textId="77777777" w:rsidR="00E82AF4" w:rsidRDefault="005B2E6A">
      <w:pPr>
        <w:spacing w:line="360" w:lineRule="auto"/>
        <w:ind w:firstLineChars="200" w:firstLine="480"/>
        <w:rPr>
          <w:rFonts w:ascii="宋体" w:hAnsi="宋体"/>
          <w:sz w:val="24"/>
        </w:rPr>
      </w:pPr>
      <w:r>
        <w:rPr>
          <w:rFonts w:ascii="宋体" w:hAnsi="宋体" w:hint="eastAsia"/>
          <w:sz w:val="24"/>
        </w:rPr>
        <w:t>（5）在其持有的基金份额范围内，承担基金亏损或者《基金合同》终止的有限责任；</w:t>
      </w:r>
    </w:p>
    <w:p w14:paraId="4B10047B" w14:textId="77777777" w:rsidR="00E82AF4" w:rsidRDefault="005B2E6A">
      <w:pPr>
        <w:spacing w:line="360" w:lineRule="auto"/>
        <w:ind w:firstLineChars="200" w:firstLine="480"/>
        <w:rPr>
          <w:rFonts w:ascii="宋体" w:hAnsi="宋体"/>
          <w:sz w:val="24"/>
        </w:rPr>
      </w:pPr>
      <w:r>
        <w:rPr>
          <w:rFonts w:ascii="宋体" w:hAnsi="宋体" w:hint="eastAsia"/>
          <w:sz w:val="24"/>
        </w:rPr>
        <w:t>（6）不从事任何有损基金及其他《基金合同》当事人合法权益的活动；</w:t>
      </w:r>
    </w:p>
    <w:p w14:paraId="4CAFCAEF" w14:textId="77777777" w:rsidR="00E82AF4" w:rsidRDefault="005B2E6A">
      <w:pPr>
        <w:spacing w:line="360" w:lineRule="auto"/>
        <w:ind w:firstLineChars="200" w:firstLine="480"/>
        <w:rPr>
          <w:rFonts w:ascii="宋体" w:hAnsi="宋体"/>
          <w:sz w:val="24"/>
        </w:rPr>
      </w:pPr>
      <w:r>
        <w:rPr>
          <w:rFonts w:ascii="宋体" w:hAnsi="宋体" w:hint="eastAsia"/>
          <w:sz w:val="24"/>
        </w:rPr>
        <w:t>（7）执行生效的基金份额持有人大会的</w:t>
      </w:r>
      <w:r>
        <w:rPr>
          <w:rFonts w:ascii="宋体" w:hAnsi="宋体" w:hint="eastAsia"/>
          <w:sz w:val="24"/>
          <w:szCs w:val="24"/>
        </w:rPr>
        <w:t>决议</w:t>
      </w:r>
      <w:r>
        <w:rPr>
          <w:rFonts w:ascii="宋体" w:hAnsi="宋体" w:hint="eastAsia"/>
          <w:sz w:val="24"/>
        </w:rPr>
        <w:t>；</w:t>
      </w:r>
    </w:p>
    <w:p w14:paraId="6F24AA32" w14:textId="77777777" w:rsidR="00E82AF4" w:rsidRDefault="005B2E6A">
      <w:pPr>
        <w:spacing w:line="360" w:lineRule="auto"/>
        <w:ind w:firstLineChars="200" w:firstLine="480"/>
        <w:rPr>
          <w:rFonts w:ascii="宋体" w:hAnsi="宋体"/>
          <w:sz w:val="24"/>
        </w:rPr>
      </w:pPr>
      <w:r>
        <w:rPr>
          <w:rFonts w:ascii="宋体" w:hAnsi="宋体" w:hint="eastAsia"/>
          <w:sz w:val="24"/>
        </w:rPr>
        <w:t>（8）返还在基金交易过程中因任何原因获得的不当得利；</w:t>
      </w:r>
    </w:p>
    <w:p w14:paraId="4B02BA89" w14:textId="77777777" w:rsidR="00E82AF4" w:rsidRDefault="005B2E6A">
      <w:pPr>
        <w:spacing w:line="360" w:lineRule="auto"/>
        <w:ind w:firstLineChars="200" w:firstLine="480"/>
        <w:rPr>
          <w:rFonts w:ascii="宋体" w:hAnsi="宋体"/>
          <w:sz w:val="24"/>
        </w:rPr>
      </w:pPr>
      <w:r>
        <w:rPr>
          <w:rFonts w:ascii="宋体" w:hAnsi="宋体" w:hint="eastAsia"/>
          <w:sz w:val="24"/>
        </w:rPr>
        <w:t>（9）向基金管理人和监管机构提供依法要求提供的信息，以及不时的更新和补充，并保证其真实性；</w:t>
      </w:r>
    </w:p>
    <w:p w14:paraId="7C7BBA85" w14:textId="77777777" w:rsidR="00E82AF4" w:rsidRDefault="005B2E6A">
      <w:pPr>
        <w:spacing w:line="360" w:lineRule="auto"/>
        <w:ind w:firstLineChars="200" w:firstLine="480"/>
        <w:rPr>
          <w:rFonts w:ascii="宋体" w:hAnsi="宋体"/>
          <w:sz w:val="24"/>
        </w:rPr>
      </w:pPr>
      <w:r>
        <w:rPr>
          <w:rFonts w:ascii="宋体" w:hAnsi="宋体" w:hint="eastAsia"/>
          <w:sz w:val="24"/>
        </w:rPr>
        <w:t>（10）遵守基金管理人、基金托管人、销售机构和登记机构的相关交易及业务规则；</w:t>
      </w:r>
    </w:p>
    <w:p w14:paraId="78C57714" w14:textId="77777777" w:rsidR="00E82AF4" w:rsidRDefault="005B2E6A">
      <w:pPr>
        <w:spacing w:line="360" w:lineRule="auto"/>
        <w:ind w:firstLineChars="200" w:firstLine="480"/>
        <w:rPr>
          <w:rFonts w:ascii="宋体" w:hAnsi="宋体"/>
          <w:sz w:val="24"/>
        </w:rPr>
      </w:pPr>
      <w:r>
        <w:rPr>
          <w:rFonts w:ascii="宋体" w:hAnsi="宋体" w:hint="eastAsia"/>
          <w:sz w:val="24"/>
        </w:rPr>
        <w:t>（11）遵守中华人民共和国反洗钱法律法规，配合基金管理人、基金托管人履行反洗钱职责；</w:t>
      </w:r>
    </w:p>
    <w:p w14:paraId="551839F3" w14:textId="77777777" w:rsidR="00E82AF4" w:rsidRDefault="005B2E6A">
      <w:pPr>
        <w:spacing w:line="360" w:lineRule="auto"/>
        <w:ind w:firstLineChars="200" w:firstLine="480"/>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）法律法规及中国证监会规定的和《基金合同》约定的其他义务。</w:t>
      </w:r>
    </w:p>
    <w:p w14:paraId="3AD525FE" w14:textId="77777777" w:rsidR="00E82AF4" w:rsidRDefault="005B2E6A">
      <w:pPr>
        <w:spacing w:line="360" w:lineRule="auto"/>
        <w:ind w:firstLineChars="200" w:firstLine="480"/>
        <w:rPr>
          <w:rFonts w:ascii="宋体" w:hAnsi="宋体"/>
          <w:sz w:val="24"/>
        </w:rPr>
      </w:pPr>
      <w:r>
        <w:rPr>
          <w:rFonts w:ascii="宋体" w:hAnsi="宋体" w:hint="eastAsia"/>
          <w:sz w:val="24"/>
        </w:rPr>
        <w:t>四、基金管理人、基金托管人简况涉及基本信息更新的，将在招募说明书更新中公告，基金管理人、基金托管人简况以招募说明书更新中披露的信息为准。</w:t>
      </w:r>
    </w:p>
    <w:p w14:paraId="0F98F7A5" w14:textId="77777777" w:rsidR="00E82AF4" w:rsidRDefault="005B2E6A">
      <w:pPr>
        <w:pStyle w:val="1"/>
        <w:spacing w:before="0" w:after="0"/>
        <w:jc w:val="center"/>
        <w:rPr>
          <w:rFonts w:ascii="Times New Roman"/>
          <w:color w:val="auto"/>
          <w:sz w:val="32"/>
        </w:rPr>
      </w:pPr>
      <w:r>
        <w:br w:type="page"/>
      </w:r>
      <w:bookmarkStart w:id="223" w:name="_Toc10650"/>
      <w:bookmarkStart w:id="224" w:name="_Toc139991738"/>
      <w:bookmarkStart w:id="225" w:name="_Toc3321"/>
      <w:bookmarkStart w:id="226" w:name="_Toc18567"/>
      <w:bookmarkStart w:id="227" w:name="_Toc98560354"/>
      <w:bookmarkStart w:id="228" w:name="_Toc123102455"/>
      <w:bookmarkStart w:id="229" w:name="_Toc32307765"/>
      <w:bookmarkStart w:id="230" w:name="_Toc6447"/>
      <w:bookmarkStart w:id="231" w:name="_Toc79392583"/>
      <w:bookmarkStart w:id="232" w:name="_Toc11030"/>
      <w:bookmarkStart w:id="233" w:name="_Toc1349"/>
      <w:bookmarkStart w:id="234" w:name="_Toc3771"/>
      <w:bookmarkStart w:id="235" w:name="_Toc123051454"/>
      <w:bookmarkStart w:id="236" w:name="_Toc141703888"/>
      <w:bookmarkStart w:id="237" w:name="_Toc4559"/>
      <w:bookmarkStart w:id="238" w:name="_Toc25783"/>
      <w:bookmarkStart w:id="239" w:name="_Toc9706"/>
      <w:bookmarkStart w:id="240" w:name="_Toc7058"/>
      <w:bookmarkStart w:id="241" w:name="_Toc20768"/>
      <w:bookmarkStart w:id="242" w:name="_Toc123112236"/>
      <w:bookmarkStart w:id="243" w:name="_Hlk163663966"/>
      <w:bookmarkEnd w:id="202"/>
      <w:r>
        <w:rPr>
          <w:rFonts w:ascii="Times New Roman"/>
          <w:color w:val="auto"/>
          <w:sz w:val="32"/>
          <w:szCs w:val="32"/>
        </w:rPr>
        <w:lastRenderedPageBreak/>
        <w:t>第</w:t>
      </w:r>
      <w:r>
        <w:rPr>
          <w:rFonts w:ascii="Times New Roman" w:hint="eastAsia"/>
          <w:color w:val="auto"/>
          <w:sz w:val="32"/>
          <w:szCs w:val="32"/>
        </w:rPr>
        <w:t>十</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基金份额持有人大会</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460DEC3E" w14:textId="77777777" w:rsidR="00E82AF4" w:rsidRDefault="00E82AF4">
      <w:pPr>
        <w:tabs>
          <w:tab w:val="left" w:pos="1080"/>
        </w:tabs>
        <w:spacing w:line="360" w:lineRule="auto"/>
        <w:ind w:leftChars="199" w:left="1076" w:hangingChars="274" w:hanging="658"/>
        <w:rPr>
          <w:bCs/>
          <w:sz w:val="24"/>
        </w:rPr>
      </w:pPr>
    </w:p>
    <w:p w14:paraId="53919485"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基金份额持有人大会由</w:t>
      </w:r>
      <w:r>
        <w:rPr>
          <w:rFonts w:ascii="宋体" w:hAnsi="宋体" w:hint="eastAsia"/>
          <w:sz w:val="24"/>
          <w:szCs w:val="24"/>
        </w:rPr>
        <w:t>本基金的</w:t>
      </w:r>
      <w:r>
        <w:rPr>
          <w:rFonts w:ascii="宋体" w:hAnsi="宋体"/>
          <w:sz w:val="24"/>
          <w:szCs w:val="24"/>
        </w:rPr>
        <w:t>基金份额持有人</w:t>
      </w:r>
      <w:r>
        <w:rPr>
          <w:rFonts w:ascii="宋体" w:hAnsi="宋体" w:hint="eastAsia"/>
          <w:sz w:val="24"/>
          <w:szCs w:val="24"/>
        </w:rPr>
        <w:t>和本基金联接基金（如有）的</w:t>
      </w:r>
      <w:r>
        <w:rPr>
          <w:rFonts w:ascii="宋体" w:hAnsi="宋体" w:hint="eastAsia"/>
          <w:sz w:val="24"/>
        </w:rPr>
        <w:t>基金份额持有人组成，</w:t>
      </w:r>
      <w:r>
        <w:rPr>
          <w:rFonts w:ascii="宋体" w:hAnsi="宋体" w:hint="eastAsia"/>
          <w:sz w:val="24"/>
          <w:szCs w:val="24"/>
        </w:rPr>
        <w:t>上述两类基金份额</w:t>
      </w:r>
      <w:r>
        <w:rPr>
          <w:rFonts w:ascii="宋体" w:hAnsi="宋体" w:hint="eastAsia"/>
          <w:sz w:val="24"/>
        </w:rPr>
        <w:t>持有人可以参会并表决或委托其合法授权代表</w:t>
      </w:r>
      <w:r>
        <w:rPr>
          <w:rFonts w:ascii="宋体" w:hAnsi="宋体" w:hint="eastAsia"/>
          <w:sz w:val="24"/>
          <w:szCs w:val="24"/>
        </w:rPr>
        <w:t>参会</w:t>
      </w:r>
      <w:r>
        <w:rPr>
          <w:rFonts w:ascii="宋体" w:hAnsi="宋体" w:hint="eastAsia"/>
          <w:sz w:val="24"/>
        </w:rPr>
        <w:t>并表决。本基金的基金份额持有人持有的每一基金份额拥有平等的投票权。</w:t>
      </w:r>
      <w:r>
        <w:rPr>
          <w:rFonts w:ascii="宋体" w:hAnsi="宋体" w:hint="eastAsia"/>
          <w:sz w:val="24"/>
          <w:szCs w:val="24"/>
        </w:rPr>
        <w:t>本基金基金份额持有人大会不设日常机构。</w:t>
      </w:r>
    </w:p>
    <w:p w14:paraId="5BD82D1A"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若以本基金为目标基金且基金管理人与本基金相同的联接基金的基金合同生效，鉴于本基金和联接基金的相关性，联接基金的基金份额持有人可以凭所持有的联接基金的基金份额直接出席本基金的基金份额持有人大会</w:t>
      </w:r>
      <w:r>
        <w:rPr>
          <w:rFonts w:ascii="宋体" w:hAnsi="宋体" w:hint="eastAsia"/>
          <w:bCs/>
          <w:sz w:val="24"/>
          <w:szCs w:val="24"/>
        </w:rPr>
        <w:t>或者委派代表出席本基金的基金份额持有人大会</w:t>
      </w:r>
      <w:r>
        <w:rPr>
          <w:rFonts w:ascii="宋体" w:hAnsi="宋体" w:hint="eastAsia"/>
          <w:sz w:val="24"/>
          <w:szCs w:val="24"/>
        </w:rPr>
        <w:t>并参与表决。在计算参会份额和票数时，联接基金持有人持有的享有表决权的参会份额数和表决票数为：在本基金基金份额持有人大会的权益登记日，联接基金持有本基金基金份额的总数乘以该持有人所持有的联接基金份额占联接基金总份额的比例，计算结果按照四舍五入的方法，保留到整数位。联接基金折算为本基金后的每一参会份额和本基金的每一参会份额拥有平等的投票权。</w:t>
      </w:r>
    </w:p>
    <w:p w14:paraId="405B458B"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14:paraId="553EDC13"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联接基金的基金管理人代表联接基金的基金份额持有人提议召开或召集本基金基金份额持有人大会的，须先遵照联接基金基金合同的约定召开联接基金的基金份额持有人大会，联接基金的基金份额持有人大会决定提议召开或召集本基金基金份额持有人大会的，由联接基金的基金管理人代表联接基金的基金份额持有人提议召开或召集本基金基金份额持有人大会。</w:t>
      </w:r>
    </w:p>
    <w:p w14:paraId="6A2D974A"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若将来法律法规对基金份额持有人大会另有规定的，以届时有效的法律法规为准。</w:t>
      </w:r>
    </w:p>
    <w:p w14:paraId="50D0AA6B" w14:textId="77777777" w:rsidR="00E82AF4" w:rsidRDefault="005B2E6A">
      <w:pPr>
        <w:adjustRightInd w:val="0"/>
        <w:snapToGrid w:val="0"/>
        <w:spacing w:line="360" w:lineRule="auto"/>
        <w:ind w:firstLineChars="200" w:firstLine="480"/>
        <w:rPr>
          <w:rFonts w:ascii="宋体" w:hAnsi="宋体"/>
          <w:sz w:val="24"/>
        </w:rPr>
      </w:pPr>
      <w:bookmarkStart w:id="244" w:name="_Toc79392584"/>
      <w:bookmarkStart w:id="245" w:name="_Toc15641220"/>
      <w:bookmarkStart w:id="246" w:name="_Toc57530243"/>
      <w:r>
        <w:rPr>
          <w:rFonts w:ascii="宋体" w:hAnsi="宋体" w:hint="eastAsia"/>
          <w:sz w:val="24"/>
        </w:rPr>
        <w:t>一、召开事由</w:t>
      </w:r>
      <w:bookmarkEnd w:id="244"/>
      <w:bookmarkEnd w:id="245"/>
      <w:bookmarkEnd w:id="246"/>
    </w:p>
    <w:p w14:paraId="20C9E9D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hint="eastAsia"/>
          <w:bCs/>
          <w:sz w:val="24"/>
          <w:szCs w:val="24"/>
        </w:rPr>
        <w:t>除法律法规、中国证监会另有规定或基金合同另有约定外，</w:t>
      </w:r>
      <w:r>
        <w:rPr>
          <w:rFonts w:ascii="宋体" w:hAnsi="宋体" w:hint="eastAsia"/>
          <w:sz w:val="24"/>
        </w:rPr>
        <w:t>当出现或需要决定下列事由之一的，应当召开基金份额持有人大会：</w:t>
      </w:r>
    </w:p>
    <w:p w14:paraId="4987AF2D" w14:textId="77777777" w:rsidR="00E82AF4" w:rsidRDefault="005B2E6A">
      <w:pPr>
        <w:spacing w:line="360" w:lineRule="auto"/>
        <w:ind w:firstLineChars="200" w:firstLine="480"/>
      </w:pPr>
      <w:r>
        <w:rPr>
          <w:rFonts w:ascii="宋体" w:hAnsi="宋体"/>
          <w:sz w:val="24"/>
        </w:rPr>
        <w:lastRenderedPageBreak/>
        <w:t>（1）终止《基金合同》</w:t>
      </w:r>
      <w:r>
        <w:rPr>
          <w:rFonts w:ascii="宋体" w:hAnsi="宋体"/>
          <w:sz w:val="24"/>
          <w:szCs w:val="24"/>
        </w:rPr>
        <w:t>；</w:t>
      </w:r>
    </w:p>
    <w:p w14:paraId="70520E59" w14:textId="77777777" w:rsidR="00E82AF4" w:rsidRDefault="005B2E6A">
      <w:pPr>
        <w:adjustRightInd w:val="0"/>
        <w:snapToGrid w:val="0"/>
        <w:spacing w:line="360" w:lineRule="auto"/>
        <w:ind w:firstLineChars="200" w:firstLine="480"/>
      </w:pPr>
      <w:r>
        <w:rPr>
          <w:rFonts w:ascii="宋体" w:hAnsi="宋体"/>
          <w:sz w:val="24"/>
        </w:rPr>
        <w:t>（2）更换基金管理人；</w:t>
      </w:r>
    </w:p>
    <w:p w14:paraId="379F7BC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（3）更换基金托管人；</w:t>
      </w:r>
    </w:p>
    <w:p w14:paraId="66B44C3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（4）转换基金运作方式；</w:t>
      </w:r>
    </w:p>
    <w:p w14:paraId="358B565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（5）</w:t>
      </w:r>
      <w:r>
        <w:rPr>
          <w:rFonts w:hint="eastAsia"/>
          <w:sz w:val="24"/>
          <w:szCs w:val="24"/>
        </w:rPr>
        <w:t>调整</w:t>
      </w:r>
      <w:r>
        <w:rPr>
          <w:rFonts w:ascii="宋体" w:hAnsi="宋体" w:hint="eastAsia"/>
          <w:sz w:val="24"/>
        </w:rPr>
        <w:t>基金管理人、基金托管人的报酬标准；</w:t>
      </w:r>
    </w:p>
    <w:p w14:paraId="12DA87B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（6）变更基金类别；</w:t>
      </w:r>
    </w:p>
    <w:p w14:paraId="7C6FB7F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（7）本基金与其他基金的合并；</w:t>
      </w:r>
    </w:p>
    <w:p w14:paraId="4D4E3805"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（8）变更基金投资目标、范围或策略；</w:t>
      </w:r>
    </w:p>
    <w:p w14:paraId="70B6DDE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（9）变更基金份额持有人大会程序；</w:t>
      </w:r>
    </w:p>
    <w:p w14:paraId="52D8A55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rPr>
        <w:t>（10）</w:t>
      </w:r>
      <w:r>
        <w:rPr>
          <w:rFonts w:ascii="宋体" w:hAnsi="宋体" w:hint="eastAsia"/>
          <w:sz w:val="24"/>
          <w:szCs w:val="24"/>
        </w:rPr>
        <w:t>终止基金上市，但因基金不再具备上市条件而被深圳证券交易所终止上市的除外；</w:t>
      </w:r>
    </w:p>
    <w:p w14:paraId="7B9A1CE8"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szCs w:val="24"/>
        </w:rPr>
        <w:t>（1</w:t>
      </w:r>
      <w:r>
        <w:rPr>
          <w:rFonts w:ascii="宋体" w:hAnsi="宋体" w:hint="eastAsia"/>
          <w:sz w:val="24"/>
          <w:szCs w:val="24"/>
        </w:rPr>
        <w:t>1</w:t>
      </w:r>
      <w:r>
        <w:rPr>
          <w:rFonts w:ascii="宋体" w:hAnsi="宋体"/>
          <w:sz w:val="24"/>
          <w:szCs w:val="24"/>
        </w:rPr>
        <w:t>）</w:t>
      </w:r>
      <w:r>
        <w:rPr>
          <w:rFonts w:ascii="宋体" w:hAnsi="宋体" w:hint="eastAsia"/>
          <w:sz w:val="24"/>
        </w:rPr>
        <w:t>基金管理人或基金托管人要求召开基金份额持有人大会；</w:t>
      </w:r>
    </w:p>
    <w:p w14:paraId="059A8A4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1</w:t>
      </w:r>
      <w:r>
        <w:rPr>
          <w:rFonts w:ascii="宋体" w:hAnsi="宋体" w:hint="eastAsia"/>
          <w:sz w:val="24"/>
          <w:szCs w:val="24"/>
        </w:rPr>
        <w:t>2</w:t>
      </w:r>
      <w:r>
        <w:rPr>
          <w:rFonts w:ascii="宋体" w:hAnsi="宋体" w:hint="eastAsia"/>
          <w:sz w:val="24"/>
        </w:rPr>
        <w:t>）单独或合计持有本基金总份额10</w:t>
      </w:r>
      <w:r>
        <w:rPr>
          <w:sz w:val="24"/>
        </w:rPr>
        <w:t>%</w:t>
      </w:r>
      <w:r>
        <w:rPr>
          <w:rFonts w:ascii="宋体" w:hAnsi="宋体" w:hint="eastAsia"/>
          <w:sz w:val="24"/>
        </w:rPr>
        <w:t>以上（含10</w:t>
      </w:r>
      <w:r>
        <w:rPr>
          <w:sz w:val="24"/>
        </w:rPr>
        <w:t>%</w:t>
      </w:r>
      <w:r>
        <w:rPr>
          <w:rFonts w:ascii="宋体" w:hAnsi="宋体" w:hint="eastAsia"/>
          <w:sz w:val="24"/>
        </w:rPr>
        <w:t>）基金份额的基金份额持有人（以基金管理人收到提议当日的基金份额计算，下同）就同一事项书面要求召开基金份额持有人大会；</w:t>
      </w:r>
    </w:p>
    <w:p w14:paraId="15A6D6C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1</w:t>
      </w:r>
      <w:r>
        <w:rPr>
          <w:rFonts w:ascii="宋体" w:hAnsi="宋体" w:hint="eastAsia"/>
          <w:sz w:val="24"/>
          <w:szCs w:val="24"/>
        </w:rPr>
        <w:t>3</w:t>
      </w:r>
      <w:r>
        <w:rPr>
          <w:rFonts w:ascii="宋体" w:hAnsi="宋体" w:hint="eastAsia"/>
          <w:sz w:val="24"/>
        </w:rPr>
        <w:t>）对基金合同当事人权利和义务产生重大影响的其他事项；</w:t>
      </w:r>
    </w:p>
    <w:p w14:paraId="05B6F1B9"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1</w:t>
      </w:r>
      <w:r>
        <w:rPr>
          <w:rFonts w:ascii="宋体" w:hAnsi="宋体" w:hint="eastAsia"/>
          <w:sz w:val="24"/>
          <w:szCs w:val="24"/>
        </w:rPr>
        <w:t>4</w:t>
      </w:r>
      <w:r>
        <w:rPr>
          <w:rFonts w:ascii="宋体" w:hAnsi="宋体" w:hint="eastAsia"/>
          <w:sz w:val="24"/>
        </w:rPr>
        <w:t>）法律法规、《基金合同》或中国证监会规定的其他应当召开基金份额持有人大会的事项。</w:t>
      </w:r>
    </w:p>
    <w:p w14:paraId="65FF087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w:t>
      </w:r>
      <w:r>
        <w:rPr>
          <w:rFonts w:ascii="宋体" w:hAnsi="宋体" w:hint="eastAsia"/>
          <w:bCs/>
          <w:sz w:val="24"/>
          <w:szCs w:val="24"/>
        </w:rPr>
        <w:t>在</w:t>
      </w:r>
      <w:r>
        <w:rPr>
          <w:rFonts w:hint="eastAsia"/>
          <w:sz w:val="24"/>
        </w:rPr>
        <w:t>法律法规规定和</w:t>
      </w:r>
      <w:r>
        <w:rPr>
          <w:sz w:val="24"/>
        </w:rPr>
        <w:t>基金合同</w:t>
      </w:r>
      <w:r>
        <w:rPr>
          <w:rFonts w:hint="eastAsia"/>
          <w:sz w:val="24"/>
        </w:rPr>
        <w:t>约定</w:t>
      </w:r>
      <w:r>
        <w:rPr>
          <w:sz w:val="24"/>
        </w:rPr>
        <w:t>的范围内且</w:t>
      </w:r>
      <w:r>
        <w:rPr>
          <w:rFonts w:ascii="宋体" w:hAnsi="宋体"/>
          <w:bCs/>
          <w:sz w:val="24"/>
          <w:szCs w:val="24"/>
        </w:rPr>
        <w:t>对</w:t>
      </w:r>
      <w:r>
        <w:rPr>
          <w:rFonts w:ascii="宋体" w:hAnsi="宋体" w:hint="eastAsia"/>
          <w:bCs/>
          <w:sz w:val="24"/>
          <w:szCs w:val="24"/>
        </w:rPr>
        <w:t>基金份额持有人利益无实质性不利影响的前提下，</w:t>
      </w:r>
      <w:r>
        <w:rPr>
          <w:rFonts w:ascii="宋体" w:hAnsi="宋体" w:hint="eastAsia"/>
          <w:sz w:val="24"/>
        </w:rPr>
        <w:t>以下情况可由基金管理人和基金托管人协商后修改，不需召开基金份额持有人大会：</w:t>
      </w:r>
    </w:p>
    <w:p w14:paraId="6A4F750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（1）法律法规要求增加的基金费用的收取；</w:t>
      </w:r>
    </w:p>
    <w:p w14:paraId="12D0DBB7" w14:textId="547052D6"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2</w:t>
      </w:r>
      <w:r>
        <w:rPr>
          <w:rFonts w:ascii="宋体" w:hAnsi="宋体" w:hint="eastAsia"/>
          <w:sz w:val="24"/>
        </w:rPr>
        <w:t>）调整本基金的申购费率、变更收费方式</w:t>
      </w:r>
      <w:r>
        <w:rPr>
          <w:rFonts w:hint="eastAsia"/>
          <w:bCs/>
          <w:sz w:val="24"/>
        </w:rPr>
        <w:t>；</w:t>
      </w:r>
    </w:p>
    <w:p w14:paraId="6385B675"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3</w:t>
      </w:r>
      <w:r>
        <w:rPr>
          <w:rFonts w:ascii="宋体" w:hAnsi="宋体" w:hint="eastAsia"/>
          <w:sz w:val="24"/>
        </w:rPr>
        <w:t>）因相应的法律法规</w:t>
      </w:r>
      <w:r>
        <w:rPr>
          <w:rFonts w:ascii="宋体" w:hAnsi="宋体" w:hint="eastAsia"/>
          <w:bCs/>
          <w:sz w:val="24"/>
          <w:szCs w:val="24"/>
        </w:rPr>
        <w:t>、中国</w:t>
      </w:r>
      <w:r>
        <w:rPr>
          <w:rFonts w:ascii="宋体" w:hAnsi="宋体"/>
          <w:bCs/>
          <w:sz w:val="24"/>
          <w:szCs w:val="24"/>
        </w:rPr>
        <w:t>证监会、</w:t>
      </w:r>
      <w:r>
        <w:rPr>
          <w:rFonts w:ascii="宋体" w:hAnsi="宋体" w:hint="eastAsia"/>
          <w:bCs/>
          <w:sz w:val="24"/>
          <w:szCs w:val="24"/>
        </w:rPr>
        <w:t>深圳</w:t>
      </w:r>
      <w:r>
        <w:rPr>
          <w:rFonts w:hint="eastAsia"/>
          <w:bCs/>
          <w:sz w:val="24"/>
        </w:rPr>
        <w:t>证券交易所或者登记机构的相关业务规则</w:t>
      </w:r>
      <w:r>
        <w:rPr>
          <w:rFonts w:ascii="宋体" w:hAnsi="宋体" w:hint="eastAsia"/>
          <w:bCs/>
          <w:sz w:val="24"/>
          <w:szCs w:val="24"/>
        </w:rPr>
        <w:t>或行业自律规则</w:t>
      </w:r>
      <w:r>
        <w:rPr>
          <w:rFonts w:ascii="宋体" w:hAnsi="宋体" w:hint="eastAsia"/>
          <w:sz w:val="24"/>
        </w:rPr>
        <w:t>发生变动而应当对《基金合同》进行修改；</w:t>
      </w:r>
    </w:p>
    <w:p w14:paraId="49AD6BC9"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szCs w:val="24"/>
        </w:rPr>
        <w:t>4</w:t>
      </w:r>
      <w:r>
        <w:rPr>
          <w:rFonts w:ascii="宋体" w:hAnsi="宋体" w:hint="eastAsia"/>
          <w:sz w:val="24"/>
        </w:rPr>
        <w:t>）对《基金合同》的修改对基金份额持有人利益无实质性不利影响或修改不涉及《基金合同》当事人权利义务关系发生</w:t>
      </w:r>
      <w:r>
        <w:rPr>
          <w:rFonts w:ascii="宋体" w:hAnsi="宋体" w:hint="eastAsia"/>
          <w:sz w:val="24"/>
          <w:szCs w:val="24"/>
        </w:rPr>
        <w:t>重大</w:t>
      </w:r>
      <w:r>
        <w:rPr>
          <w:rFonts w:ascii="宋体" w:hAnsi="宋体" w:hint="eastAsia"/>
          <w:sz w:val="24"/>
        </w:rPr>
        <w:t>变化；</w:t>
      </w:r>
    </w:p>
    <w:p w14:paraId="3701ADA2"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5</w:t>
      </w:r>
      <w:r>
        <w:rPr>
          <w:rFonts w:ascii="宋体" w:hAnsi="宋体" w:hint="eastAsia"/>
          <w:sz w:val="24"/>
          <w:szCs w:val="24"/>
        </w:rPr>
        <w:t>）履行适当程序后基金推出新业务或服务；</w:t>
      </w:r>
    </w:p>
    <w:p w14:paraId="7742AA5B" w14:textId="7426CB62"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6</w:t>
      </w:r>
      <w:r>
        <w:rPr>
          <w:rFonts w:ascii="宋体" w:hAnsi="宋体" w:hint="eastAsia"/>
          <w:sz w:val="24"/>
          <w:szCs w:val="24"/>
        </w:rPr>
        <w:t>）调整或开通新的基金的申购赎回方式，调整申购对价、赎回对价组成、申购赎回清单的内容；</w:t>
      </w:r>
    </w:p>
    <w:p w14:paraId="18967B4C"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lastRenderedPageBreak/>
        <w:t>（</w:t>
      </w:r>
      <w:r>
        <w:rPr>
          <w:rFonts w:ascii="宋体" w:hAnsi="宋体"/>
          <w:sz w:val="24"/>
          <w:szCs w:val="24"/>
        </w:rPr>
        <w:t>7</w:t>
      </w:r>
      <w:r>
        <w:rPr>
          <w:rFonts w:ascii="宋体" w:hAnsi="宋体" w:hint="eastAsia"/>
          <w:sz w:val="24"/>
          <w:szCs w:val="24"/>
        </w:rPr>
        <w:t>）调整基金份额净值、申购赎回清单的计算和公告时间或频率；</w:t>
      </w:r>
    </w:p>
    <w:p w14:paraId="43C929B5"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8</w:t>
      </w:r>
      <w:r>
        <w:rPr>
          <w:rFonts w:ascii="宋体" w:hAnsi="宋体" w:hint="eastAsia"/>
          <w:sz w:val="24"/>
          <w:szCs w:val="24"/>
        </w:rPr>
        <w:t>）募集并管理以本基金为目标ETF的一只或多只联接基金、本基金的联接基金采取特殊申购或其他方式参与本基金的申购赎回、增设新的基金份额类别、减少基金份额类别或者调整基金份额类别设置、在其他证券交易所上市；</w:t>
      </w:r>
    </w:p>
    <w:p w14:paraId="2F6E1264"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9</w:t>
      </w:r>
      <w:r>
        <w:rPr>
          <w:rFonts w:ascii="宋体" w:hAnsi="宋体" w:hint="eastAsia"/>
          <w:sz w:val="24"/>
          <w:szCs w:val="24"/>
        </w:rPr>
        <w:t>）基金管理人、相关证券交易所和登记机构在法律法规、基金合同规定的范围内调整有关基金认购、申购、赎回、交易、转托管、非交易过户等业务的规则（包括申购赎回清单的调整、开放时间的调整等）；</w:t>
      </w:r>
    </w:p>
    <w:p w14:paraId="2482F2E0" w14:textId="77777777" w:rsidR="00E82AF4" w:rsidRDefault="005B2E6A">
      <w:pPr>
        <w:adjustRightInd w:val="0"/>
        <w:snapToGrid w:val="0"/>
        <w:spacing w:line="360" w:lineRule="auto"/>
        <w:ind w:firstLineChars="200" w:firstLine="480"/>
        <w:rPr>
          <w:rFonts w:ascii="宋体" w:hAnsi="宋体"/>
          <w:sz w:val="24"/>
        </w:rPr>
      </w:pPr>
      <w:r>
        <w:rPr>
          <w:rFonts w:ascii="宋体" w:hAnsi="宋体"/>
          <w:sz w:val="24"/>
          <w:szCs w:val="24"/>
        </w:rPr>
        <w:t>（10）</w:t>
      </w:r>
      <w:r>
        <w:rPr>
          <w:rFonts w:ascii="宋体" w:hAnsi="宋体" w:hint="eastAsia"/>
          <w:sz w:val="24"/>
        </w:rPr>
        <w:t>按照法律法规和《基金合同》规定不需召开基金份额持有人大会的其他情形。</w:t>
      </w:r>
    </w:p>
    <w:p w14:paraId="65730CC0" w14:textId="77777777" w:rsidR="00E82AF4" w:rsidRDefault="005B2E6A">
      <w:pPr>
        <w:adjustRightInd w:val="0"/>
        <w:snapToGrid w:val="0"/>
        <w:spacing w:line="360" w:lineRule="auto"/>
        <w:ind w:firstLineChars="200" w:firstLine="480"/>
        <w:rPr>
          <w:rFonts w:ascii="宋体" w:hAnsi="宋体"/>
          <w:sz w:val="24"/>
        </w:rPr>
      </w:pPr>
      <w:bookmarkStart w:id="247" w:name="_Toc57530244"/>
      <w:bookmarkStart w:id="248" w:name="_Toc79392585"/>
      <w:bookmarkStart w:id="249" w:name="_Toc15641221"/>
      <w:r>
        <w:rPr>
          <w:rFonts w:ascii="宋体" w:hAnsi="宋体" w:hint="eastAsia"/>
          <w:sz w:val="24"/>
        </w:rPr>
        <w:t>二、会议召集人及召集方式</w:t>
      </w:r>
      <w:bookmarkEnd w:id="247"/>
      <w:bookmarkEnd w:id="248"/>
      <w:bookmarkEnd w:id="249"/>
    </w:p>
    <w:p w14:paraId="36E24C14" w14:textId="77777777" w:rsidR="00E82AF4" w:rsidRDefault="005B2E6A">
      <w:pPr>
        <w:adjustRightInd w:val="0"/>
        <w:snapToGrid w:val="0"/>
        <w:spacing w:line="360" w:lineRule="auto"/>
        <w:ind w:firstLineChars="200" w:firstLine="480"/>
        <w:rPr>
          <w:rFonts w:ascii="宋体" w:hAnsi="宋体"/>
          <w:sz w:val="24"/>
        </w:rPr>
      </w:pPr>
      <w:bookmarkStart w:id="250" w:name="_Toc15641222"/>
      <w:bookmarkStart w:id="251" w:name="_Toc57530245"/>
      <w:r>
        <w:rPr>
          <w:rFonts w:ascii="宋体" w:hAnsi="宋体" w:hint="eastAsia"/>
          <w:sz w:val="24"/>
        </w:rPr>
        <w:t>1、除法律法规规定或</w:t>
      </w:r>
      <w:r>
        <w:rPr>
          <w:rFonts w:ascii="宋体" w:hAnsi="宋体" w:hint="eastAsia"/>
          <w:sz w:val="24"/>
          <w:szCs w:val="24"/>
        </w:rPr>
        <w:t>基金合同另有约定外</w:t>
      </w:r>
      <w:r>
        <w:rPr>
          <w:rFonts w:ascii="宋体" w:hAnsi="宋体" w:hint="eastAsia"/>
          <w:sz w:val="24"/>
        </w:rPr>
        <w:t>，基金份额持有人大会由基金管理人召集</w:t>
      </w:r>
      <w:r>
        <w:rPr>
          <w:rFonts w:ascii="宋体" w:hAnsi="宋体" w:hint="eastAsia"/>
          <w:sz w:val="24"/>
          <w:szCs w:val="24"/>
        </w:rPr>
        <w:t>。</w:t>
      </w:r>
    </w:p>
    <w:p w14:paraId="03F496F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2、基金管理人未按规定召集或不能</w:t>
      </w:r>
      <w:r>
        <w:rPr>
          <w:rFonts w:ascii="宋体" w:hAnsi="宋体" w:hint="eastAsia"/>
          <w:sz w:val="24"/>
          <w:szCs w:val="24"/>
        </w:rPr>
        <w:t>召集</w:t>
      </w:r>
      <w:r>
        <w:rPr>
          <w:rFonts w:ascii="宋体" w:hAnsi="宋体" w:hint="eastAsia"/>
          <w:sz w:val="24"/>
        </w:rPr>
        <w:t>时，由基金托管人召集</w:t>
      </w:r>
      <w:r>
        <w:rPr>
          <w:rFonts w:ascii="宋体" w:hAnsi="宋体" w:hint="eastAsia"/>
          <w:sz w:val="24"/>
          <w:szCs w:val="24"/>
        </w:rPr>
        <w:t>。</w:t>
      </w:r>
    </w:p>
    <w:p w14:paraId="4BAA10C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3、基金托管人认为有必要召开基金份额持有人大会的，应当向基金管理人提出书面提议。基金管理人应当自收到书面提议之日起</w:t>
      </w:r>
      <w:r>
        <w:rPr>
          <w:rFonts w:ascii="宋体" w:hAnsi="宋体" w:hint="eastAsia"/>
          <w:sz w:val="24"/>
          <w:szCs w:val="24"/>
        </w:rPr>
        <w:t>10</w:t>
      </w:r>
      <w:r>
        <w:rPr>
          <w:rFonts w:ascii="宋体" w:hAnsi="宋体" w:hint="eastAsia"/>
          <w:sz w:val="24"/>
        </w:rPr>
        <w:t>日内决定是否召集，并书面告知基金托管人。基金管理人决定召集的，应当自出具书面决定之日起</w:t>
      </w:r>
      <w:r>
        <w:rPr>
          <w:rFonts w:ascii="宋体" w:hAnsi="宋体" w:hint="eastAsia"/>
          <w:sz w:val="24"/>
          <w:szCs w:val="24"/>
        </w:rPr>
        <w:t>60</w:t>
      </w:r>
      <w:r>
        <w:rPr>
          <w:rFonts w:ascii="宋体" w:hAnsi="宋体" w:hint="eastAsia"/>
          <w:sz w:val="24"/>
        </w:rPr>
        <w:t>日内召开；基金管理人决定不召集，基金托管人仍认为有必要召开的，应当由基金托管人自行召集，并自出具书面决定之日起60</w:t>
      </w:r>
      <w:r>
        <w:rPr>
          <w:rFonts w:ascii="宋体" w:hAnsi="宋体" w:hint="eastAsia"/>
          <w:sz w:val="24"/>
          <w:szCs w:val="24"/>
        </w:rPr>
        <w:t>日内</w:t>
      </w:r>
      <w:r>
        <w:rPr>
          <w:rFonts w:ascii="宋体" w:hAnsi="宋体" w:hint="eastAsia"/>
          <w:sz w:val="24"/>
        </w:rPr>
        <w:t>召开，并告知基金管理人，基金管理人应当配合。</w:t>
      </w:r>
    </w:p>
    <w:p w14:paraId="65C0BB02"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4、代表基金份额</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）的基金份额持有人就同一事项书面要求召开基金份额持有人大会，应当向基金管理人提出书面提议。基金管理人应当自收到书面提议之日起</w:t>
      </w:r>
      <w:r>
        <w:rPr>
          <w:rFonts w:ascii="宋体" w:hAnsi="宋体" w:hint="eastAsia"/>
          <w:sz w:val="24"/>
          <w:szCs w:val="24"/>
        </w:rPr>
        <w:t>10</w:t>
      </w:r>
      <w:r>
        <w:rPr>
          <w:rFonts w:ascii="宋体" w:hAnsi="宋体" w:hint="eastAsia"/>
          <w:sz w:val="24"/>
        </w:rPr>
        <w:t>日内决定是否召集，并书面告知提出提议的基金份额持有人代表和基金托管人。基金管理人决定召集的，应当自出具书面决定之日起</w:t>
      </w:r>
      <w:r>
        <w:rPr>
          <w:rFonts w:ascii="宋体" w:hAnsi="宋体" w:hint="eastAsia"/>
          <w:sz w:val="24"/>
          <w:szCs w:val="24"/>
        </w:rPr>
        <w:t>60</w:t>
      </w:r>
      <w:r>
        <w:rPr>
          <w:rFonts w:ascii="宋体" w:hAnsi="宋体" w:hint="eastAsia"/>
          <w:sz w:val="24"/>
        </w:rPr>
        <w:t>日内召开；基金管理人决定不召集，代表基金份额</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）的基金份额持有人仍认为有必要召开的，应当向基金托管人提出书面提议。基金托管人应当自收到书面提议之日起</w:t>
      </w:r>
      <w:r>
        <w:rPr>
          <w:rFonts w:ascii="宋体" w:hAnsi="宋体" w:hint="eastAsia"/>
          <w:sz w:val="24"/>
          <w:szCs w:val="24"/>
        </w:rPr>
        <w:t>10</w:t>
      </w:r>
      <w:r>
        <w:rPr>
          <w:rFonts w:ascii="宋体" w:hAnsi="宋体" w:hint="eastAsia"/>
          <w:sz w:val="24"/>
        </w:rPr>
        <w:t>日内决定是否召集，并书面告知提出提议的基金份额持有人代表和基金管理人；基金托管人决定召集的，应当自出具书面决定之日起60日内召开，并告知基金管理人，基金管理人应当配合。</w:t>
      </w:r>
    </w:p>
    <w:p w14:paraId="62EF04D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5、代表基金份额</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）的基金份额持有人就同一事项要求召开基金份额持有人大会，而基金管理人、基金托管人都不召集的，单独或合计代</w:t>
      </w:r>
      <w:r>
        <w:rPr>
          <w:rFonts w:ascii="宋体" w:hAnsi="宋体" w:hint="eastAsia"/>
          <w:sz w:val="24"/>
        </w:rPr>
        <w:lastRenderedPageBreak/>
        <w:t>表基金份额</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）的基金份额持有人有权自行召集，并至少提前30日报中国证监会备案。基金份额持有人依法自行召集基金份额持有人大会的，基金管理人、基金托管人应当配合，不得阻碍、干扰。</w:t>
      </w:r>
    </w:p>
    <w:p w14:paraId="3172166D"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6、基金份额持有人会议的召集人负责选择确定开会时间、地点、方式和权益登记日。</w:t>
      </w:r>
    </w:p>
    <w:p w14:paraId="1FFB024F" w14:textId="77777777" w:rsidR="00E82AF4" w:rsidRDefault="005B2E6A">
      <w:pPr>
        <w:adjustRightInd w:val="0"/>
        <w:snapToGrid w:val="0"/>
        <w:spacing w:line="360" w:lineRule="auto"/>
        <w:ind w:firstLineChars="200" w:firstLine="480"/>
        <w:rPr>
          <w:rFonts w:ascii="宋体" w:hAnsi="宋体"/>
          <w:sz w:val="24"/>
        </w:rPr>
      </w:pPr>
      <w:bookmarkStart w:id="252" w:name="_Toc79392586"/>
      <w:r>
        <w:rPr>
          <w:rFonts w:ascii="宋体" w:hAnsi="宋体" w:hint="eastAsia"/>
          <w:sz w:val="24"/>
        </w:rPr>
        <w:t>三、召开基金份额持有人大会的通知时间、通知内容、通知方式</w:t>
      </w:r>
      <w:bookmarkEnd w:id="250"/>
      <w:bookmarkEnd w:id="251"/>
      <w:bookmarkEnd w:id="252"/>
    </w:p>
    <w:p w14:paraId="2B8E6F4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1、召开基金份额持有人大会，召集人应于会议召开前</w:t>
      </w:r>
      <w:r>
        <w:rPr>
          <w:rFonts w:ascii="宋体" w:hAnsi="宋体" w:hint="eastAsia"/>
          <w:sz w:val="24"/>
          <w:szCs w:val="24"/>
        </w:rPr>
        <w:t>30</w:t>
      </w:r>
      <w:r>
        <w:rPr>
          <w:rFonts w:ascii="宋体" w:hAnsi="宋体" w:hint="eastAsia"/>
          <w:sz w:val="24"/>
        </w:rPr>
        <w:t>日，在规定媒介公告。基金份额持有人大会通知应至少载明以下内容：</w:t>
      </w:r>
    </w:p>
    <w:p w14:paraId="25DC2D6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（1）会议召开的时间、地点和会议形式；</w:t>
      </w:r>
    </w:p>
    <w:p w14:paraId="3216DA8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（2）会议拟审议的事项、议事程序和表决方式；</w:t>
      </w:r>
    </w:p>
    <w:p w14:paraId="0114178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（3）有权出席基金份额持有人大会的基金份额持有人的权益登记日；</w:t>
      </w:r>
    </w:p>
    <w:p w14:paraId="31BCCCB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（4）授权委托证明的内容要求（包括但不限于代理人身份，代理权限和代理有效期限等）、送达时间和地点</w:t>
      </w:r>
      <w:r>
        <w:rPr>
          <w:rFonts w:ascii="宋体" w:hAnsi="宋体" w:hint="eastAsia"/>
          <w:sz w:val="24"/>
          <w:szCs w:val="24"/>
        </w:rPr>
        <w:t>；</w:t>
      </w:r>
    </w:p>
    <w:p w14:paraId="2FF56A0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（5）会务常设联系人姓名及联系电话；</w:t>
      </w:r>
    </w:p>
    <w:p w14:paraId="66E39E7C"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（6）出席会议者必须准备的文件和必须履行的手续；</w:t>
      </w:r>
    </w:p>
    <w:p w14:paraId="1C8A247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（7）召集人需要通知的其他事项。</w:t>
      </w:r>
    </w:p>
    <w:p w14:paraId="6CD551D5"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2、采取通讯开会方式并进行表决的情况下，由会议召集人决定在会议通知中说明本次基金份额持有人大会所采取的具体通讯方式、委托的公证机关及其联系方式和联系人、表决意见</w:t>
      </w:r>
      <w:r>
        <w:rPr>
          <w:rFonts w:ascii="宋体" w:hAnsi="宋体" w:hint="eastAsia"/>
          <w:sz w:val="24"/>
          <w:szCs w:val="24"/>
        </w:rPr>
        <w:t>提交</w:t>
      </w:r>
      <w:r>
        <w:rPr>
          <w:rFonts w:ascii="宋体" w:hAnsi="宋体" w:hint="eastAsia"/>
          <w:sz w:val="24"/>
        </w:rPr>
        <w:t>的截止时间和收取方式。</w:t>
      </w:r>
    </w:p>
    <w:p w14:paraId="5FA6A8C2"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3、如召集人为基金管理人，还应</w:t>
      </w:r>
      <w:r>
        <w:rPr>
          <w:rFonts w:ascii="宋体" w:hAnsi="宋体" w:hint="eastAsia"/>
          <w:sz w:val="24"/>
          <w:szCs w:val="24"/>
        </w:rPr>
        <w:t>另行通知</w:t>
      </w:r>
      <w:r>
        <w:rPr>
          <w:rFonts w:ascii="宋体" w:hAnsi="宋体" w:hint="eastAsia"/>
          <w:sz w:val="24"/>
        </w:rPr>
        <w:t>基金托管人到指定地点对表决意见的计票进行监督；如召集人为基金托管人，则应</w:t>
      </w:r>
      <w:r>
        <w:rPr>
          <w:rFonts w:ascii="宋体" w:hAnsi="宋体" w:hint="eastAsia"/>
          <w:sz w:val="24"/>
          <w:szCs w:val="24"/>
        </w:rPr>
        <w:t>另行通知</w:t>
      </w:r>
      <w:r>
        <w:rPr>
          <w:rFonts w:ascii="宋体" w:hAnsi="宋体" w:hint="eastAsia"/>
          <w:sz w:val="24"/>
        </w:rPr>
        <w:t>基金管理人到指定地点对表决意见的计票进行监督；如召集人为基金份额持有人，则应</w:t>
      </w:r>
      <w:r>
        <w:rPr>
          <w:rFonts w:ascii="宋体" w:hAnsi="宋体" w:hint="eastAsia"/>
          <w:sz w:val="24"/>
          <w:szCs w:val="24"/>
        </w:rPr>
        <w:t>另行通知</w:t>
      </w:r>
      <w:r>
        <w:rPr>
          <w:rFonts w:ascii="宋体" w:hAnsi="宋体" w:hint="eastAsia"/>
          <w:sz w:val="24"/>
        </w:rPr>
        <w:t>基金管理人和基金托管人到指定地点对表决意见的计票进行监督。基金管理人或基金托管人拒不派代表对表决意见的计票进行监督的，不影响表决意见的计票效力。</w:t>
      </w:r>
    </w:p>
    <w:p w14:paraId="098DD286" w14:textId="77777777" w:rsidR="00E82AF4" w:rsidRDefault="005B2E6A">
      <w:pPr>
        <w:adjustRightInd w:val="0"/>
        <w:snapToGrid w:val="0"/>
        <w:spacing w:line="360" w:lineRule="auto"/>
        <w:ind w:firstLineChars="200" w:firstLine="480"/>
        <w:rPr>
          <w:rFonts w:ascii="宋体" w:hAnsi="宋体"/>
          <w:sz w:val="24"/>
        </w:rPr>
      </w:pPr>
      <w:bookmarkStart w:id="253" w:name="_Toc79392587"/>
      <w:bookmarkStart w:id="254" w:name="_Toc57530246"/>
      <w:bookmarkStart w:id="255" w:name="_Toc15641223"/>
      <w:r>
        <w:rPr>
          <w:rFonts w:ascii="宋体" w:hAnsi="宋体" w:hint="eastAsia"/>
          <w:sz w:val="24"/>
        </w:rPr>
        <w:t>四、基金份额持有人出席会议的方式</w:t>
      </w:r>
      <w:bookmarkEnd w:id="253"/>
      <w:bookmarkEnd w:id="254"/>
      <w:bookmarkEnd w:id="255"/>
    </w:p>
    <w:p w14:paraId="23AC79D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基金份额持有人大会可通过现场开会方式</w:t>
      </w:r>
      <w:r>
        <w:rPr>
          <w:rFonts w:ascii="宋体" w:hAnsi="宋体" w:hint="eastAsia"/>
          <w:sz w:val="24"/>
          <w:szCs w:val="24"/>
        </w:rPr>
        <w:t>、</w:t>
      </w:r>
      <w:r>
        <w:rPr>
          <w:rFonts w:ascii="宋体" w:hAnsi="宋体" w:hint="eastAsia"/>
          <w:sz w:val="24"/>
        </w:rPr>
        <w:t>通讯开会方式</w:t>
      </w:r>
      <w:r>
        <w:rPr>
          <w:rFonts w:ascii="宋体" w:hAnsi="宋体" w:hint="eastAsia"/>
          <w:sz w:val="24"/>
          <w:szCs w:val="24"/>
        </w:rPr>
        <w:t>或</w:t>
      </w:r>
      <w:r>
        <w:rPr>
          <w:rFonts w:ascii="宋体" w:hAnsi="宋体" w:hint="eastAsia"/>
          <w:sz w:val="24"/>
        </w:rPr>
        <w:t>法律法规</w:t>
      </w:r>
      <w:r>
        <w:rPr>
          <w:rFonts w:ascii="宋体" w:hAnsi="宋体" w:hint="eastAsia"/>
          <w:sz w:val="24"/>
          <w:szCs w:val="24"/>
        </w:rPr>
        <w:t>、</w:t>
      </w:r>
      <w:r>
        <w:rPr>
          <w:rFonts w:ascii="宋体" w:hAnsi="宋体" w:hint="eastAsia"/>
          <w:sz w:val="24"/>
        </w:rPr>
        <w:t>监管机构允许的其他方式召开，会议的召开方式由会议召集人确定。</w:t>
      </w:r>
    </w:p>
    <w:p w14:paraId="48C290C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1、现场开会。由基金份额持有人本人出席或以代理投票授权委托证明委派代表出席，现场开会时基金管理人和基金托管人的授权代表应当列席基金份额持有人大会，基金管理人或</w:t>
      </w:r>
      <w:r>
        <w:rPr>
          <w:rFonts w:ascii="宋体" w:hAnsi="宋体" w:hint="eastAsia"/>
          <w:sz w:val="24"/>
          <w:szCs w:val="24"/>
        </w:rPr>
        <w:t>基金</w:t>
      </w:r>
      <w:r>
        <w:rPr>
          <w:rFonts w:ascii="宋体" w:hAnsi="宋体" w:hint="eastAsia"/>
          <w:sz w:val="24"/>
        </w:rPr>
        <w:t>托管人不派代表列席的，不影响表决效力。现场开</w:t>
      </w:r>
      <w:r>
        <w:rPr>
          <w:rFonts w:ascii="宋体" w:hAnsi="宋体" w:hint="eastAsia"/>
          <w:sz w:val="24"/>
        </w:rPr>
        <w:lastRenderedPageBreak/>
        <w:t>会同时符合以下条件时，可以进行基金份额持有人大会议程：</w:t>
      </w:r>
    </w:p>
    <w:p w14:paraId="0D1EC46E" w14:textId="77777777" w:rsidR="00E82AF4" w:rsidRDefault="005B2E6A">
      <w:pPr>
        <w:spacing w:line="360" w:lineRule="auto"/>
        <w:ind w:firstLineChars="200" w:firstLine="480"/>
        <w:rPr>
          <w:rFonts w:ascii="宋体" w:hAnsi="宋体"/>
          <w:sz w:val="24"/>
        </w:rPr>
      </w:pPr>
      <w:r>
        <w:rPr>
          <w:rFonts w:ascii="宋体" w:hAnsi="宋体" w:hint="eastAsia"/>
          <w:sz w:val="24"/>
        </w:rPr>
        <w:t>（1）亲自出席会议者持有基金份额的凭证、受托出席会议者出具的委托人持有基金份额的凭证及委托人的代理投票授权委托证明符合法律法规、</w:t>
      </w:r>
      <w:r>
        <w:rPr>
          <w:rFonts w:ascii="宋体" w:hAnsi="宋体" w:hint="eastAsia"/>
          <w:sz w:val="24"/>
          <w:szCs w:val="24"/>
        </w:rPr>
        <w:t>基金合同</w:t>
      </w:r>
      <w:r>
        <w:rPr>
          <w:rFonts w:ascii="宋体" w:hAnsi="宋体" w:hint="eastAsia"/>
          <w:sz w:val="24"/>
        </w:rPr>
        <w:t>和会议通知的规定，并且持有基金份额的凭证与基金管理人持有的登记资料相符；</w:t>
      </w:r>
    </w:p>
    <w:p w14:paraId="59D4479C"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（2）经核对，汇总到会者出示的在权益登记日持有基金份额的凭证显示，有效的基金份额不少于本基金在权益登记日基金总份额的</w:t>
      </w:r>
      <w:r>
        <w:rPr>
          <w:rFonts w:ascii="宋体" w:hAnsi="宋体" w:hint="eastAsia"/>
          <w:sz w:val="24"/>
          <w:szCs w:val="24"/>
        </w:rPr>
        <w:t>二分之一</w:t>
      </w:r>
      <w:r>
        <w:rPr>
          <w:rFonts w:ascii="宋体" w:hAnsi="宋体" w:hint="eastAsia"/>
          <w:sz w:val="24"/>
        </w:rPr>
        <w:t>（含</w:t>
      </w:r>
      <w:r>
        <w:rPr>
          <w:rFonts w:ascii="宋体" w:hAnsi="宋体" w:hint="eastAsia"/>
          <w:sz w:val="24"/>
          <w:szCs w:val="24"/>
        </w:rPr>
        <w:t>二分之一）。若到会者在权益登记日代表</w:t>
      </w:r>
      <w:r>
        <w:rPr>
          <w:rFonts w:ascii="宋体" w:hAnsi="宋体" w:hint="eastAsia"/>
          <w:sz w:val="24"/>
        </w:rPr>
        <w:t>的</w:t>
      </w:r>
      <w:r>
        <w:rPr>
          <w:rFonts w:ascii="宋体" w:hAnsi="宋体" w:hint="eastAsia"/>
          <w:sz w:val="24"/>
          <w:szCs w:val="24"/>
        </w:rPr>
        <w:t>有效</w:t>
      </w:r>
      <w:r>
        <w:rPr>
          <w:rFonts w:ascii="宋体" w:hAnsi="宋体" w:hint="eastAsia"/>
          <w:sz w:val="24"/>
        </w:rPr>
        <w:t>的基金份额</w:t>
      </w:r>
      <w:r>
        <w:rPr>
          <w:rFonts w:ascii="宋体" w:hAnsi="宋体" w:hint="eastAsia"/>
          <w:sz w:val="24"/>
          <w:szCs w:val="24"/>
        </w:rPr>
        <w:t>少于本基金在权益登记日基金总份额</w:t>
      </w:r>
      <w:r>
        <w:rPr>
          <w:rFonts w:ascii="宋体" w:hAnsi="宋体" w:hint="eastAsia"/>
          <w:sz w:val="24"/>
        </w:rPr>
        <w:t>的</w:t>
      </w:r>
      <w:r>
        <w:rPr>
          <w:rFonts w:ascii="宋体" w:hAnsi="宋体" w:hint="eastAsia"/>
          <w:sz w:val="24"/>
          <w:szCs w:val="24"/>
        </w:rPr>
        <w:t>二分之一</w:t>
      </w:r>
      <w:r>
        <w:rPr>
          <w:rFonts w:ascii="宋体" w:hAnsi="宋体" w:hint="eastAsia"/>
          <w:sz w:val="24"/>
        </w:rPr>
        <w:t>，召集人可以在原公告的基金份额持有人大会召开时间的</w:t>
      </w:r>
      <w:r>
        <w:rPr>
          <w:rFonts w:ascii="宋体" w:hAnsi="宋体" w:hint="eastAsia"/>
          <w:sz w:val="24"/>
          <w:szCs w:val="24"/>
        </w:rPr>
        <w:t>3个月</w:t>
      </w:r>
      <w:r>
        <w:rPr>
          <w:rFonts w:ascii="宋体" w:hAnsi="宋体" w:hint="eastAsia"/>
          <w:sz w:val="24"/>
        </w:rPr>
        <w:t>以后、</w:t>
      </w:r>
      <w:r>
        <w:rPr>
          <w:rFonts w:ascii="宋体" w:hAnsi="宋体" w:hint="eastAsia"/>
          <w:sz w:val="24"/>
          <w:szCs w:val="24"/>
        </w:rPr>
        <w:t>6个月</w:t>
      </w:r>
      <w:r>
        <w:rPr>
          <w:rFonts w:ascii="宋体" w:hAnsi="宋体" w:hint="eastAsia"/>
          <w:sz w:val="24"/>
        </w:rPr>
        <w:t>以内，就原定审议事项重新召集基金份额持有人大会。重新召集的基金份额持有人大会</w:t>
      </w:r>
      <w:r>
        <w:rPr>
          <w:rFonts w:ascii="宋体" w:hAnsi="宋体" w:hint="eastAsia"/>
          <w:sz w:val="24"/>
          <w:szCs w:val="24"/>
        </w:rPr>
        <w:t>到会者在权益登记日</w:t>
      </w:r>
      <w:r>
        <w:rPr>
          <w:rFonts w:ascii="宋体" w:hAnsi="宋体" w:hint="eastAsia"/>
          <w:sz w:val="24"/>
        </w:rPr>
        <w:t>代表</w:t>
      </w:r>
      <w:r>
        <w:rPr>
          <w:rFonts w:ascii="宋体" w:hAnsi="宋体" w:hint="eastAsia"/>
          <w:sz w:val="24"/>
          <w:szCs w:val="24"/>
        </w:rPr>
        <w:t>的有效的</w:t>
      </w:r>
      <w:r>
        <w:rPr>
          <w:rFonts w:ascii="宋体" w:hAnsi="宋体" w:hint="eastAsia"/>
          <w:sz w:val="24"/>
        </w:rPr>
        <w:t>基金份额</w:t>
      </w:r>
      <w:r>
        <w:rPr>
          <w:rFonts w:ascii="宋体" w:hAnsi="宋体" w:hint="eastAsia"/>
          <w:sz w:val="24"/>
          <w:szCs w:val="24"/>
        </w:rPr>
        <w:t>应不少于本基金在权益登记日基金总份额的三分之一（含三分之一）</w:t>
      </w:r>
      <w:r>
        <w:rPr>
          <w:rFonts w:ascii="宋体" w:hAnsi="宋体" w:hint="eastAsia"/>
          <w:sz w:val="24"/>
        </w:rPr>
        <w:t>。</w:t>
      </w:r>
    </w:p>
    <w:p w14:paraId="1F8A548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2、通讯开会。通讯开会系指</w:t>
      </w:r>
      <w:r>
        <w:rPr>
          <w:rFonts w:ascii="宋体" w:hAnsi="宋体" w:hint="eastAsia"/>
          <w:sz w:val="24"/>
          <w:szCs w:val="24"/>
        </w:rPr>
        <w:t>按照本基金合同的相关规定以召集人通知的非现场方式（包括书面、网络、电话、短信或其他方式）进行表决，</w:t>
      </w:r>
      <w:r>
        <w:rPr>
          <w:rFonts w:ascii="宋体" w:hAnsi="宋体" w:hint="eastAsia"/>
          <w:sz w:val="24"/>
        </w:rPr>
        <w:t>基金份额持有人将其对表决事项的投票以</w:t>
      </w:r>
      <w:r>
        <w:rPr>
          <w:rFonts w:ascii="宋体" w:hAnsi="宋体" w:hint="eastAsia"/>
          <w:sz w:val="24"/>
          <w:szCs w:val="24"/>
        </w:rPr>
        <w:t>召集人通知载明的非现场方式</w:t>
      </w:r>
      <w:r>
        <w:rPr>
          <w:rFonts w:ascii="宋体" w:hAnsi="宋体" w:hint="eastAsia"/>
          <w:sz w:val="24"/>
        </w:rPr>
        <w:t>在表决</w:t>
      </w:r>
      <w:r>
        <w:rPr>
          <w:rFonts w:ascii="宋体" w:hAnsi="宋体" w:hint="eastAsia"/>
          <w:sz w:val="24"/>
          <w:szCs w:val="24"/>
        </w:rPr>
        <w:t>截止</w:t>
      </w:r>
      <w:r>
        <w:rPr>
          <w:rFonts w:ascii="宋体" w:hAnsi="宋体" w:hint="eastAsia"/>
          <w:sz w:val="24"/>
        </w:rPr>
        <w:t>日以前送达至召集人指定的地址</w:t>
      </w:r>
      <w:r>
        <w:rPr>
          <w:rFonts w:ascii="宋体" w:hAnsi="宋体" w:hint="eastAsia"/>
          <w:sz w:val="24"/>
          <w:szCs w:val="24"/>
        </w:rPr>
        <w:t>或系统</w:t>
      </w:r>
      <w:r>
        <w:rPr>
          <w:rFonts w:ascii="宋体" w:hAnsi="宋体" w:hint="eastAsia"/>
          <w:sz w:val="24"/>
        </w:rPr>
        <w:t>。</w:t>
      </w:r>
    </w:p>
    <w:p w14:paraId="474BB2CD"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在同时符合以下条件时，通讯开会的方式视为有效：</w:t>
      </w:r>
    </w:p>
    <w:p w14:paraId="2F04CB7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（1）会议召集人按</w:t>
      </w:r>
      <w:r>
        <w:rPr>
          <w:rFonts w:ascii="宋体" w:hAnsi="宋体" w:hint="eastAsia"/>
          <w:sz w:val="24"/>
          <w:szCs w:val="24"/>
        </w:rPr>
        <w:t>基金合同</w:t>
      </w:r>
      <w:r>
        <w:rPr>
          <w:rFonts w:ascii="宋体" w:hAnsi="宋体" w:hint="eastAsia"/>
          <w:sz w:val="24"/>
        </w:rPr>
        <w:t>约定公布会议通知后，在</w:t>
      </w:r>
      <w:r>
        <w:rPr>
          <w:rFonts w:ascii="宋体" w:hAnsi="宋体" w:hint="eastAsia"/>
          <w:sz w:val="24"/>
          <w:szCs w:val="24"/>
        </w:rPr>
        <w:t>2</w:t>
      </w:r>
      <w:r>
        <w:rPr>
          <w:rFonts w:ascii="宋体" w:hAnsi="宋体" w:hint="eastAsia"/>
          <w:sz w:val="24"/>
        </w:rPr>
        <w:t>个工作日内连续公布相关提示性公告；</w:t>
      </w:r>
    </w:p>
    <w:p w14:paraId="2F2D186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D2FB58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（3）本人直接出具</w:t>
      </w:r>
      <w:r>
        <w:rPr>
          <w:rFonts w:ascii="宋体" w:hAnsi="宋体" w:hint="eastAsia"/>
          <w:sz w:val="24"/>
          <w:szCs w:val="24"/>
        </w:rPr>
        <w:t>表决</w:t>
      </w:r>
      <w:r>
        <w:rPr>
          <w:rFonts w:ascii="宋体" w:hAnsi="宋体" w:hint="eastAsia"/>
          <w:sz w:val="24"/>
        </w:rPr>
        <w:t>意见或授权他人代表出具</w:t>
      </w:r>
      <w:r>
        <w:rPr>
          <w:rFonts w:ascii="宋体" w:hAnsi="宋体" w:hint="eastAsia"/>
          <w:sz w:val="24"/>
          <w:szCs w:val="24"/>
        </w:rPr>
        <w:t>表决</w:t>
      </w:r>
      <w:r>
        <w:rPr>
          <w:rFonts w:ascii="宋体" w:hAnsi="宋体" w:hint="eastAsia"/>
          <w:sz w:val="24"/>
        </w:rPr>
        <w:t>意见的，基金份额持有人所持有的基金份额不小于在权益登记日基金总份额的</w:t>
      </w:r>
      <w:r>
        <w:rPr>
          <w:rFonts w:ascii="宋体" w:hAnsi="宋体" w:hint="eastAsia"/>
          <w:sz w:val="24"/>
          <w:szCs w:val="24"/>
        </w:rPr>
        <w:t>二分之一</w:t>
      </w:r>
      <w:r>
        <w:rPr>
          <w:rFonts w:ascii="宋体" w:hAnsi="宋体" w:hint="eastAsia"/>
          <w:sz w:val="24"/>
        </w:rPr>
        <w:t>（含</w:t>
      </w:r>
      <w:r>
        <w:rPr>
          <w:rFonts w:ascii="宋体" w:hAnsi="宋体" w:hint="eastAsia"/>
          <w:sz w:val="24"/>
          <w:szCs w:val="24"/>
        </w:rPr>
        <w:t>二分之一）；若本人直接出具表决意见或授权他人代表出具表决意见的</w:t>
      </w:r>
      <w:r>
        <w:rPr>
          <w:rFonts w:ascii="宋体" w:hAnsi="宋体" w:hint="eastAsia"/>
          <w:sz w:val="24"/>
        </w:rPr>
        <w:t>基金份额持有人</w:t>
      </w:r>
      <w:r>
        <w:rPr>
          <w:rFonts w:ascii="宋体" w:hAnsi="宋体" w:hint="eastAsia"/>
          <w:sz w:val="24"/>
          <w:szCs w:val="24"/>
        </w:rPr>
        <w:t>所</w:t>
      </w:r>
      <w:r>
        <w:rPr>
          <w:rFonts w:ascii="宋体" w:hAnsi="宋体" w:hint="eastAsia"/>
          <w:sz w:val="24"/>
        </w:rPr>
        <w:t>持有的基金份额</w:t>
      </w:r>
      <w:r>
        <w:rPr>
          <w:rFonts w:ascii="宋体" w:hAnsi="宋体" w:hint="eastAsia"/>
          <w:sz w:val="24"/>
          <w:szCs w:val="24"/>
        </w:rPr>
        <w:t>小于在权益登记日基金总份额</w:t>
      </w:r>
      <w:r>
        <w:rPr>
          <w:rFonts w:ascii="宋体" w:hAnsi="宋体" w:hint="eastAsia"/>
          <w:sz w:val="24"/>
        </w:rPr>
        <w:t>的</w:t>
      </w:r>
      <w:r>
        <w:rPr>
          <w:rFonts w:ascii="宋体" w:hAnsi="宋体" w:hint="eastAsia"/>
          <w:sz w:val="24"/>
          <w:szCs w:val="24"/>
        </w:rPr>
        <w:t>二分之一</w:t>
      </w:r>
      <w:r>
        <w:rPr>
          <w:rFonts w:ascii="宋体" w:hAnsi="宋体" w:hint="eastAsia"/>
          <w:sz w:val="24"/>
        </w:rPr>
        <w:t>，召集人可以在原公告的基金份额持有人大会召开时间的</w:t>
      </w:r>
      <w:r>
        <w:rPr>
          <w:rFonts w:ascii="宋体" w:hAnsi="宋体" w:hint="eastAsia"/>
          <w:sz w:val="24"/>
          <w:szCs w:val="24"/>
        </w:rPr>
        <w:t>3个月</w:t>
      </w:r>
      <w:r>
        <w:rPr>
          <w:rFonts w:ascii="宋体" w:hAnsi="宋体" w:hint="eastAsia"/>
          <w:sz w:val="24"/>
        </w:rPr>
        <w:t>以后、</w:t>
      </w:r>
      <w:r>
        <w:rPr>
          <w:rFonts w:ascii="宋体" w:hAnsi="宋体" w:hint="eastAsia"/>
          <w:sz w:val="24"/>
          <w:szCs w:val="24"/>
        </w:rPr>
        <w:t>6个月</w:t>
      </w:r>
      <w:r>
        <w:rPr>
          <w:rFonts w:ascii="宋体" w:hAnsi="宋体" w:hint="eastAsia"/>
          <w:sz w:val="24"/>
        </w:rPr>
        <w:t>以内，就原定审议事项重新召集基金份额持有人大会。重新召集的基金份额持有人大会应当有代表三分之一以上</w:t>
      </w:r>
      <w:r>
        <w:rPr>
          <w:rFonts w:ascii="宋体" w:hAnsi="宋体" w:hint="eastAsia"/>
          <w:sz w:val="24"/>
          <w:szCs w:val="24"/>
        </w:rPr>
        <w:t>（含三分之一）</w:t>
      </w:r>
      <w:r>
        <w:rPr>
          <w:rFonts w:ascii="宋体" w:hAnsi="宋体" w:hint="eastAsia"/>
          <w:sz w:val="24"/>
        </w:rPr>
        <w:t>基金份额的</w:t>
      </w:r>
      <w:r>
        <w:rPr>
          <w:rFonts w:ascii="宋体" w:hAnsi="宋体" w:hint="eastAsia"/>
          <w:sz w:val="24"/>
          <w:szCs w:val="24"/>
        </w:rPr>
        <w:t>基金份额持有人直接出具表决意见或授权他</w:t>
      </w:r>
      <w:r>
        <w:rPr>
          <w:rFonts w:ascii="宋体" w:hAnsi="宋体" w:hint="eastAsia"/>
          <w:sz w:val="24"/>
          <w:szCs w:val="24"/>
        </w:rPr>
        <w:lastRenderedPageBreak/>
        <w:t>人代表出具表决意见；</w:t>
      </w:r>
    </w:p>
    <w:p w14:paraId="174711A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（4）上述第（3）项中直接出具</w:t>
      </w:r>
      <w:r>
        <w:rPr>
          <w:rFonts w:ascii="宋体" w:hAnsi="宋体" w:hint="eastAsia"/>
          <w:sz w:val="24"/>
          <w:szCs w:val="24"/>
        </w:rPr>
        <w:t>表决</w:t>
      </w:r>
      <w:r>
        <w:rPr>
          <w:rFonts w:ascii="宋体" w:hAnsi="宋体" w:hint="eastAsia"/>
          <w:sz w:val="24"/>
        </w:rPr>
        <w:t>意见的基金份额持有人或受托代表他人出具</w:t>
      </w:r>
      <w:r>
        <w:rPr>
          <w:rFonts w:ascii="宋体" w:hAnsi="宋体" w:hint="eastAsia"/>
          <w:sz w:val="24"/>
          <w:szCs w:val="24"/>
        </w:rPr>
        <w:t>表决</w:t>
      </w:r>
      <w:r>
        <w:rPr>
          <w:rFonts w:ascii="宋体" w:hAnsi="宋体" w:hint="eastAsia"/>
          <w:sz w:val="24"/>
        </w:rPr>
        <w:t>意见的代理人，同时提交的持有基金份额的凭证、受托出具</w:t>
      </w:r>
      <w:r>
        <w:rPr>
          <w:rFonts w:ascii="宋体" w:hAnsi="宋体" w:hint="eastAsia"/>
          <w:sz w:val="24"/>
          <w:szCs w:val="24"/>
        </w:rPr>
        <w:t>表决</w:t>
      </w:r>
      <w:r>
        <w:rPr>
          <w:rFonts w:ascii="宋体" w:hAnsi="宋体" w:hint="eastAsia"/>
          <w:sz w:val="24"/>
        </w:rPr>
        <w:t>意见的代理人出具的委托人持有基金份额的凭证及委托人的代理投票授权委托证明符合法律法规、</w:t>
      </w:r>
      <w:r>
        <w:rPr>
          <w:rFonts w:ascii="宋体" w:hAnsi="宋体" w:hint="eastAsia"/>
          <w:sz w:val="24"/>
          <w:szCs w:val="24"/>
        </w:rPr>
        <w:t>基金合同</w:t>
      </w:r>
      <w:r>
        <w:rPr>
          <w:rFonts w:ascii="宋体" w:hAnsi="宋体" w:hint="eastAsia"/>
          <w:sz w:val="24"/>
        </w:rPr>
        <w:t>和会议通知的规定，并与基金登记机构记录相符</w:t>
      </w:r>
      <w:r>
        <w:rPr>
          <w:rFonts w:ascii="宋体" w:hAnsi="宋体" w:hint="eastAsia"/>
          <w:sz w:val="24"/>
          <w:szCs w:val="24"/>
        </w:rPr>
        <w:t>。</w:t>
      </w:r>
    </w:p>
    <w:p w14:paraId="4BEA6D47" w14:textId="77777777" w:rsidR="00E82AF4" w:rsidRDefault="005B2E6A">
      <w:pPr>
        <w:adjustRightInd w:val="0"/>
        <w:snapToGrid w:val="0"/>
        <w:spacing w:line="360" w:lineRule="auto"/>
        <w:ind w:firstLineChars="200" w:firstLine="480"/>
        <w:rPr>
          <w:rFonts w:ascii="宋体" w:hAnsi="宋体"/>
          <w:bCs/>
          <w:sz w:val="24"/>
          <w:szCs w:val="24"/>
        </w:rPr>
      </w:pPr>
      <w:r>
        <w:rPr>
          <w:rFonts w:ascii="宋体" w:hAnsi="宋体" w:hint="eastAsia"/>
          <w:sz w:val="24"/>
          <w:szCs w:val="24"/>
        </w:rPr>
        <w:t>3、在不违反法律法规或监管机构规定的情况下，经会议通知载明，本基金亦可采用其他非现场方式或者以现场方式与非现场方式相结合的方式召开基金份额持有人大会，会议程序比照现场开会和通讯方式开会的程序进行。</w:t>
      </w:r>
      <w:r>
        <w:rPr>
          <w:rFonts w:ascii="宋体" w:hAnsi="宋体" w:hint="eastAsia"/>
          <w:bCs/>
          <w:sz w:val="24"/>
          <w:szCs w:val="24"/>
        </w:rPr>
        <w:t>基金份额持有人可以采用书面、网络、电话、短信或其他方式进行表决，具体方式由会议召集人确定并在会议通知中列明。</w:t>
      </w:r>
    </w:p>
    <w:p w14:paraId="45402741"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4、基金份额持有人授权他人代为出席会议并表决的，在不违反法律法规或监管机构规定的情况下，授权方式可以采用书面、网络、电话、短信或其他方式，召集人接受的具体授权方式在会议通知中列明。</w:t>
      </w:r>
      <w:bookmarkStart w:id="256" w:name="_Toc57530247"/>
      <w:bookmarkStart w:id="257" w:name="_Toc15641224"/>
      <w:bookmarkStart w:id="258" w:name="_Toc79392588"/>
    </w:p>
    <w:p w14:paraId="3B8D321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五、议事内容与程序</w:t>
      </w:r>
      <w:bookmarkEnd w:id="256"/>
      <w:bookmarkEnd w:id="257"/>
      <w:bookmarkEnd w:id="258"/>
    </w:p>
    <w:p w14:paraId="7790E02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1、议事内容及提案权</w:t>
      </w:r>
    </w:p>
    <w:p w14:paraId="017EA7FE"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rPr>
        <w:t>议事内容为关系基金份额持有人利益的重大事项，如</w:t>
      </w:r>
      <w:r>
        <w:rPr>
          <w:rFonts w:ascii="宋体" w:hAnsi="宋体" w:hint="eastAsia"/>
          <w:sz w:val="24"/>
          <w:szCs w:val="24"/>
        </w:rPr>
        <w:t>基金合同</w:t>
      </w:r>
      <w:r>
        <w:rPr>
          <w:rFonts w:ascii="宋体" w:hAnsi="宋体" w:hint="eastAsia"/>
          <w:sz w:val="24"/>
        </w:rPr>
        <w:t>的重大修改、决定终止</w:t>
      </w:r>
      <w:r>
        <w:rPr>
          <w:rFonts w:ascii="宋体" w:hAnsi="宋体" w:hint="eastAsia"/>
          <w:sz w:val="24"/>
          <w:szCs w:val="24"/>
        </w:rPr>
        <w:t>基金合同</w:t>
      </w:r>
      <w:r>
        <w:rPr>
          <w:rFonts w:ascii="宋体" w:hAnsi="宋体" w:hint="eastAsia"/>
          <w:sz w:val="24"/>
        </w:rPr>
        <w:t>、更换基金管理人、更换基金托管人、与其他基金合并、法律法规及</w:t>
      </w:r>
      <w:r>
        <w:rPr>
          <w:rFonts w:ascii="宋体" w:hAnsi="宋体" w:hint="eastAsia"/>
          <w:sz w:val="24"/>
          <w:szCs w:val="24"/>
        </w:rPr>
        <w:t>基金合同</w:t>
      </w:r>
      <w:r>
        <w:rPr>
          <w:rFonts w:ascii="宋体" w:hAnsi="宋体" w:hint="eastAsia"/>
          <w:sz w:val="24"/>
        </w:rPr>
        <w:t>规定的其他事项以及会议召集人认为需提交基金份额持有人大会讨论的其他事项</w:t>
      </w:r>
      <w:r>
        <w:rPr>
          <w:rFonts w:ascii="宋体" w:hAnsi="宋体" w:hint="eastAsia"/>
          <w:sz w:val="24"/>
          <w:szCs w:val="24"/>
        </w:rPr>
        <w:t>（但本基金合同另有约定的除外）。</w:t>
      </w:r>
    </w:p>
    <w:p w14:paraId="7948B57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szCs w:val="24"/>
        </w:rPr>
        <w:t>基金管理人、基金托管人、单独或合并持有权益登记日基金总份额10</w:t>
      </w:r>
      <w:r>
        <w:rPr>
          <w:sz w:val="24"/>
        </w:rPr>
        <w:t>%</w:t>
      </w:r>
      <w:r>
        <w:rPr>
          <w:rFonts w:ascii="宋体" w:hAnsi="宋体" w:hint="eastAsia"/>
          <w:sz w:val="24"/>
          <w:szCs w:val="24"/>
        </w:rPr>
        <w:t>（含10</w:t>
      </w:r>
      <w:r>
        <w:rPr>
          <w:sz w:val="24"/>
        </w:rPr>
        <w:t>%</w:t>
      </w:r>
      <w:r>
        <w:rPr>
          <w:rFonts w:ascii="宋体" w:hAnsi="宋体" w:hint="eastAsia"/>
          <w:sz w:val="24"/>
          <w:szCs w:val="24"/>
        </w:rPr>
        <w:t>）以上的基金份额持有人可以在基金份额持有人大会召集人发出会议通知前向大会召集人提交需由基金份额持有人大会审议表决的提案；也可以在会议通知发出后向大会召集人提交临时提案</w:t>
      </w:r>
      <w:r>
        <w:rPr>
          <w:rFonts w:ascii="宋体" w:hAnsi="宋体" w:hint="eastAsia"/>
          <w:sz w:val="24"/>
        </w:rPr>
        <w:t>。</w:t>
      </w:r>
    </w:p>
    <w:p w14:paraId="72A0370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基金份额持有人大会的召集人发出召集会议的通知后，对原有提案的修改应当在基金份额持有人大会召开前及时公告。</w:t>
      </w:r>
    </w:p>
    <w:p w14:paraId="68D4487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基金份额持有人大会不得对未事先公告的议事内容进行表决。</w:t>
      </w:r>
    </w:p>
    <w:p w14:paraId="3848F93D"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召集人对于基金管理人、基金托管人和基金份额持有人提交的临时提案进行审核，符合条件的应当在大会召开日30天前公告。大会召集人应当按照以下原则对提案进行审核：</w:t>
      </w:r>
    </w:p>
    <w:p w14:paraId="2B4C0101"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（1）关联性。大会召集人对于提案涉及事项与基金有直接关系，并且不超</w:t>
      </w:r>
      <w:r>
        <w:rPr>
          <w:rFonts w:ascii="宋体" w:hAnsi="宋体" w:hint="eastAsia"/>
          <w:sz w:val="24"/>
          <w:szCs w:val="24"/>
        </w:rPr>
        <w:lastRenderedPageBreak/>
        <w:t>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14:paraId="0389D025"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2）程序性。大会召集人可以对提案涉及的程序性问题做出决定。如将提案进行分拆或合并表决，需征得原提案人同意；原提案人不同意变更的，大会主持人可以就程序性问题提请基金份额持有人大会做出决定，并按照基金份额持有人大会决定的程序进行审议。</w:t>
      </w:r>
    </w:p>
    <w:p w14:paraId="32E0503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2、议事程序</w:t>
      </w:r>
    </w:p>
    <w:p w14:paraId="2C024AB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（1）现场开会</w:t>
      </w:r>
    </w:p>
    <w:p w14:paraId="4F76869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在现场开会的方式下，首先由大会主持人按照规定程序</w:t>
      </w:r>
      <w:r>
        <w:rPr>
          <w:rFonts w:ascii="宋体" w:hAnsi="宋体" w:hint="eastAsia"/>
          <w:sz w:val="24"/>
          <w:szCs w:val="24"/>
        </w:rPr>
        <w:t>宣布会议议事程序及注意事项，</w:t>
      </w:r>
      <w:r>
        <w:rPr>
          <w:rFonts w:ascii="宋体" w:hAnsi="宋体" w:hint="eastAsia"/>
          <w:sz w:val="24"/>
        </w:rPr>
        <w:t>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hAnsi="宋体" w:hint="eastAsia"/>
          <w:sz w:val="24"/>
          <w:szCs w:val="24"/>
        </w:rPr>
        <w:t>5</w:t>
      </w:r>
      <w:r>
        <w:rPr>
          <w:rFonts w:ascii="宋体" w:hAnsi="宋体"/>
          <w:sz w:val="24"/>
          <w:szCs w:val="24"/>
        </w:rPr>
        <w:t>0</w:t>
      </w:r>
      <w:r>
        <w:rPr>
          <w:sz w:val="24"/>
        </w:rPr>
        <w:t>%</w:t>
      </w:r>
      <w:r>
        <w:rPr>
          <w:rFonts w:ascii="宋体" w:hAnsi="宋体" w:hint="eastAsia"/>
          <w:sz w:val="24"/>
        </w:rPr>
        <w:t>以上（含</w:t>
      </w:r>
      <w:r>
        <w:rPr>
          <w:rFonts w:ascii="宋体" w:hAnsi="宋体" w:hint="eastAsia"/>
          <w:sz w:val="24"/>
          <w:szCs w:val="24"/>
        </w:rPr>
        <w:t>5</w:t>
      </w:r>
      <w:r>
        <w:rPr>
          <w:rFonts w:ascii="宋体" w:hAnsi="宋体"/>
          <w:sz w:val="24"/>
          <w:szCs w:val="24"/>
        </w:rPr>
        <w:t>0</w:t>
      </w:r>
      <w:r>
        <w:rPr>
          <w:sz w:val="24"/>
        </w:rPr>
        <w:t>%</w:t>
      </w:r>
      <w:r>
        <w:rPr>
          <w:rFonts w:ascii="宋体" w:hAnsi="宋体" w:hint="eastAsia"/>
          <w:sz w:val="24"/>
        </w:rPr>
        <w:t>）选举产生一名基金份额持有人作为该次基金份额持有人大会的主持人。基金管理人和基金托管人拒不出席或主持基金份额持有人大会，不影响基金份额持有人大会作出的决议的效力。</w:t>
      </w:r>
    </w:p>
    <w:p w14:paraId="6852A0F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会议召集人应当制作出席会议人员的签名册。签名册载明参加会议人员姓名（或单位名称）、身份证明文件号码、持有或代表有表决权的基金份额、委托人姓名（或单位名称）和联系方式等事项。</w:t>
      </w:r>
    </w:p>
    <w:p w14:paraId="3C77C04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（2）通讯开会</w:t>
      </w:r>
    </w:p>
    <w:p w14:paraId="4AA11F0C" w14:textId="77777777" w:rsidR="00E82AF4" w:rsidRDefault="005B2E6A">
      <w:pPr>
        <w:adjustRightInd w:val="0"/>
        <w:snapToGrid w:val="0"/>
        <w:spacing w:line="360" w:lineRule="auto"/>
        <w:ind w:firstLineChars="200" w:firstLine="480"/>
        <w:rPr>
          <w:rFonts w:ascii="宋体" w:hAnsi="宋体"/>
          <w:sz w:val="24"/>
        </w:rPr>
      </w:pPr>
      <w:bookmarkStart w:id="259" w:name="OLE_LINK32"/>
      <w:bookmarkStart w:id="260" w:name="OLE_LINK33"/>
      <w:r>
        <w:rPr>
          <w:rFonts w:ascii="宋体" w:hAnsi="宋体" w:hint="eastAsia"/>
          <w:sz w:val="24"/>
        </w:rPr>
        <w:t>在通讯开会的情况下，首先由召集人提前</w:t>
      </w:r>
      <w:r>
        <w:rPr>
          <w:rFonts w:ascii="宋体" w:hAnsi="宋体" w:hint="eastAsia"/>
          <w:sz w:val="24"/>
          <w:szCs w:val="24"/>
        </w:rPr>
        <w:t>30</w:t>
      </w:r>
      <w:r>
        <w:rPr>
          <w:rFonts w:ascii="宋体" w:hAnsi="宋体" w:hint="eastAsia"/>
          <w:sz w:val="24"/>
        </w:rPr>
        <w:t>日公布提案，在所通知的表决截止日期后</w:t>
      </w:r>
      <w:r>
        <w:rPr>
          <w:rFonts w:ascii="宋体" w:hAnsi="宋体"/>
          <w:sz w:val="24"/>
          <w:szCs w:val="24"/>
        </w:rPr>
        <w:t>2</w:t>
      </w:r>
      <w:r>
        <w:rPr>
          <w:rFonts w:ascii="宋体" w:hAnsi="宋体" w:hint="eastAsia"/>
          <w:sz w:val="24"/>
        </w:rPr>
        <w:t>个工作日内在公证机关</w:t>
      </w:r>
      <w:bookmarkEnd w:id="259"/>
      <w:bookmarkEnd w:id="260"/>
      <w:r>
        <w:rPr>
          <w:rFonts w:ascii="宋体" w:hAnsi="宋体" w:hint="eastAsia"/>
          <w:sz w:val="24"/>
        </w:rPr>
        <w:t>监督下由召集人统计全部有效表决，在公证机关监督下形成决议。</w:t>
      </w:r>
      <w:bookmarkStart w:id="261" w:name="_Toc15641225"/>
      <w:bookmarkStart w:id="262" w:name="_Toc79392589"/>
      <w:bookmarkStart w:id="263" w:name="_Toc57530248"/>
    </w:p>
    <w:p w14:paraId="62B4224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六、表决</w:t>
      </w:r>
      <w:bookmarkEnd w:id="261"/>
      <w:bookmarkEnd w:id="262"/>
      <w:bookmarkEnd w:id="263"/>
    </w:p>
    <w:p w14:paraId="1D178DA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基金份额持有人所持每份基金份额有一票表决权。</w:t>
      </w:r>
    </w:p>
    <w:p w14:paraId="75C7FF5D"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基金份额持有人大会决议分为一般决议和特别决议：</w:t>
      </w:r>
    </w:p>
    <w:p w14:paraId="31E94E5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1、一般决议，一般决议须经参加大会的基金份额持有人或其代理人所持表</w:t>
      </w:r>
      <w:r>
        <w:rPr>
          <w:rFonts w:ascii="宋体" w:hAnsi="宋体" w:hint="eastAsia"/>
          <w:sz w:val="24"/>
        </w:rPr>
        <w:lastRenderedPageBreak/>
        <w:t>决权的</w:t>
      </w:r>
      <w:r>
        <w:rPr>
          <w:rFonts w:ascii="宋体" w:hAnsi="宋体" w:hint="eastAsia"/>
          <w:sz w:val="24"/>
          <w:szCs w:val="24"/>
        </w:rPr>
        <w:t>二分之一</w:t>
      </w:r>
      <w:r>
        <w:rPr>
          <w:rFonts w:ascii="宋体" w:hAnsi="宋体" w:hint="eastAsia"/>
          <w:sz w:val="24"/>
        </w:rPr>
        <w:t>以上（含</w:t>
      </w:r>
      <w:r>
        <w:rPr>
          <w:rFonts w:ascii="宋体" w:hAnsi="宋体" w:hint="eastAsia"/>
          <w:sz w:val="24"/>
          <w:szCs w:val="24"/>
        </w:rPr>
        <w:t>二分之一</w:t>
      </w:r>
      <w:r>
        <w:rPr>
          <w:rFonts w:ascii="宋体" w:hAnsi="宋体" w:hint="eastAsia"/>
          <w:sz w:val="24"/>
        </w:rPr>
        <w:t>）通过方为有效；除下列第2项所规定的须以特别决议通过事项以外的其他事项均以一般决议的方式通过。</w:t>
      </w:r>
    </w:p>
    <w:p w14:paraId="1844363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2、特别决议，特别决议应当经参加大会的基金份额持有人或其代理人所持表决权的</w:t>
      </w:r>
      <w:r>
        <w:rPr>
          <w:rFonts w:ascii="宋体" w:hAnsi="宋体" w:hint="eastAsia"/>
          <w:sz w:val="24"/>
          <w:szCs w:val="24"/>
        </w:rPr>
        <w:t>三分之二</w:t>
      </w:r>
      <w:r>
        <w:rPr>
          <w:rFonts w:ascii="宋体" w:hAnsi="宋体" w:hint="eastAsia"/>
          <w:sz w:val="24"/>
        </w:rPr>
        <w:t>以上（含</w:t>
      </w:r>
      <w:r>
        <w:rPr>
          <w:rFonts w:ascii="宋体" w:hAnsi="宋体" w:hint="eastAsia"/>
          <w:sz w:val="24"/>
          <w:szCs w:val="24"/>
        </w:rPr>
        <w:t>三分之二</w:t>
      </w:r>
      <w:r>
        <w:rPr>
          <w:rFonts w:ascii="宋体" w:hAnsi="宋体" w:hint="eastAsia"/>
          <w:sz w:val="24"/>
        </w:rPr>
        <w:t>）通过方可做出。</w:t>
      </w:r>
      <w:r>
        <w:rPr>
          <w:rFonts w:ascii="宋体" w:hAnsi="宋体" w:hint="eastAsia"/>
          <w:sz w:val="24"/>
          <w:szCs w:val="24"/>
        </w:rPr>
        <w:t>除</w:t>
      </w:r>
      <w:r>
        <w:rPr>
          <w:rFonts w:ascii="宋体" w:hAnsi="宋体" w:hint="eastAsia"/>
          <w:bCs/>
          <w:sz w:val="24"/>
          <w:szCs w:val="24"/>
        </w:rPr>
        <w:t>法律法规、监管机构另有规定或</w:t>
      </w:r>
      <w:r>
        <w:rPr>
          <w:rFonts w:ascii="宋体" w:hAnsi="宋体" w:hint="eastAsia"/>
          <w:sz w:val="24"/>
          <w:szCs w:val="24"/>
        </w:rPr>
        <w:t>本基金合同另有约定外，</w:t>
      </w:r>
      <w:r>
        <w:rPr>
          <w:rFonts w:ascii="宋体" w:hAnsi="宋体" w:hint="eastAsia"/>
          <w:sz w:val="24"/>
        </w:rPr>
        <w:t>转换基金运作方式、更换基金管理人或者基金托管人、终止</w:t>
      </w:r>
      <w:r>
        <w:rPr>
          <w:rFonts w:ascii="宋体" w:hAnsi="宋体" w:hint="eastAsia"/>
          <w:sz w:val="24"/>
          <w:szCs w:val="24"/>
        </w:rPr>
        <w:t>基金合同、本基金</w:t>
      </w:r>
      <w:r>
        <w:rPr>
          <w:rFonts w:ascii="宋体" w:hAnsi="宋体" w:hint="eastAsia"/>
          <w:sz w:val="24"/>
        </w:rPr>
        <w:t>与其他基金合并以特别决议通过方为有效。</w:t>
      </w:r>
    </w:p>
    <w:p w14:paraId="015328B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基金份额持有人大会采取记名方式进行投票表决。</w:t>
      </w:r>
    </w:p>
    <w:p w14:paraId="17B885A2"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采取通讯方式进行表决时，除非在计票时</w:t>
      </w:r>
      <w:r>
        <w:rPr>
          <w:rFonts w:ascii="宋体" w:hAnsi="宋体" w:hint="eastAsia"/>
          <w:sz w:val="24"/>
          <w:szCs w:val="24"/>
        </w:rPr>
        <w:t>监督员及公证机关均认为</w:t>
      </w:r>
      <w:r>
        <w:rPr>
          <w:rFonts w:ascii="宋体" w:hAnsi="宋体" w:hint="eastAsia"/>
          <w:sz w:val="24"/>
        </w:rPr>
        <w:t>有充分的相反证据证明，否则提交符合会议通知中规定的确认</w:t>
      </w:r>
      <w:r>
        <w:rPr>
          <w:rFonts w:ascii="宋体" w:hAnsi="宋体" w:hint="eastAsia"/>
          <w:sz w:val="24"/>
          <w:szCs w:val="24"/>
        </w:rPr>
        <w:t>投资人</w:t>
      </w:r>
      <w:r>
        <w:rPr>
          <w:rFonts w:ascii="宋体" w:hAnsi="宋体" w:hint="eastAsia"/>
          <w:sz w:val="24"/>
        </w:rPr>
        <w:t>身份文件的表决视为有效出席的</w:t>
      </w:r>
      <w:r>
        <w:rPr>
          <w:rFonts w:ascii="宋体" w:hAnsi="宋体" w:hint="eastAsia"/>
          <w:sz w:val="24"/>
          <w:szCs w:val="24"/>
        </w:rPr>
        <w:t>投资人</w:t>
      </w:r>
      <w:r>
        <w:rPr>
          <w:rFonts w:ascii="宋体" w:hAnsi="宋体" w:hint="eastAsia"/>
          <w:sz w:val="24"/>
        </w:rPr>
        <w:t>，表面符合会议通知规定的表决意见视为有效表决，表决意见模糊不清或相互矛盾的视为弃权表决，但应当计入出具</w:t>
      </w:r>
      <w:r>
        <w:rPr>
          <w:rFonts w:ascii="宋体" w:hAnsi="宋体" w:hint="eastAsia"/>
          <w:sz w:val="24"/>
          <w:szCs w:val="24"/>
        </w:rPr>
        <w:t>表决</w:t>
      </w:r>
      <w:r>
        <w:rPr>
          <w:rFonts w:ascii="宋体" w:hAnsi="宋体" w:hint="eastAsia"/>
          <w:sz w:val="24"/>
        </w:rPr>
        <w:t>意见的基金份额持有人所代表的基金份额总数。</w:t>
      </w:r>
    </w:p>
    <w:p w14:paraId="3652822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基金份额持有人大会的各项提案或同一项提案内并列的各项议题应当分开审议、逐项表决。</w:t>
      </w:r>
    </w:p>
    <w:p w14:paraId="0FDF88CC"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sz w:val="24"/>
          <w:szCs w:val="24"/>
        </w:rPr>
        <w:t>在上述规则的前提下，具体规则以召集人发布的基金份额持有人大会通知为准。</w:t>
      </w:r>
      <w:bookmarkStart w:id="264" w:name="_Toc57530249"/>
      <w:bookmarkStart w:id="265" w:name="_Toc79392590"/>
      <w:bookmarkStart w:id="266" w:name="_Toc15641226"/>
    </w:p>
    <w:p w14:paraId="7B53210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七、计票</w:t>
      </w:r>
      <w:bookmarkEnd w:id="264"/>
      <w:bookmarkEnd w:id="265"/>
      <w:bookmarkEnd w:id="266"/>
    </w:p>
    <w:p w14:paraId="5D0FFE5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1、现场开会</w:t>
      </w:r>
    </w:p>
    <w:p w14:paraId="784BF6C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w:t>
      </w:r>
      <w:r>
        <w:rPr>
          <w:rFonts w:ascii="宋体" w:hAnsi="宋体" w:hint="eastAsia"/>
          <w:sz w:val="24"/>
          <w:szCs w:val="24"/>
        </w:rPr>
        <w:t>人和代理人</w:t>
      </w:r>
      <w:r>
        <w:rPr>
          <w:rFonts w:ascii="宋体" w:hAnsi="宋体" w:hint="eastAsia"/>
          <w:sz w:val="24"/>
        </w:rPr>
        <w:t>中选举三名基金份额持有人代表担任监票人。基金管理人或基金托管人不出席大会的，不影响计票的效力。</w:t>
      </w:r>
    </w:p>
    <w:p w14:paraId="72494BFB"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（2）监票人应当在基金份额持有人表决后立即进行清点并由大会主持人当场公布计票结果。</w:t>
      </w:r>
    </w:p>
    <w:p w14:paraId="19CF773D"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（3）如果会议主持人或基金份额持有人或代理人对于提交的表决结果有</w:t>
      </w:r>
      <w:r>
        <w:rPr>
          <w:rFonts w:ascii="宋体" w:hAnsi="宋体" w:hint="eastAsia"/>
          <w:sz w:val="24"/>
          <w:szCs w:val="24"/>
        </w:rPr>
        <w:t>异议</w:t>
      </w:r>
      <w:r>
        <w:rPr>
          <w:rFonts w:ascii="宋体" w:hAnsi="宋体" w:hint="eastAsia"/>
          <w:sz w:val="24"/>
        </w:rPr>
        <w:t>，可以在宣布表决结果后立即对所投票数要求进行重新清点。监票人应当进行重新清点，重新清点以一次为限。重新清点后，大会主持人应当当场公布重新清</w:t>
      </w:r>
      <w:r>
        <w:rPr>
          <w:rFonts w:ascii="宋体" w:hAnsi="宋体" w:hint="eastAsia"/>
          <w:sz w:val="24"/>
        </w:rPr>
        <w:lastRenderedPageBreak/>
        <w:t>点结果。</w:t>
      </w:r>
    </w:p>
    <w:p w14:paraId="542835D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（4）计票过程应由公证机关予以公证</w:t>
      </w:r>
      <w:r>
        <w:rPr>
          <w:rFonts w:ascii="宋体" w:hAnsi="宋体" w:hint="eastAsia"/>
          <w:sz w:val="24"/>
          <w:szCs w:val="24"/>
        </w:rPr>
        <w:t>，</w:t>
      </w:r>
      <w:r>
        <w:rPr>
          <w:rFonts w:ascii="宋体" w:hAnsi="宋体" w:hint="eastAsia"/>
          <w:sz w:val="24"/>
        </w:rPr>
        <w:t>基金管理人或基金托管人拒不出席大会的，不影响计票的效力。</w:t>
      </w:r>
    </w:p>
    <w:p w14:paraId="7835743D"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2、通讯开会</w:t>
      </w:r>
    </w:p>
    <w:p w14:paraId="32E6E013"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bookmarkStart w:id="267" w:name="_Toc57530250"/>
      <w:bookmarkStart w:id="268" w:name="_Toc79392591"/>
      <w:bookmarkStart w:id="269" w:name="_Toc15641227"/>
    </w:p>
    <w:p w14:paraId="6F5AA5A4"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八、生效与公告</w:t>
      </w:r>
      <w:bookmarkEnd w:id="267"/>
      <w:bookmarkEnd w:id="268"/>
      <w:bookmarkEnd w:id="269"/>
    </w:p>
    <w:p w14:paraId="29BCD43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基金份额持有人大会的决议，召集人应当自通过之日起</w:t>
      </w:r>
      <w:r>
        <w:rPr>
          <w:rFonts w:ascii="宋体" w:hAnsi="宋体" w:hint="eastAsia"/>
          <w:sz w:val="24"/>
          <w:szCs w:val="24"/>
        </w:rPr>
        <w:t>5</w:t>
      </w:r>
      <w:r>
        <w:rPr>
          <w:rFonts w:ascii="宋体" w:hAnsi="宋体" w:hint="eastAsia"/>
          <w:sz w:val="24"/>
        </w:rPr>
        <w:t>日内报中国证监会备案。</w:t>
      </w:r>
    </w:p>
    <w:p w14:paraId="4723B0A1"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w:t>
      </w:r>
      <w:r>
        <w:rPr>
          <w:rFonts w:ascii="宋体" w:hAnsi="宋体" w:hint="eastAsia"/>
          <w:sz w:val="24"/>
          <w:szCs w:val="24"/>
        </w:rPr>
        <w:t>的</w:t>
      </w:r>
      <w:r>
        <w:rPr>
          <w:rFonts w:ascii="宋体" w:hAnsi="宋体" w:hint="eastAsia"/>
          <w:sz w:val="24"/>
        </w:rPr>
        <w:t>决议自表决通过之日起生效。</w:t>
      </w:r>
    </w:p>
    <w:p w14:paraId="6DA35F09"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基金份额持有人大会决议自生效之日起</w:t>
      </w:r>
      <w:r>
        <w:rPr>
          <w:rFonts w:ascii="宋体" w:hAnsi="宋体" w:hint="eastAsia"/>
          <w:sz w:val="24"/>
          <w:szCs w:val="24"/>
        </w:rPr>
        <w:t>依照《信息披露办法》的有关规定</w:t>
      </w:r>
      <w:r>
        <w:rPr>
          <w:rFonts w:ascii="宋体" w:hAnsi="宋体" w:hint="eastAsia"/>
          <w:sz w:val="24"/>
        </w:rPr>
        <w:t>在规定媒介上公告。</w:t>
      </w:r>
      <w:bookmarkStart w:id="270" w:name="_Hlt88820702"/>
      <w:bookmarkEnd w:id="270"/>
    </w:p>
    <w:p w14:paraId="0BDB3D65"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基金管理人、基金托管人和基金份额持有人应当执行生效的基金份额持有人大会的决议。生效的基金份额持有人大会决议对全体基金份额持有人、基金管理人、基金托管人均有约束力。</w:t>
      </w:r>
      <w:bookmarkStart w:id="271" w:name="_Toc1745"/>
      <w:bookmarkStart w:id="272" w:name="_Toc3963"/>
    </w:p>
    <w:p w14:paraId="0AB19E5F"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bCs/>
          <w:sz w:val="24"/>
          <w:szCs w:val="24"/>
        </w:rPr>
        <w:t>九、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p>
    <w:p w14:paraId="103B76FE" w14:textId="77777777" w:rsidR="00E82AF4" w:rsidRDefault="005B2E6A">
      <w:pPr>
        <w:pStyle w:val="1"/>
        <w:spacing w:before="0" w:after="0"/>
        <w:jc w:val="center"/>
        <w:rPr>
          <w:rFonts w:ascii="Times New Roman"/>
          <w:color w:val="auto"/>
          <w:sz w:val="30"/>
        </w:rPr>
      </w:pPr>
      <w:bookmarkStart w:id="273" w:name="_Toc18769"/>
      <w:r>
        <w:br w:type="page"/>
      </w:r>
      <w:bookmarkStart w:id="274" w:name="_Toc141703889"/>
      <w:bookmarkStart w:id="275" w:name="_Toc10398"/>
      <w:bookmarkStart w:id="276" w:name="_Toc123051455"/>
      <w:bookmarkStart w:id="277" w:name="_Toc98560355"/>
      <w:bookmarkStart w:id="278" w:name="_Toc21735"/>
      <w:bookmarkStart w:id="279" w:name="_Toc5835"/>
      <w:bookmarkStart w:id="280" w:name="_Toc3080"/>
      <w:bookmarkStart w:id="281" w:name="_Toc31821"/>
      <w:bookmarkStart w:id="282" w:name="_Toc725"/>
      <w:bookmarkStart w:id="283" w:name="_Toc123102456"/>
      <w:bookmarkStart w:id="284" w:name="_Toc123112237"/>
      <w:bookmarkStart w:id="285" w:name="_Toc16164"/>
      <w:bookmarkStart w:id="286" w:name="_Toc3572"/>
      <w:bookmarkStart w:id="287" w:name="_Toc139991739"/>
      <w:bookmarkStart w:id="288" w:name="_Toc18206"/>
      <w:bookmarkStart w:id="289" w:name="_Toc32307766"/>
      <w:bookmarkEnd w:id="243"/>
      <w:r>
        <w:rPr>
          <w:rFonts w:ascii="Times New Roman"/>
          <w:color w:val="auto"/>
          <w:sz w:val="30"/>
        </w:rPr>
        <w:lastRenderedPageBreak/>
        <w:t>第</w:t>
      </w:r>
      <w:r>
        <w:rPr>
          <w:rFonts w:ascii="Times New Roman" w:hint="eastAsia"/>
          <w:color w:val="auto"/>
          <w:sz w:val="30"/>
        </w:rPr>
        <w:t>十一</w:t>
      </w:r>
      <w:r>
        <w:rPr>
          <w:rFonts w:ascii="Times New Roman"/>
          <w:color w:val="auto"/>
          <w:sz w:val="30"/>
        </w:rPr>
        <w:t>部分</w:t>
      </w:r>
      <w:r>
        <w:rPr>
          <w:rFonts w:ascii="Times New Roman"/>
          <w:color w:val="auto"/>
          <w:sz w:val="30"/>
        </w:rPr>
        <w:t xml:space="preserve">  </w:t>
      </w:r>
      <w:r>
        <w:rPr>
          <w:rFonts w:ascii="Times New Roman"/>
          <w:color w:val="auto"/>
          <w:sz w:val="30"/>
        </w:rPr>
        <w:t>基金管理人、基金托管人的更换条件和程序</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8556D4F" w14:textId="77777777" w:rsidR="00E82AF4" w:rsidRDefault="00E82AF4">
      <w:pPr>
        <w:autoSpaceDE w:val="0"/>
        <w:autoSpaceDN w:val="0"/>
        <w:spacing w:line="360" w:lineRule="auto"/>
        <w:textAlignment w:val="bottom"/>
        <w:rPr>
          <w:bCs/>
          <w:sz w:val="24"/>
        </w:rPr>
      </w:pPr>
      <w:bookmarkStart w:id="290" w:name="_Toc57530252"/>
      <w:bookmarkStart w:id="291" w:name="_Toc15118245"/>
      <w:bookmarkStart w:id="292" w:name="_Toc79392593"/>
    </w:p>
    <w:p w14:paraId="484642C8" w14:textId="77777777" w:rsidR="00E82AF4" w:rsidRDefault="005B2E6A">
      <w:pPr>
        <w:pStyle w:val="HD0"/>
        <w:adjustRightInd w:val="0"/>
        <w:ind w:firstLine="480"/>
        <w:rPr>
          <w:rFonts w:ascii="宋体" w:hAnsi="宋体"/>
          <w:sz w:val="24"/>
        </w:rPr>
      </w:pPr>
      <w:r>
        <w:rPr>
          <w:rFonts w:ascii="宋体" w:hAnsi="宋体" w:hint="eastAsia"/>
          <w:sz w:val="24"/>
        </w:rPr>
        <w:t>一、基金管理人和基金托管人职责终止的情形</w:t>
      </w:r>
      <w:bookmarkEnd w:id="290"/>
      <w:bookmarkEnd w:id="291"/>
      <w:bookmarkEnd w:id="292"/>
    </w:p>
    <w:p w14:paraId="1928ABB4" w14:textId="77777777" w:rsidR="00E82AF4" w:rsidRDefault="005B2E6A">
      <w:pPr>
        <w:adjustRightInd w:val="0"/>
        <w:snapToGrid w:val="0"/>
        <w:spacing w:line="360" w:lineRule="auto"/>
        <w:ind w:firstLineChars="200" w:firstLine="480"/>
        <w:rPr>
          <w:rFonts w:ascii="宋体" w:hAnsi="宋体"/>
          <w:sz w:val="24"/>
        </w:rPr>
      </w:pPr>
      <w:bookmarkStart w:id="293" w:name="_Toc22005971"/>
      <w:r>
        <w:rPr>
          <w:rFonts w:ascii="宋体" w:hAnsi="宋体" w:hint="eastAsia"/>
          <w:sz w:val="24"/>
        </w:rPr>
        <w:t>（一）基金管理人职责终止的情形</w:t>
      </w:r>
    </w:p>
    <w:p w14:paraId="7693E277"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有下列情形之一的，基金管理人职责终止：</w:t>
      </w:r>
    </w:p>
    <w:p w14:paraId="1AE2A45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1、被依法取消基金管理资格；</w:t>
      </w:r>
    </w:p>
    <w:p w14:paraId="599DE0CC"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2、被基金份额持有人大会解任；</w:t>
      </w:r>
    </w:p>
    <w:p w14:paraId="39EE8DB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3、依法解散、被依法撤销或被依法宣告破产；</w:t>
      </w:r>
    </w:p>
    <w:p w14:paraId="25F24A3A"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4、法律法规及中国证监会规定的和</w:t>
      </w:r>
      <w:r>
        <w:rPr>
          <w:rFonts w:ascii="宋体" w:hAnsi="宋体" w:hint="eastAsia"/>
          <w:sz w:val="24"/>
          <w:szCs w:val="24"/>
        </w:rPr>
        <w:t>基金合同</w:t>
      </w:r>
      <w:r>
        <w:rPr>
          <w:rFonts w:ascii="宋体" w:hAnsi="宋体" w:hint="eastAsia"/>
          <w:sz w:val="24"/>
        </w:rPr>
        <w:t>约定的其他情形。</w:t>
      </w:r>
    </w:p>
    <w:p w14:paraId="72264038" w14:textId="77777777" w:rsidR="00E82AF4" w:rsidRDefault="005B2E6A">
      <w:pPr>
        <w:pStyle w:val="HD0"/>
        <w:adjustRightInd w:val="0"/>
        <w:ind w:firstLine="480"/>
        <w:rPr>
          <w:rFonts w:ascii="宋体" w:hAnsi="宋体"/>
          <w:sz w:val="24"/>
        </w:rPr>
      </w:pPr>
      <w:bookmarkStart w:id="294" w:name="_Toc22005972"/>
      <w:r>
        <w:rPr>
          <w:rFonts w:ascii="宋体" w:hAnsi="宋体" w:hint="eastAsia"/>
          <w:sz w:val="24"/>
        </w:rPr>
        <w:t>（二）基金托管人职责终止的情形</w:t>
      </w:r>
      <w:bookmarkEnd w:id="294"/>
    </w:p>
    <w:p w14:paraId="72688773" w14:textId="77777777" w:rsidR="00E82AF4" w:rsidRDefault="005B2E6A">
      <w:pPr>
        <w:pStyle w:val="HD0"/>
        <w:adjustRightInd w:val="0"/>
        <w:ind w:firstLine="480"/>
        <w:rPr>
          <w:rFonts w:ascii="宋体" w:hAnsi="宋体"/>
          <w:sz w:val="24"/>
        </w:rPr>
      </w:pPr>
      <w:r>
        <w:rPr>
          <w:rFonts w:ascii="宋体" w:hAnsi="宋体" w:hint="eastAsia"/>
          <w:sz w:val="24"/>
        </w:rPr>
        <w:t>有下列情形之一的，基金托管人职责终止：</w:t>
      </w:r>
    </w:p>
    <w:p w14:paraId="3FA53451" w14:textId="77777777" w:rsidR="00E82AF4" w:rsidRDefault="005B2E6A">
      <w:pPr>
        <w:pStyle w:val="HD0"/>
        <w:adjustRightInd w:val="0"/>
        <w:ind w:firstLine="480"/>
        <w:rPr>
          <w:rFonts w:ascii="宋体" w:hAnsi="宋体"/>
          <w:sz w:val="24"/>
        </w:rPr>
      </w:pPr>
      <w:r>
        <w:rPr>
          <w:rFonts w:ascii="宋体" w:hAnsi="宋体" w:hint="eastAsia"/>
          <w:sz w:val="24"/>
        </w:rPr>
        <w:t>1、被依法取消基金托管资格；</w:t>
      </w:r>
    </w:p>
    <w:p w14:paraId="6D10F527" w14:textId="77777777" w:rsidR="00E82AF4" w:rsidRDefault="005B2E6A">
      <w:pPr>
        <w:pStyle w:val="HD0"/>
        <w:adjustRightInd w:val="0"/>
        <w:ind w:firstLine="480"/>
        <w:rPr>
          <w:rFonts w:ascii="宋体" w:hAnsi="宋体"/>
          <w:sz w:val="24"/>
        </w:rPr>
      </w:pPr>
      <w:r>
        <w:rPr>
          <w:rFonts w:ascii="宋体" w:hAnsi="宋体" w:hint="eastAsia"/>
          <w:sz w:val="24"/>
        </w:rPr>
        <w:t>2、被基金份额持有人大会解任；</w:t>
      </w:r>
    </w:p>
    <w:p w14:paraId="09E78650" w14:textId="77777777" w:rsidR="00E82AF4" w:rsidRDefault="005B2E6A">
      <w:pPr>
        <w:pStyle w:val="HD0"/>
        <w:adjustRightInd w:val="0"/>
        <w:ind w:firstLine="480"/>
        <w:rPr>
          <w:rFonts w:ascii="宋体" w:hAnsi="宋体"/>
          <w:sz w:val="24"/>
        </w:rPr>
      </w:pPr>
      <w:r>
        <w:rPr>
          <w:rFonts w:ascii="宋体" w:hAnsi="宋体" w:hint="eastAsia"/>
          <w:sz w:val="24"/>
        </w:rPr>
        <w:t>3、依法解散、被依法撤销或被依法宣告破产；</w:t>
      </w:r>
    </w:p>
    <w:p w14:paraId="4A6098DF" w14:textId="77777777" w:rsidR="00E82AF4" w:rsidRDefault="005B2E6A">
      <w:pPr>
        <w:pStyle w:val="HD0"/>
        <w:adjustRightInd w:val="0"/>
        <w:ind w:firstLine="480"/>
        <w:rPr>
          <w:rFonts w:ascii="宋体" w:hAnsi="宋体"/>
          <w:sz w:val="24"/>
        </w:rPr>
      </w:pPr>
      <w:r>
        <w:rPr>
          <w:rFonts w:ascii="宋体" w:hAnsi="宋体" w:hint="eastAsia"/>
          <w:sz w:val="24"/>
        </w:rPr>
        <w:t>4、法律法规及中国证监会规定的和</w:t>
      </w:r>
      <w:r>
        <w:rPr>
          <w:rFonts w:ascii="宋体" w:hAnsi="宋体" w:hint="eastAsia"/>
          <w:sz w:val="24"/>
          <w:szCs w:val="24"/>
        </w:rPr>
        <w:t>基金合同</w:t>
      </w:r>
      <w:r>
        <w:rPr>
          <w:rFonts w:ascii="宋体" w:hAnsi="宋体" w:hint="eastAsia"/>
          <w:sz w:val="24"/>
        </w:rPr>
        <w:t>约定的其他情形。</w:t>
      </w:r>
      <w:bookmarkStart w:id="295" w:name="_Toc79392594"/>
      <w:bookmarkStart w:id="296" w:name="_Toc15118246"/>
      <w:bookmarkStart w:id="297" w:name="_Toc57530253"/>
      <w:bookmarkEnd w:id="293"/>
    </w:p>
    <w:p w14:paraId="0E45F365" w14:textId="77777777" w:rsidR="00E82AF4" w:rsidRDefault="005B2E6A">
      <w:pPr>
        <w:pStyle w:val="HD0"/>
        <w:adjustRightInd w:val="0"/>
        <w:ind w:firstLine="480"/>
        <w:rPr>
          <w:rFonts w:ascii="宋体" w:hAnsi="宋体"/>
          <w:sz w:val="24"/>
        </w:rPr>
      </w:pPr>
      <w:r>
        <w:rPr>
          <w:rFonts w:ascii="宋体" w:hAnsi="宋体" w:hint="eastAsia"/>
          <w:sz w:val="24"/>
        </w:rPr>
        <w:t>二、基金管理人和基金托管人的更换程序</w:t>
      </w:r>
      <w:bookmarkEnd w:id="295"/>
      <w:bookmarkEnd w:id="296"/>
      <w:bookmarkEnd w:id="297"/>
    </w:p>
    <w:p w14:paraId="537FC8A5" w14:textId="77777777" w:rsidR="00E82AF4" w:rsidRDefault="005B2E6A">
      <w:pPr>
        <w:pStyle w:val="HD0"/>
        <w:adjustRightInd w:val="0"/>
        <w:ind w:firstLine="480"/>
        <w:rPr>
          <w:rFonts w:ascii="宋体" w:hAnsi="宋体"/>
          <w:sz w:val="24"/>
        </w:rPr>
      </w:pPr>
      <w:bookmarkStart w:id="298" w:name="_Toc22005974"/>
      <w:r>
        <w:rPr>
          <w:rFonts w:ascii="宋体" w:hAnsi="宋体" w:hint="eastAsia"/>
          <w:sz w:val="24"/>
        </w:rPr>
        <w:t>（一）基金管理人的更换程序</w:t>
      </w:r>
    </w:p>
    <w:p w14:paraId="6232B77C" w14:textId="77777777" w:rsidR="00E82AF4" w:rsidRDefault="005B2E6A">
      <w:pPr>
        <w:pStyle w:val="HD0"/>
        <w:adjustRightInd w:val="0"/>
        <w:ind w:firstLine="480"/>
        <w:rPr>
          <w:rFonts w:ascii="宋体" w:hAnsi="宋体"/>
          <w:sz w:val="24"/>
        </w:rPr>
      </w:pPr>
      <w:r>
        <w:rPr>
          <w:rFonts w:ascii="宋体" w:hAnsi="宋体" w:hint="eastAsia"/>
          <w:sz w:val="24"/>
        </w:rPr>
        <w:t>1、提名：新任基金管理人由基金托管人或由单独或合计持有</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）基金份额的基金份额持有人提名；</w:t>
      </w:r>
    </w:p>
    <w:p w14:paraId="6E9F105B" w14:textId="77777777" w:rsidR="00E82AF4" w:rsidRDefault="005B2E6A">
      <w:pPr>
        <w:pStyle w:val="HD0"/>
        <w:adjustRightInd w:val="0"/>
        <w:ind w:firstLine="480"/>
        <w:rPr>
          <w:rFonts w:ascii="宋体" w:hAnsi="宋体"/>
          <w:sz w:val="24"/>
        </w:rPr>
      </w:pPr>
      <w:r>
        <w:rPr>
          <w:rFonts w:ascii="宋体" w:hAnsi="宋体" w:hint="eastAsia"/>
          <w:sz w:val="24"/>
        </w:rPr>
        <w:t>2、决议：基金份额持有人大会在基金管理人职责终止后</w:t>
      </w:r>
      <w:r>
        <w:rPr>
          <w:rFonts w:ascii="宋体" w:hAnsi="宋体" w:hint="eastAsia"/>
          <w:sz w:val="24"/>
          <w:szCs w:val="24"/>
        </w:rPr>
        <w:t>6</w:t>
      </w:r>
      <w:r>
        <w:rPr>
          <w:rFonts w:ascii="宋体" w:hAnsi="宋体" w:hint="eastAsia"/>
          <w:sz w:val="24"/>
        </w:rPr>
        <w:t>个月内对被提名的基金管理人形成决议，该决议需经参加大会的基金份额持有人所持表决权的</w:t>
      </w:r>
      <w:r>
        <w:rPr>
          <w:rFonts w:ascii="宋体" w:hAnsi="宋体" w:hint="eastAsia"/>
          <w:sz w:val="24"/>
          <w:szCs w:val="24"/>
        </w:rPr>
        <w:t>三分之二</w:t>
      </w:r>
      <w:r>
        <w:rPr>
          <w:rFonts w:ascii="宋体" w:hAnsi="宋体" w:hint="eastAsia"/>
          <w:sz w:val="24"/>
        </w:rPr>
        <w:t>以上（含</w:t>
      </w:r>
      <w:r>
        <w:rPr>
          <w:rFonts w:ascii="宋体" w:hAnsi="宋体" w:hint="eastAsia"/>
          <w:sz w:val="24"/>
          <w:szCs w:val="24"/>
        </w:rPr>
        <w:t>三分之二</w:t>
      </w:r>
      <w:r>
        <w:rPr>
          <w:rFonts w:ascii="宋体" w:hAnsi="宋体" w:hint="eastAsia"/>
          <w:sz w:val="24"/>
        </w:rPr>
        <w:t>）表决通过</w:t>
      </w:r>
      <w:r>
        <w:rPr>
          <w:rFonts w:ascii="宋体" w:hAnsi="宋体" w:hint="eastAsia"/>
          <w:sz w:val="24"/>
          <w:szCs w:val="24"/>
        </w:rPr>
        <w:t>，决议自表决通过之日起生效</w:t>
      </w:r>
      <w:r>
        <w:rPr>
          <w:rFonts w:ascii="宋体" w:hAnsi="宋体" w:hint="eastAsia"/>
          <w:sz w:val="24"/>
        </w:rPr>
        <w:t>；</w:t>
      </w:r>
    </w:p>
    <w:p w14:paraId="767BD56F" w14:textId="77777777" w:rsidR="00E82AF4" w:rsidRDefault="005B2E6A">
      <w:pPr>
        <w:pStyle w:val="HD0"/>
        <w:adjustRightInd w:val="0"/>
        <w:ind w:firstLine="480"/>
        <w:rPr>
          <w:rFonts w:ascii="宋体" w:hAnsi="宋体"/>
          <w:sz w:val="24"/>
        </w:rPr>
      </w:pPr>
      <w:r>
        <w:rPr>
          <w:rFonts w:ascii="宋体" w:hAnsi="宋体" w:hint="eastAsia"/>
          <w:sz w:val="24"/>
        </w:rPr>
        <w:t>3、临时基金管理人：新任基金管理人产生之前，由中国证监会指定临时基金管理人；</w:t>
      </w:r>
    </w:p>
    <w:p w14:paraId="21CAD0E9" w14:textId="77777777" w:rsidR="00E82AF4" w:rsidRDefault="005B2E6A">
      <w:pPr>
        <w:pStyle w:val="HD0"/>
        <w:adjustRightInd w:val="0"/>
        <w:ind w:firstLine="480"/>
        <w:rPr>
          <w:rFonts w:ascii="宋体" w:hAnsi="宋体"/>
          <w:sz w:val="24"/>
        </w:rPr>
      </w:pPr>
      <w:r>
        <w:rPr>
          <w:rFonts w:ascii="宋体" w:hAnsi="宋体" w:hint="eastAsia"/>
          <w:sz w:val="24"/>
        </w:rPr>
        <w:t>4、备案：基金份额持有人大会</w:t>
      </w:r>
      <w:r>
        <w:rPr>
          <w:rFonts w:ascii="宋体" w:hAnsi="宋体" w:hint="eastAsia"/>
          <w:sz w:val="24"/>
          <w:szCs w:val="24"/>
        </w:rPr>
        <w:t>更换</w:t>
      </w:r>
      <w:r>
        <w:rPr>
          <w:rFonts w:ascii="宋体" w:hAnsi="宋体" w:hint="eastAsia"/>
          <w:sz w:val="24"/>
        </w:rPr>
        <w:t>基金管理人的决议须报中国证监会备案；</w:t>
      </w:r>
    </w:p>
    <w:p w14:paraId="5F10274E" w14:textId="77777777" w:rsidR="00E82AF4" w:rsidRDefault="005B2E6A">
      <w:pPr>
        <w:pStyle w:val="HD0"/>
        <w:adjustRightInd w:val="0"/>
        <w:ind w:firstLine="480"/>
        <w:rPr>
          <w:rFonts w:ascii="宋体" w:hAnsi="宋体"/>
          <w:sz w:val="24"/>
        </w:rPr>
      </w:pPr>
      <w:r>
        <w:rPr>
          <w:rFonts w:ascii="宋体" w:hAnsi="宋体" w:hint="eastAsia"/>
          <w:sz w:val="24"/>
        </w:rPr>
        <w:t>5、公告：基金管理人更换后，由基金托管人在更换基金管理人的基金份额持有人大会决议生效后</w:t>
      </w:r>
      <w:r>
        <w:rPr>
          <w:rFonts w:ascii="宋体" w:hAnsi="宋体" w:hint="eastAsia"/>
          <w:sz w:val="24"/>
          <w:szCs w:val="24"/>
        </w:rPr>
        <w:t>依照《信息披露办法》的有关规定</w:t>
      </w:r>
      <w:r>
        <w:rPr>
          <w:rFonts w:ascii="宋体" w:hAnsi="宋体" w:hint="eastAsia"/>
          <w:sz w:val="24"/>
        </w:rPr>
        <w:t>在规定媒介公告</w:t>
      </w:r>
      <w:r>
        <w:rPr>
          <w:rFonts w:ascii="宋体" w:hAnsi="宋体" w:hint="eastAsia"/>
          <w:sz w:val="24"/>
          <w:szCs w:val="24"/>
        </w:rPr>
        <w:t>；</w:t>
      </w:r>
    </w:p>
    <w:p w14:paraId="16A4C86B" w14:textId="77777777" w:rsidR="00E82AF4" w:rsidRDefault="005B2E6A">
      <w:pPr>
        <w:pStyle w:val="HD0"/>
        <w:adjustRightInd w:val="0"/>
        <w:ind w:firstLine="480"/>
        <w:rPr>
          <w:rFonts w:ascii="宋体" w:hAnsi="宋体"/>
          <w:sz w:val="24"/>
        </w:rPr>
      </w:pPr>
      <w:r>
        <w:rPr>
          <w:rFonts w:ascii="宋体" w:hAnsi="宋体" w:hint="eastAsia"/>
          <w:sz w:val="24"/>
        </w:rPr>
        <w:t>6、交接：基金管理人职责终止的，基金管理人应妥善保管基金管理业务资料，及时向临时基金管理人或新任基金管理人办理基金管理业务的移交手续，临</w:t>
      </w:r>
      <w:r>
        <w:rPr>
          <w:rFonts w:ascii="宋体" w:hAnsi="宋体" w:hint="eastAsia"/>
          <w:sz w:val="24"/>
        </w:rPr>
        <w:lastRenderedPageBreak/>
        <w:t>时基金管理人或新任基金管理人应及时接收。</w:t>
      </w:r>
      <w:r>
        <w:rPr>
          <w:rFonts w:ascii="宋体" w:hAnsi="宋体" w:hint="eastAsia"/>
          <w:sz w:val="24"/>
          <w:szCs w:val="24"/>
        </w:rPr>
        <w:t>临时基金管理人或</w:t>
      </w:r>
      <w:r>
        <w:rPr>
          <w:rFonts w:ascii="宋体" w:hAnsi="宋体" w:hint="eastAsia"/>
          <w:sz w:val="24"/>
        </w:rPr>
        <w:t>新任基金管理人应与基金托管人核对基金资产总值</w:t>
      </w:r>
      <w:r>
        <w:rPr>
          <w:rFonts w:ascii="宋体" w:hAnsi="宋体" w:hint="eastAsia"/>
          <w:sz w:val="24"/>
          <w:szCs w:val="24"/>
        </w:rPr>
        <w:t>和</w:t>
      </w:r>
      <w:r>
        <w:rPr>
          <w:rFonts w:ascii="宋体" w:hAnsi="宋体"/>
          <w:sz w:val="24"/>
          <w:szCs w:val="24"/>
        </w:rPr>
        <w:t>净值</w:t>
      </w:r>
      <w:r>
        <w:rPr>
          <w:rFonts w:ascii="宋体" w:hAnsi="宋体" w:hint="eastAsia"/>
          <w:sz w:val="24"/>
        </w:rPr>
        <w:t>；</w:t>
      </w:r>
    </w:p>
    <w:p w14:paraId="074FDFDD" w14:textId="77777777" w:rsidR="00E82AF4" w:rsidRDefault="005B2E6A">
      <w:pPr>
        <w:pStyle w:val="HD0"/>
        <w:adjustRightInd w:val="0"/>
        <w:ind w:firstLine="480"/>
        <w:rPr>
          <w:rFonts w:ascii="宋体" w:hAnsi="宋体"/>
          <w:sz w:val="24"/>
        </w:rPr>
      </w:pPr>
      <w:r>
        <w:rPr>
          <w:rFonts w:ascii="宋体" w:hAnsi="宋体" w:hint="eastAsia"/>
          <w:sz w:val="24"/>
        </w:rPr>
        <w:t>7、审计：基金管理人职责终止的，应当按照法律法规规定聘请会计师事务所对基金财产进行审计，并将审计结果予以公告，同时报中国证监会备案；</w:t>
      </w:r>
      <w:r>
        <w:rPr>
          <w:rFonts w:ascii="宋体" w:hAnsi="宋体" w:hint="eastAsia"/>
          <w:sz w:val="24"/>
          <w:szCs w:val="24"/>
        </w:rPr>
        <w:t>审计费用由基金资产承担；</w:t>
      </w:r>
    </w:p>
    <w:p w14:paraId="475F4B87" w14:textId="77777777" w:rsidR="00E82AF4" w:rsidRDefault="005B2E6A">
      <w:pPr>
        <w:pStyle w:val="HD0"/>
        <w:adjustRightInd w:val="0"/>
        <w:ind w:firstLine="480"/>
        <w:rPr>
          <w:rFonts w:ascii="宋体" w:hAnsi="宋体"/>
          <w:sz w:val="24"/>
        </w:rPr>
      </w:pPr>
      <w:r>
        <w:rPr>
          <w:rFonts w:ascii="宋体" w:hAnsi="宋体" w:hint="eastAsia"/>
          <w:sz w:val="24"/>
        </w:rPr>
        <w:t>8、基金名称变更：基金管理人更换后，如果原任或新任基金管理人要求，应按其要求替换或删除基金名称中与原任基金管理人有关的名称字样。</w:t>
      </w:r>
    </w:p>
    <w:p w14:paraId="4D25DB8B" w14:textId="77777777" w:rsidR="00E82AF4" w:rsidRDefault="005B2E6A">
      <w:pPr>
        <w:pStyle w:val="HD0"/>
        <w:adjustRightInd w:val="0"/>
        <w:ind w:firstLine="480"/>
        <w:rPr>
          <w:rFonts w:ascii="宋体" w:hAnsi="宋体"/>
          <w:sz w:val="24"/>
        </w:rPr>
      </w:pPr>
      <w:bookmarkStart w:id="299" w:name="_Toc22005975"/>
      <w:r>
        <w:rPr>
          <w:rFonts w:ascii="宋体" w:hAnsi="宋体" w:hint="eastAsia"/>
          <w:sz w:val="24"/>
        </w:rPr>
        <w:t>（二）基金托管人的更换程序</w:t>
      </w:r>
      <w:bookmarkEnd w:id="299"/>
    </w:p>
    <w:p w14:paraId="6950CAD1" w14:textId="77777777" w:rsidR="00E82AF4" w:rsidRDefault="005B2E6A">
      <w:pPr>
        <w:pStyle w:val="HD0"/>
        <w:adjustRightInd w:val="0"/>
        <w:ind w:firstLine="480"/>
        <w:rPr>
          <w:rFonts w:ascii="宋体" w:hAnsi="宋体"/>
          <w:sz w:val="24"/>
        </w:rPr>
      </w:pPr>
      <w:r>
        <w:rPr>
          <w:rFonts w:ascii="宋体" w:hAnsi="宋体" w:hint="eastAsia"/>
          <w:sz w:val="24"/>
        </w:rPr>
        <w:t>1、提名：新任基金托管人由基金管理人或由单独或合计持有</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）基金份额的基金</w:t>
      </w:r>
      <w:r>
        <w:rPr>
          <w:rFonts w:ascii="宋体" w:hAnsi="宋体" w:hint="eastAsia"/>
          <w:sz w:val="24"/>
          <w:szCs w:val="24"/>
        </w:rPr>
        <w:t>份额</w:t>
      </w:r>
      <w:r>
        <w:rPr>
          <w:rFonts w:ascii="宋体" w:hAnsi="宋体" w:hint="eastAsia"/>
          <w:sz w:val="24"/>
        </w:rPr>
        <w:t>持有人提名；</w:t>
      </w:r>
    </w:p>
    <w:p w14:paraId="0D5216A4" w14:textId="77777777" w:rsidR="00E82AF4" w:rsidRDefault="005B2E6A">
      <w:pPr>
        <w:pStyle w:val="HD0"/>
        <w:adjustRightInd w:val="0"/>
        <w:ind w:firstLine="480"/>
        <w:rPr>
          <w:rFonts w:ascii="宋体" w:hAnsi="宋体"/>
          <w:sz w:val="24"/>
        </w:rPr>
      </w:pPr>
      <w:r>
        <w:rPr>
          <w:rFonts w:ascii="宋体" w:hAnsi="宋体" w:hint="eastAsia"/>
          <w:sz w:val="24"/>
        </w:rPr>
        <w:t>2、决议：基金份额持有人大会在基金托管人职责终止后</w:t>
      </w:r>
      <w:r>
        <w:rPr>
          <w:rFonts w:ascii="宋体" w:hAnsi="宋体" w:hint="eastAsia"/>
          <w:sz w:val="24"/>
          <w:szCs w:val="24"/>
        </w:rPr>
        <w:t>6</w:t>
      </w:r>
      <w:r>
        <w:rPr>
          <w:rFonts w:ascii="宋体" w:hAnsi="宋体" w:hint="eastAsia"/>
          <w:sz w:val="24"/>
        </w:rPr>
        <w:t>个月内对被提名的基金托管人形成决议，该决议需经参加大会的基金份额持有人所持表决权的</w:t>
      </w:r>
      <w:r>
        <w:rPr>
          <w:rFonts w:ascii="宋体" w:hAnsi="宋体" w:hint="eastAsia"/>
          <w:sz w:val="24"/>
          <w:szCs w:val="24"/>
        </w:rPr>
        <w:t>三分之二</w:t>
      </w:r>
      <w:r>
        <w:rPr>
          <w:rFonts w:ascii="宋体" w:hAnsi="宋体" w:hint="eastAsia"/>
          <w:sz w:val="24"/>
        </w:rPr>
        <w:t>以上（含</w:t>
      </w:r>
      <w:r>
        <w:rPr>
          <w:rFonts w:ascii="宋体" w:hAnsi="宋体" w:hint="eastAsia"/>
          <w:sz w:val="24"/>
          <w:szCs w:val="24"/>
        </w:rPr>
        <w:t>三分之二</w:t>
      </w:r>
      <w:r>
        <w:rPr>
          <w:rFonts w:ascii="宋体" w:hAnsi="宋体" w:hint="eastAsia"/>
          <w:sz w:val="24"/>
        </w:rPr>
        <w:t>）表决通过</w:t>
      </w:r>
      <w:r>
        <w:rPr>
          <w:rFonts w:ascii="宋体" w:hAnsi="宋体" w:hint="eastAsia"/>
          <w:sz w:val="24"/>
          <w:szCs w:val="24"/>
        </w:rPr>
        <w:t>，决议自表决通过之日起生效</w:t>
      </w:r>
      <w:r>
        <w:rPr>
          <w:rFonts w:ascii="宋体" w:hAnsi="宋体" w:hint="eastAsia"/>
          <w:sz w:val="24"/>
        </w:rPr>
        <w:t>；</w:t>
      </w:r>
    </w:p>
    <w:p w14:paraId="78306ED8" w14:textId="77777777" w:rsidR="00E82AF4" w:rsidRDefault="005B2E6A">
      <w:pPr>
        <w:pStyle w:val="HD0"/>
        <w:adjustRightInd w:val="0"/>
        <w:ind w:firstLine="480"/>
        <w:rPr>
          <w:rFonts w:ascii="宋体" w:hAnsi="宋体"/>
          <w:sz w:val="24"/>
        </w:rPr>
      </w:pPr>
      <w:r>
        <w:rPr>
          <w:rFonts w:ascii="宋体" w:hAnsi="宋体" w:hint="eastAsia"/>
          <w:sz w:val="24"/>
        </w:rPr>
        <w:t>3、临时基金托管人：新任基金托管人产生之前，由中国证监会指定临时基金托管人；</w:t>
      </w:r>
    </w:p>
    <w:p w14:paraId="248E3792" w14:textId="77777777" w:rsidR="00E82AF4" w:rsidRDefault="005B2E6A">
      <w:pPr>
        <w:pStyle w:val="HD0"/>
        <w:adjustRightInd w:val="0"/>
        <w:ind w:firstLine="480"/>
        <w:rPr>
          <w:rFonts w:ascii="宋体" w:hAnsi="宋体"/>
          <w:sz w:val="24"/>
        </w:rPr>
      </w:pPr>
      <w:r>
        <w:rPr>
          <w:rFonts w:ascii="宋体" w:hAnsi="宋体" w:hint="eastAsia"/>
          <w:sz w:val="24"/>
        </w:rPr>
        <w:t>4、备案：基金份额持有人大会更换基金托管人的决议须报中国证监会备案；</w:t>
      </w:r>
    </w:p>
    <w:p w14:paraId="7996E787" w14:textId="77777777" w:rsidR="00E82AF4" w:rsidRDefault="005B2E6A">
      <w:pPr>
        <w:pStyle w:val="HD0"/>
        <w:adjustRightInd w:val="0"/>
        <w:ind w:firstLine="480"/>
        <w:rPr>
          <w:rFonts w:ascii="宋体" w:hAnsi="宋体"/>
          <w:sz w:val="24"/>
        </w:rPr>
      </w:pPr>
      <w:r>
        <w:rPr>
          <w:rFonts w:ascii="宋体" w:hAnsi="宋体" w:hint="eastAsia"/>
          <w:sz w:val="24"/>
        </w:rPr>
        <w:t>5、公告：基金托管人更换后，由基金管理人在更换基金托管人的基金份额持有人大会决议生效后</w:t>
      </w:r>
      <w:r>
        <w:rPr>
          <w:rFonts w:ascii="宋体" w:hAnsi="宋体" w:hint="eastAsia"/>
          <w:sz w:val="24"/>
          <w:szCs w:val="24"/>
        </w:rPr>
        <w:t>依照《信息披露办法》的有关规定</w:t>
      </w:r>
      <w:r>
        <w:rPr>
          <w:rFonts w:ascii="宋体" w:hAnsi="宋体" w:hint="eastAsia"/>
          <w:sz w:val="24"/>
        </w:rPr>
        <w:t>在规定媒介公告</w:t>
      </w:r>
      <w:r>
        <w:rPr>
          <w:rFonts w:ascii="宋体" w:hAnsi="宋体" w:hint="eastAsia"/>
          <w:sz w:val="24"/>
          <w:szCs w:val="24"/>
        </w:rPr>
        <w:t>；</w:t>
      </w:r>
    </w:p>
    <w:p w14:paraId="611ADAAC" w14:textId="77777777" w:rsidR="00E82AF4" w:rsidRDefault="005B2E6A">
      <w:pPr>
        <w:pStyle w:val="HD0"/>
        <w:adjustRightInd w:val="0"/>
        <w:ind w:firstLine="480"/>
        <w:rPr>
          <w:rFonts w:ascii="宋体" w:hAnsi="宋体"/>
          <w:sz w:val="24"/>
        </w:rPr>
      </w:pPr>
      <w:r>
        <w:rPr>
          <w:rFonts w:ascii="宋体" w:hAnsi="宋体" w:hint="eastAsia"/>
          <w:sz w:val="24"/>
        </w:rPr>
        <w:t>6、交接：基金托管人职责终止的，应当妥善保管基金财产和基金托管业务资料，及时办理基金财产和基金托管业务的移交手续，新任基金托管人或者临时基金托管人应当及时接收。</w:t>
      </w:r>
      <w:r>
        <w:rPr>
          <w:rFonts w:ascii="宋体" w:hAnsi="宋体" w:hint="eastAsia"/>
          <w:sz w:val="24"/>
          <w:szCs w:val="24"/>
        </w:rPr>
        <w:t>临时基金托管人或</w:t>
      </w:r>
      <w:r>
        <w:rPr>
          <w:rFonts w:ascii="宋体" w:hAnsi="宋体" w:hint="eastAsia"/>
          <w:sz w:val="24"/>
        </w:rPr>
        <w:t>新任基金托管人应与基金管理人核对基金资产总值</w:t>
      </w:r>
      <w:r>
        <w:rPr>
          <w:rFonts w:ascii="宋体" w:hAnsi="宋体" w:hint="eastAsia"/>
          <w:sz w:val="24"/>
          <w:szCs w:val="24"/>
        </w:rPr>
        <w:t>和</w:t>
      </w:r>
      <w:r>
        <w:rPr>
          <w:rFonts w:ascii="宋体" w:hAnsi="宋体"/>
          <w:sz w:val="24"/>
          <w:szCs w:val="24"/>
        </w:rPr>
        <w:t>净值</w:t>
      </w:r>
      <w:r>
        <w:rPr>
          <w:rFonts w:ascii="宋体" w:hAnsi="宋体" w:hint="eastAsia"/>
          <w:sz w:val="24"/>
          <w:szCs w:val="24"/>
        </w:rPr>
        <w:t>；</w:t>
      </w:r>
    </w:p>
    <w:p w14:paraId="33805236" w14:textId="77777777" w:rsidR="00E82AF4" w:rsidRDefault="005B2E6A">
      <w:pPr>
        <w:pStyle w:val="HD0"/>
        <w:adjustRightInd w:val="0"/>
        <w:ind w:firstLine="480"/>
        <w:rPr>
          <w:rFonts w:ascii="宋体" w:hAnsi="宋体"/>
          <w:sz w:val="24"/>
        </w:rPr>
      </w:pPr>
      <w:r>
        <w:rPr>
          <w:rFonts w:ascii="宋体" w:hAnsi="宋体" w:hint="eastAsia"/>
          <w:sz w:val="24"/>
        </w:rPr>
        <w:t>7、审计：基金托管人职责终止的，应当按照法律法规规定聘请会计师事务所对基金财产进行审计，并将审计结果予以公告，同时报中国证监会备案</w:t>
      </w:r>
      <w:r>
        <w:rPr>
          <w:rFonts w:ascii="宋体" w:hAnsi="宋体" w:hint="eastAsia"/>
          <w:sz w:val="24"/>
          <w:szCs w:val="24"/>
        </w:rPr>
        <w:t>；审计费用由基金资产承担</w:t>
      </w:r>
      <w:r>
        <w:rPr>
          <w:rFonts w:ascii="宋体" w:hAnsi="宋体" w:hint="eastAsia"/>
          <w:sz w:val="24"/>
        </w:rPr>
        <w:t>。</w:t>
      </w:r>
    </w:p>
    <w:p w14:paraId="3A04AD33" w14:textId="77777777" w:rsidR="00E82AF4" w:rsidRDefault="005B2E6A">
      <w:pPr>
        <w:pStyle w:val="HD0"/>
        <w:adjustRightInd w:val="0"/>
        <w:ind w:firstLine="480"/>
        <w:rPr>
          <w:rFonts w:ascii="宋体" w:hAnsi="宋体"/>
          <w:sz w:val="24"/>
        </w:rPr>
      </w:pPr>
      <w:bookmarkStart w:id="300" w:name="_Toc1357"/>
      <w:r>
        <w:rPr>
          <w:rFonts w:ascii="宋体" w:hAnsi="宋体" w:hint="eastAsia"/>
          <w:sz w:val="24"/>
        </w:rPr>
        <w:t>（三）基金管理人与基金托管人同时更换的条件和程序</w:t>
      </w:r>
      <w:bookmarkEnd w:id="300"/>
    </w:p>
    <w:p w14:paraId="4891C631" w14:textId="77777777" w:rsidR="00E82AF4" w:rsidRDefault="005B2E6A">
      <w:pPr>
        <w:pStyle w:val="HD0"/>
        <w:adjustRightInd w:val="0"/>
        <w:ind w:firstLine="480"/>
        <w:rPr>
          <w:rFonts w:ascii="宋体" w:hAnsi="宋体"/>
          <w:sz w:val="24"/>
        </w:rPr>
      </w:pPr>
      <w:r>
        <w:rPr>
          <w:rFonts w:ascii="宋体" w:hAnsi="宋体" w:hint="eastAsia"/>
          <w:sz w:val="24"/>
        </w:rPr>
        <w:t>1、提名：如果基金管理人和基金托管人同时更换，由单独或合计持有基金总份额</w:t>
      </w:r>
      <w:r>
        <w:rPr>
          <w:rFonts w:ascii="宋体" w:hAnsi="宋体" w:hint="eastAsia"/>
          <w:sz w:val="24"/>
          <w:szCs w:val="24"/>
        </w:rPr>
        <w:t>10</w:t>
      </w:r>
      <w:r>
        <w:rPr>
          <w:sz w:val="24"/>
        </w:rPr>
        <w:t>%</w:t>
      </w:r>
      <w:r>
        <w:rPr>
          <w:rFonts w:ascii="宋体" w:hAnsi="宋体" w:hint="eastAsia"/>
          <w:sz w:val="24"/>
        </w:rPr>
        <w:t>以上（含</w:t>
      </w:r>
      <w:r>
        <w:rPr>
          <w:rFonts w:ascii="宋体" w:hAnsi="宋体" w:hint="eastAsia"/>
          <w:sz w:val="24"/>
          <w:szCs w:val="24"/>
        </w:rPr>
        <w:t>10</w:t>
      </w:r>
      <w:r>
        <w:rPr>
          <w:sz w:val="24"/>
        </w:rPr>
        <w:t>%</w:t>
      </w:r>
      <w:r>
        <w:rPr>
          <w:rFonts w:ascii="宋体" w:hAnsi="宋体" w:hint="eastAsia"/>
          <w:sz w:val="24"/>
        </w:rPr>
        <w:t>）的基金份额持有人提名新任基金管理人和基金托管人；</w:t>
      </w:r>
    </w:p>
    <w:p w14:paraId="1BFBB581" w14:textId="77777777" w:rsidR="00E82AF4" w:rsidRDefault="005B2E6A">
      <w:pPr>
        <w:pStyle w:val="HD0"/>
        <w:adjustRightInd w:val="0"/>
        <w:ind w:firstLine="480"/>
        <w:rPr>
          <w:rFonts w:ascii="宋体" w:hAnsi="宋体"/>
          <w:sz w:val="24"/>
        </w:rPr>
      </w:pPr>
      <w:r>
        <w:rPr>
          <w:rFonts w:ascii="宋体" w:hAnsi="宋体" w:hint="eastAsia"/>
          <w:sz w:val="24"/>
        </w:rPr>
        <w:t>2、基金管理人和基金托管人的更换分别按上述程序进行；</w:t>
      </w:r>
    </w:p>
    <w:p w14:paraId="6245FD9A" w14:textId="77777777" w:rsidR="00E82AF4" w:rsidRDefault="005B2E6A">
      <w:pPr>
        <w:pStyle w:val="HD0"/>
        <w:adjustRightInd w:val="0"/>
        <w:ind w:firstLine="480"/>
        <w:rPr>
          <w:rFonts w:ascii="宋体" w:hAnsi="宋体"/>
          <w:sz w:val="24"/>
        </w:rPr>
      </w:pPr>
      <w:r>
        <w:rPr>
          <w:rFonts w:ascii="宋体" w:hAnsi="宋体" w:hint="eastAsia"/>
          <w:sz w:val="24"/>
        </w:rPr>
        <w:lastRenderedPageBreak/>
        <w:t>3、公告：新任基金管理人和新任基金托管人应在更换基金管理人和基金托管人的基金份额持有人大会决议生效后</w:t>
      </w:r>
      <w:r>
        <w:rPr>
          <w:rFonts w:ascii="宋体" w:hAnsi="宋体" w:hint="eastAsia"/>
          <w:sz w:val="24"/>
          <w:szCs w:val="24"/>
        </w:rPr>
        <w:t>依照《信息披露办法》的有关规定</w:t>
      </w:r>
      <w:r>
        <w:rPr>
          <w:rFonts w:ascii="宋体" w:hAnsi="宋体" w:hint="eastAsia"/>
          <w:sz w:val="24"/>
        </w:rPr>
        <w:t>在规定媒介上联合公告。</w:t>
      </w:r>
      <w:bookmarkEnd w:id="298"/>
    </w:p>
    <w:p w14:paraId="6CD1865A" w14:textId="77777777" w:rsidR="00E82AF4" w:rsidRDefault="005B2E6A">
      <w:pPr>
        <w:pStyle w:val="HD0"/>
        <w:adjustRightInd w:val="0"/>
        <w:ind w:firstLine="480"/>
        <w:rPr>
          <w:rFonts w:ascii="宋体" w:hAnsi="宋体"/>
          <w:sz w:val="24"/>
          <w:szCs w:val="24"/>
        </w:rPr>
      </w:pPr>
      <w:bookmarkStart w:id="301" w:name="_Toc20976"/>
      <w:r>
        <w:rPr>
          <w:rFonts w:ascii="宋体" w:hAnsi="宋体" w:hint="eastAsia"/>
          <w:sz w:val="24"/>
          <w:szCs w:val="24"/>
        </w:rPr>
        <w:t>三、新任或临时基金管理人接收基金管理业务或新任或临时基金托管人接收基金财产和基金托管业务前，原任基金管理人或原任基金托管人应依据法律法规和基金合同的规定继续履行相关职责，并保证不做出对基金份额持有人的利益造成损害的行为。原任基金管理人或原任基金托管人在继续履行相关职责期间，仍有权按照本基金合同的规定收取基金管理费或基金托管费。</w:t>
      </w:r>
    </w:p>
    <w:p w14:paraId="518F0969" w14:textId="77777777" w:rsidR="00E82AF4" w:rsidRDefault="005B2E6A">
      <w:pPr>
        <w:pStyle w:val="HD0"/>
        <w:ind w:firstLine="480"/>
      </w:pPr>
      <w:r>
        <w:rPr>
          <w:rFonts w:ascii="宋体" w:hAnsi="宋体" w:hint="eastAsia"/>
          <w:bCs/>
          <w:sz w:val="24"/>
        </w:rPr>
        <w:t>四、本部分关于基金管理人、基金托管人更换条件和程序的约定，凡是直接引用法律法规或监管规则的部分，如法律法规或监管规则修改导致相关内容被取消或变更的，基金管理人履行适当程序后，可直接对相应内容进行修改和调整，无需召开基金份额持有人大会审议。</w:t>
      </w:r>
    </w:p>
    <w:p w14:paraId="5862C577" w14:textId="77777777" w:rsidR="00E82AF4" w:rsidRDefault="005B2E6A">
      <w:pPr>
        <w:pStyle w:val="1"/>
        <w:spacing w:before="0" w:after="0"/>
        <w:jc w:val="center"/>
        <w:rPr>
          <w:rFonts w:ascii="Times New Roman"/>
          <w:color w:val="auto"/>
          <w:sz w:val="32"/>
        </w:rPr>
      </w:pPr>
      <w:r>
        <w:br w:type="page"/>
      </w:r>
      <w:bookmarkStart w:id="302" w:name="_Toc48649708"/>
      <w:bookmarkStart w:id="303" w:name="_Toc139991740"/>
      <w:bookmarkStart w:id="304" w:name="_Toc123102457"/>
      <w:bookmarkStart w:id="305" w:name="_Toc8701"/>
      <w:bookmarkStart w:id="306" w:name="_Toc29408"/>
      <w:bookmarkStart w:id="307" w:name="_Toc3329"/>
      <w:bookmarkStart w:id="308" w:name="_Toc17198"/>
      <w:bookmarkStart w:id="309" w:name="_Toc32092"/>
      <w:bookmarkStart w:id="310" w:name="_Toc123112238"/>
      <w:bookmarkStart w:id="311" w:name="_Toc739"/>
      <w:bookmarkStart w:id="312" w:name="_Toc21237"/>
      <w:bookmarkStart w:id="313" w:name="_Toc123051456"/>
      <w:bookmarkStart w:id="314" w:name="_Toc32584"/>
      <w:bookmarkStart w:id="315" w:name="_Toc5170"/>
      <w:bookmarkStart w:id="316" w:name="_Toc8791"/>
      <w:bookmarkStart w:id="317" w:name="_Toc17920"/>
      <w:bookmarkStart w:id="318" w:name="_Toc79392622"/>
      <w:bookmarkStart w:id="319" w:name="_Toc98560356"/>
      <w:bookmarkStart w:id="320" w:name="_Toc32307767"/>
      <w:bookmarkStart w:id="321" w:name="_Toc141703890"/>
      <w:r>
        <w:rPr>
          <w:rFonts w:ascii="Times New Roman"/>
          <w:color w:val="auto"/>
          <w:sz w:val="32"/>
          <w:szCs w:val="32"/>
        </w:rPr>
        <w:lastRenderedPageBreak/>
        <w:t>第十</w:t>
      </w:r>
      <w:r>
        <w:rPr>
          <w:rFonts w:ascii="Times New Roman" w:hint="eastAsia"/>
          <w:color w:val="auto"/>
          <w:sz w:val="32"/>
          <w:szCs w:val="32"/>
        </w:rPr>
        <w:t>二</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基金的托管</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64B925BE" w14:textId="77777777" w:rsidR="00E82AF4" w:rsidRDefault="00E82AF4">
      <w:pPr>
        <w:autoSpaceDE w:val="0"/>
        <w:autoSpaceDN w:val="0"/>
        <w:spacing w:line="360" w:lineRule="auto"/>
        <w:textAlignment w:val="bottom"/>
        <w:rPr>
          <w:bCs/>
          <w:sz w:val="24"/>
        </w:rPr>
      </w:pPr>
    </w:p>
    <w:p w14:paraId="72AB9FE4" w14:textId="77777777" w:rsidR="00E82AF4" w:rsidRDefault="005B2E6A">
      <w:pPr>
        <w:pStyle w:val="HD0"/>
        <w:adjustRightInd w:val="0"/>
        <w:ind w:firstLine="480"/>
        <w:rPr>
          <w:sz w:val="24"/>
          <w:szCs w:val="24"/>
        </w:rPr>
      </w:pPr>
      <w:r>
        <w:rPr>
          <w:rFonts w:hint="eastAsia"/>
          <w:sz w:val="24"/>
          <w:szCs w:val="24"/>
        </w:rPr>
        <w:t>基金托管人和基金管理人按照《基金法》、基金合同及其他有关规定订立托管协议。</w:t>
      </w:r>
    </w:p>
    <w:p w14:paraId="12DA55CE" w14:textId="77777777" w:rsidR="00E82AF4" w:rsidRDefault="005B2E6A">
      <w:pPr>
        <w:pStyle w:val="HD0"/>
        <w:adjustRightInd w:val="0"/>
        <w:ind w:firstLine="480"/>
      </w:pPr>
      <w:r>
        <w:rPr>
          <w:rFonts w:hint="eastAsia"/>
          <w:sz w:val="24"/>
          <w:szCs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284CE12D" w14:textId="77777777" w:rsidR="00E82AF4" w:rsidRDefault="005B2E6A">
      <w:pPr>
        <w:pStyle w:val="1"/>
        <w:spacing w:before="0" w:after="0"/>
        <w:jc w:val="center"/>
        <w:rPr>
          <w:rFonts w:ascii="Times New Roman"/>
          <w:color w:val="auto"/>
          <w:sz w:val="32"/>
        </w:rPr>
      </w:pPr>
      <w:r>
        <w:br w:type="page"/>
      </w:r>
      <w:bookmarkStart w:id="322" w:name="_Toc139991741"/>
      <w:bookmarkStart w:id="323" w:name="_Toc26383"/>
      <w:bookmarkStart w:id="324" w:name="_Toc48649710"/>
      <w:bookmarkStart w:id="325" w:name="_Toc14725"/>
      <w:bookmarkStart w:id="326" w:name="_Toc123051457"/>
      <w:bookmarkStart w:id="327" w:name="_Toc31469"/>
      <w:bookmarkStart w:id="328" w:name="_Toc141703891"/>
      <w:bookmarkStart w:id="329" w:name="_Toc19520"/>
      <w:bookmarkStart w:id="330" w:name="_Toc26084"/>
      <w:bookmarkStart w:id="331" w:name="_Toc123112239"/>
      <w:bookmarkStart w:id="332" w:name="_Toc32307768"/>
      <w:bookmarkStart w:id="333" w:name="_Toc98560357"/>
      <w:bookmarkStart w:id="334" w:name="_Toc26152"/>
      <w:bookmarkStart w:id="335" w:name="_Toc21886"/>
      <w:bookmarkStart w:id="336" w:name="_Toc22674"/>
      <w:bookmarkStart w:id="337" w:name="_Toc2255"/>
      <w:bookmarkStart w:id="338" w:name="_Toc16076"/>
      <w:bookmarkStart w:id="339" w:name="_Toc3244"/>
      <w:bookmarkStart w:id="340" w:name="_Toc16789"/>
      <w:bookmarkStart w:id="341" w:name="_Toc123102458"/>
      <w:bookmarkStart w:id="342" w:name="_Toc79392624"/>
      <w:r>
        <w:rPr>
          <w:rFonts w:ascii="Times New Roman"/>
          <w:color w:val="auto"/>
          <w:sz w:val="32"/>
          <w:szCs w:val="32"/>
        </w:rPr>
        <w:lastRenderedPageBreak/>
        <w:t>第十</w:t>
      </w:r>
      <w:r>
        <w:rPr>
          <w:rFonts w:ascii="Times New Roman" w:hint="eastAsia"/>
          <w:color w:val="auto"/>
          <w:sz w:val="32"/>
          <w:szCs w:val="32"/>
        </w:rPr>
        <w:t>三</w:t>
      </w:r>
      <w:r>
        <w:rPr>
          <w:rFonts w:ascii="Times New Roman"/>
          <w:color w:val="auto"/>
          <w:sz w:val="32"/>
          <w:szCs w:val="32"/>
        </w:rPr>
        <w:t>部分</w:t>
      </w:r>
      <w:r>
        <w:rPr>
          <w:rFonts w:ascii="Times New Roman"/>
          <w:color w:val="auto"/>
          <w:sz w:val="32"/>
        </w:rPr>
        <w:t xml:space="preserve">  </w:t>
      </w:r>
      <w:r>
        <w:rPr>
          <w:rFonts w:ascii="Times New Roman" w:hint="eastAsia"/>
          <w:color w:val="auto"/>
          <w:sz w:val="32"/>
        </w:rPr>
        <w:t>基金份额的登记</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2E4D0DF2" w14:textId="77777777" w:rsidR="00E82AF4" w:rsidRDefault="00E82AF4">
      <w:pPr>
        <w:autoSpaceDE w:val="0"/>
        <w:autoSpaceDN w:val="0"/>
        <w:spacing w:line="360" w:lineRule="auto"/>
        <w:textAlignment w:val="bottom"/>
        <w:rPr>
          <w:bCs/>
          <w:sz w:val="24"/>
        </w:rPr>
      </w:pPr>
    </w:p>
    <w:p w14:paraId="42F2C14F" w14:textId="77777777" w:rsidR="00E82AF4" w:rsidRDefault="005B2E6A">
      <w:pPr>
        <w:pStyle w:val="HD0"/>
        <w:adjustRightInd w:val="0"/>
        <w:ind w:firstLine="480"/>
        <w:rPr>
          <w:sz w:val="24"/>
        </w:rPr>
      </w:pPr>
      <w:r>
        <w:rPr>
          <w:rFonts w:hint="eastAsia"/>
          <w:sz w:val="24"/>
        </w:rPr>
        <w:t>一、基金份额</w:t>
      </w:r>
      <w:r>
        <w:rPr>
          <w:sz w:val="24"/>
        </w:rPr>
        <w:t>的</w:t>
      </w:r>
      <w:r>
        <w:rPr>
          <w:rFonts w:hint="eastAsia"/>
          <w:sz w:val="24"/>
        </w:rPr>
        <w:t>登记业务</w:t>
      </w:r>
    </w:p>
    <w:p w14:paraId="55598FF4" w14:textId="77777777" w:rsidR="00E82AF4" w:rsidRDefault="005B2E6A">
      <w:pPr>
        <w:pStyle w:val="HD0"/>
        <w:adjustRightInd w:val="0"/>
        <w:ind w:firstLine="480"/>
        <w:rPr>
          <w:rFonts w:ascii="宋体" w:hAnsi="宋体"/>
          <w:sz w:val="24"/>
        </w:rPr>
      </w:pPr>
      <w:r>
        <w:rPr>
          <w:rFonts w:ascii="宋体" w:hAnsi="宋体" w:hint="eastAsia"/>
          <w:sz w:val="24"/>
        </w:rPr>
        <w:t>本基金的登记业务指</w:t>
      </w:r>
      <w:r>
        <w:rPr>
          <w:rFonts w:ascii="宋体" w:hAnsi="宋体" w:hint="eastAsia"/>
          <w:sz w:val="24"/>
          <w:szCs w:val="24"/>
        </w:rPr>
        <w:t>《</w:t>
      </w:r>
      <w:r>
        <w:rPr>
          <w:rFonts w:ascii="宋体" w:hAnsi="宋体" w:hint="eastAsia"/>
          <w:bCs/>
          <w:sz w:val="24"/>
          <w:szCs w:val="24"/>
        </w:rPr>
        <w:t>中国证券登记结算有限责任公司关于交易所交易型开放式证券投资基金登记结算业务</w:t>
      </w:r>
      <w:r>
        <w:rPr>
          <w:rFonts w:ascii="宋体" w:hAnsi="宋体"/>
          <w:bCs/>
          <w:sz w:val="24"/>
          <w:szCs w:val="24"/>
        </w:rPr>
        <w:t>实施细则</w:t>
      </w:r>
      <w:r>
        <w:rPr>
          <w:rFonts w:ascii="宋体" w:hAnsi="宋体" w:hint="eastAsia"/>
          <w:bCs/>
          <w:sz w:val="24"/>
          <w:szCs w:val="24"/>
        </w:rPr>
        <w:t>》</w:t>
      </w:r>
      <w:r>
        <w:rPr>
          <w:rFonts w:ascii="宋体" w:hAnsi="宋体" w:hint="eastAsia"/>
          <w:sz w:val="24"/>
          <w:szCs w:val="24"/>
        </w:rPr>
        <w:t>（及其不时修订）定义</w:t>
      </w:r>
      <w:r>
        <w:rPr>
          <w:rFonts w:ascii="宋体" w:hAnsi="宋体" w:hint="eastAsia"/>
          <w:sz w:val="24"/>
        </w:rPr>
        <w:t>的基金份额</w:t>
      </w:r>
      <w:r>
        <w:rPr>
          <w:rFonts w:ascii="宋体" w:hAnsi="宋体" w:hint="eastAsia"/>
          <w:sz w:val="24"/>
          <w:szCs w:val="24"/>
        </w:rPr>
        <w:t>的</w:t>
      </w:r>
      <w:r>
        <w:rPr>
          <w:rFonts w:ascii="宋体" w:hAnsi="宋体" w:hint="eastAsia"/>
          <w:sz w:val="24"/>
        </w:rPr>
        <w:t>登记、存管、结算</w:t>
      </w:r>
      <w:r>
        <w:rPr>
          <w:rFonts w:ascii="宋体" w:hAnsi="宋体" w:hint="eastAsia"/>
          <w:sz w:val="24"/>
          <w:szCs w:val="24"/>
        </w:rPr>
        <w:t>及相关</w:t>
      </w:r>
      <w:r>
        <w:rPr>
          <w:rFonts w:ascii="宋体" w:hAnsi="宋体" w:hint="eastAsia"/>
          <w:sz w:val="24"/>
        </w:rPr>
        <w:t>业务</w:t>
      </w:r>
      <w:r>
        <w:rPr>
          <w:rFonts w:ascii="宋体" w:hAnsi="宋体" w:hint="eastAsia"/>
          <w:sz w:val="24"/>
          <w:szCs w:val="24"/>
        </w:rPr>
        <w:t>。</w:t>
      </w:r>
      <w:r>
        <w:rPr>
          <w:rFonts w:ascii="宋体" w:hAnsi="宋体" w:hint="eastAsia"/>
          <w:sz w:val="24"/>
        </w:rPr>
        <w:t>基金管理</w:t>
      </w:r>
      <w:r>
        <w:rPr>
          <w:rFonts w:ascii="宋体" w:hAnsi="宋体" w:hint="eastAsia"/>
          <w:sz w:val="24"/>
          <w:szCs w:val="24"/>
        </w:rPr>
        <w:t>人应与</w:t>
      </w:r>
      <w:r>
        <w:rPr>
          <w:rFonts w:ascii="宋体" w:hAnsi="宋体" w:hint="eastAsia"/>
          <w:sz w:val="24"/>
        </w:rPr>
        <w:t>登记</w:t>
      </w:r>
      <w:r>
        <w:rPr>
          <w:rFonts w:ascii="宋体" w:hAnsi="宋体" w:hint="eastAsia"/>
          <w:sz w:val="24"/>
          <w:szCs w:val="24"/>
        </w:rPr>
        <w:t>机构签订委托</w:t>
      </w:r>
      <w:r>
        <w:rPr>
          <w:rFonts w:ascii="宋体" w:hAnsi="宋体" w:hint="eastAsia"/>
          <w:sz w:val="24"/>
        </w:rPr>
        <w:t>代理</w:t>
      </w:r>
      <w:r>
        <w:rPr>
          <w:rFonts w:ascii="宋体" w:hAnsi="宋体" w:hint="eastAsia"/>
          <w:sz w:val="24"/>
          <w:szCs w:val="24"/>
        </w:rPr>
        <w:t>协议，以明确双方的权利和义务，保护投资人和</w:t>
      </w:r>
      <w:r>
        <w:rPr>
          <w:rFonts w:ascii="宋体" w:hAnsi="宋体" w:hint="eastAsia"/>
          <w:sz w:val="24"/>
        </w:rPr>
        <w:t>基金份额持有</w:t>
      </w:r>
      <w:r>
        <w:rPr>
          <w:rFonts w:ascii="宋体" w:hAnsi="宋体" w:hint="eastAsia"/>
          <w:sz w:val="24"/>
          <w:szCs w:val="24"/>
        </w:rPr>
        <w:t>人的合法权益</w:t>
      </w:r>
      <w:r>
        <w:rPr>
          <w:rFonts w:ascii="宋体" w:hAnsi="宋体" w:hint="eastAsia"/>
          <w:sz w:val="24"/>
        </w:rPr>
        <w:t>。</w:t>
      </w:r>
    </w:p>
    <w:p w14:paraId="3F82B4F3" w14:textId="77777777" w:rsidR="00E82AF4" w:rsidRDefault="005B2E6A">
      <w:pPr>
        <w:pStyle w:val="HD0"/>
        <w:adjustRightInd w:val="0"/>
        <w:ind w:firstLine="480"/>
        <w:rPr>
          <w:rFonts w:ascii="宋体" w:hAnsi="宋体"/>
          <w:sz w:val="24"/>
        </w:rPr>
      </w:pPr>
      <w:r>
        <w:rPr>
          <w:rFonts w:ascii="宋体" w:hAnsi="宋体" w:hint="eastAsia"/>
          <w:sz w:val="24"/>
        </w:rPr>
        <w:t>二、基金登记业务办理机构</w:t>
      </w:r>
    </w:p>
    <w:p w14:paraId="47BBEBDB" w14:textId="77777777" w:rsidR="00E82AF4" w:rsidRDefault="005B2E6A">
      <w:pPr>
        <w:pStyle w:val="HD0"/>
        <w:adjustRightInd w:val="0"/>
        <w:ind w:firstLine="480"/>
        <w:rPr>
          <w:sz w:val="24"/>
        </w:rPr>
      </w:pPr>
      <w:r>
        <w:rPr>
          <w:rFonts w:ascii="宋体" w:hAnsi="宋体" w:hint="eastAsia"/>
          <w:sz w:val="24"/>
        </w:rPr>
        <w:t>本基金的登记</w:t>
      </w:r>
      <w:r>
        <w:rPr>
          <w:bCs/>
          <w:sz w:val="24"/>
        </w:rPr>
        <w:t>业务由基金管理人或基金管理人委托的其他符合条件的</w:t>
      </w:r>
      <w:r>
        <w:rPr>
          <w:rFonts w:ascii="宋体" w:hAnsi="宋体" w:hint="eastAsia"/>
          <w:sz w:val="24"/>
        </w:rPr>
        <w:t>机构</w:t>
      </w:r>
      <w:r>
        <w:rPr>
          <w:bCs/>
          <w:sz w:val="24"/>
        </w:rPr>
        <w:t>办理</w:t>
      </w:r>
      <w:r>
        <w:rPr>
          <w:rFonts w:ascii="宋体" w:hAnsi="宋体" w:hint="eastAsia"/>
          <w:sz w:val="24"/>
        </w:rPr>
        <w:t>。</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3D46BFA3" w14:textId="77777777" w:rsidR="00E82AF4" w:rsidRDefault="005B2E6A">
      <w:pPr>
        <w:pStyle w:val="HD0"/>
        <w:adjustRightInd w:val="0"/>
        <w:ind w:firstLine="480"/>
        <w:rPr>
          <w:rFonts w:ascii="宋体" w:hAnsi="宋体"/>
          <w:sz w:val="24"/>
        </w:rPr>
      </w:pPr>
      <w:r>
        <w:rPr>
          <w:rFonts w:hint="eastAsia"/>
          <w:sz w:val="24"/>
        </w:rPr>
        <w:t>本基金的登记机构</w:t>
      </w:r>
      <w:r>
        <w:rPr>
          <w:rFonts w:ascii="宋体" w:hAnsi="宋体" w:hint="eastAsia"/>
          <w:sz w:val="24"/>
          <w:szCs w:val="24"/>
        </w:rPr>
        <w:t>为中国证券登记结算有限责任公司。</w:t>
      </w:r>
    </w:p>
    <w:p w14:paraId="36796B67" w14:textId="77777777" w:rsidR="00E82AF4" w:rsidRDefault="005B2E6A">
      <w:pPr>
        <w:pStyle w:val="HD0"/>
        <w:adjustRightInd w:val="0"/>
        <w:ind w:firstLine="480"/>
        <w:rPr>
          <w:rFonts w:ascii="宋体" w:hAnsi="宋体"/>
          <w:sz w:val="24"/>
        </w:rPr>
      </w:pPr>
      <w:r>
        <w:rPr>
          <w:rFonts w:ascii="宋体" w:hAnsi="宋体" w:hint="eastAsia"/>
          <w:sz w:val="24"/>
        </w:rPr>
        <w:t>三、基金登记机构的权利</w:t>
      </w:r>
      <w:bookmarkStart w:id="343" w:name="_Hlt88820748"/>
      <w:bookmarkEnd w:id="343"/>
    </w:p>
    <w:p w14:paraId="548C4BAA" w14:textId="77777777" w:rsidR="00E82AF4" w:rsidRDefault="005B2E6A">
      <w:pPr>
        <w:pStyle w:val="HD0"/>
        <w:adjustRightInd w:val="0"/>
        <w:ind w:firstLine="480"/>
        <w:rPr>
          <w:rFonts w:ascii="宋体" w:hAnsi="宋体"/>
          <w:sz w:val="24"/>
        </w:rPr>
      </w:pPr>
      <w:r>
        <w:rPr>
          <w:rFonts w:ascii="宋体" w:hAnsi="宋体" w:hint="eastAsia"/>
          <w:sz w:val="24"/>
        </w:rPr>
        <w:t>基金登记机构享有以下权利：</w:t>
      </w:r>
    </w:p>
    <w:p w14:paraId="366FADC4" w14:textId="77777777" w:rsidR="00E82AF4" w:rsidRDefault="005B2E6A">
      <w:pPr>
        <w:pStyle w:val="HD0"/>
        <w:adjustRightInd w:val="0"/>
        <w:ind w:firstLine="480"/>
        <w:rPr>
          <w:rFonts w:ascii="宋体" w:hAnsi="宋体"/>
          <w:sz w:val="24"/>
        </w:rPr>
      </w:pPr>
      <w:r>
        <w:rPr>
          <w:rFonts w:ascii="宋体" w:hAnsi="宋体" w:hint="eastAsia"/>
          <w:sz w:val="24"/>
        </w:rPr>
        <w:t>1、取得登记费；</w:t>
      </w:r>
    </w:p>
    <w:p w14:paraId="0A4BDA29" w14:textId="77777777" w:rsidR="00E82AF4" w:rsidRDefault="005B2E6A">
      <w:pPr>
        <w:pStyle w:val="HD0"/>
        <w:adjustRightInd w:val="0"/>
        <w:ind w:firstLine="480"/>
        <w:rPr>
          <w:rFonts w:ascii="宋体" w:hAnsi="宋体"/>
          <w:sz w:val="24"/>
        </w:rPr>
      </w:pPr>
      <w:r>
        <w:rPr>
          <w:rFonts w:ascii="宋体" w:hAnsi="宋体" w:hint="eastAsia"/>
          <w:sz w:val="24"/>
        </w:rPr>
        <w:t>2、建立和管理</w:t>
      </w:r>
      <w:r>
        <w:rPr>
          <w:rFonts w:ascii="宋体" w:hAnsi="宋体" w:hint="eastAsia"/>
          <w:sz w:val="24"/>
          <w:szCs w:val="24"/>
        </w:rPr>
        <w:t>投资人</w:t>
      </w:r>
      <w:r>
        <w:rPr>
          <w:rFonts w:ascii="宋体" w:hAnsi="宋体" w:hint="eastAsia"/>
          <w:sz w:val="24"/>
        </w:rPr>
        <w:t>基金账户；</w:t>
      </w:r>
    </w:p>
    <w:p w14:paraId="547E8306" w14:textId="77777777" w:rsidR="00E82AF4" w:rsidRDefault="005B2E6A">
      <w:pPr>
        <w:pStyle w:val="HD0"/>
        <w:adjustRightInd w:val="0"/>
        <w:ind w:firstLine="480"/>
        <w:rPr>
          <w:rFonts w:ascii="宋体" w:hAnsi="宋体"/>
          <w:sz w:val="24"/>
        </w:rPr>
      </w:pPr>
      <w:r>
        <w:rPr>
          <w:rFonts w:ascii="宋体" w:hAnsi="宋体" w:hint="eastAsia"/>
          <w:sz w:val="24"/>
        </w:rPr>
        <w:t>3、保管基金份额持有人开户资料、交易资料、基金份额持有人名册等；</w:t>
      </w:r>
    </w:p>
    <w:p w14:paraId="14AD6499" w14:textId="77777777" w:rsidR="00E82AF4" w:rsidRDefault="005B2E6A">
      <w:pPr>
        <w:pStyle w:val="HD0"/>
        <w:adjustRightInd w:val="0"/>
        <w:ind w:firstLine="480"/>
        <w:rPr>
          <w:rFonts w:ascii="宋体" w:hAnsi="宋体"/>
          <w:sz w:val="24"/>
        </w:rPr>
      </w:pPr>
      <w:r>
        <w:rPr>
          <w:rFonts w:ascii="宋体" w:hAnsi="宋体" w:hint="eastAsia"/>
          <w:sz w:val="24"/>
        </w:rPr>
        <w:t>4、在法律法规允许的范围内，对登记业务的办理时间和相关业务规则进行调整，并依照有关规定于开始实施前在规定媒介上公告；</w:t>
      </w:r>
    </w:p>
    <w:p w14:paraId="700F793E" w14:textId="77777777" w:rsidR="00E82AF4" w:rsidRDefault="005B2E6A">
      <w:pPr>
        <w:pStyle w:val="HD0"/>
        <w:ind w:firstLine="480"/>
        <w:rPr>
          <w:rFonts w:ascii="宋体" w:hAnsi="宋体"/>
          <w:sz w:val="24"/>
        </w:rPr>
      </w:pPr>
      <w:r>
        <w:rPr>
          <w:rFonts w:ascii="宋体" w:hAnsi="宋体" w:hint="eastAsia"/>
          <w:sz w:val="24"/>
        </w:rPr>
        <w:t>5、法律法规及中国证监会规定的和《基金合同》约定的其他权利。</w:t>
      </w:r>
    </w:p>
    <w:p w14:paraId="6D1A7215" w14:textId="77777777" w:rsidR="00E82AF4" w:rsidRDefault="005B2E6A">
      <w:pPr>
        <w:pStyle w:val="HD0"/>
        <w:adjustRightInd w:val="0"/>
        <w:ind w:firstLine="480"/>
        <w:rPr>
          <w:rFonts w:ascii="宋体" w:hAnsi="宋体"/>
          <w:sz w:val="24"/>
        </w:rPr>
      </w:pPr>
      <w:r>
        <w:rPr>
          <w:rFonts w:ascii="宋体" w:hAnsi="宋体" w:hint="eastAsia"/>
          <w:sz w:val="24"/>
        </w:rPr>
        <w:t>四、基金登记机构的义务</w:t>
      </w:r>
    </w:p>
    <w:p w14:paraId="6FAD7E94" w14:textId="77777777" w:rsidR="00E82AF4" w:rsidRDefault="005B2E6A">
      <w:pPr>
        <w:pStyle w:val="HD0"/>
        <w:adjustRightInd w:val="0"/>
        <w:ind w:firstLine="480"/>
        <w:rPr>
          <w:rFonts w:ascii="宋体" w:hAnsi="宋体"/>
          <w:sz w:val="24"/>
        </w:rPr>
      </w:pPr>
      <w:r>
        <w:rPr>
          <w:rFonts w:ascii="宋体" w:hAnsi="宋体" w:hint="eastAsia"/>
          <w:sz w:val="24"/>
        </w:rPr>
        <w:t>基金登记机构承担以下义务：</w:t>
      </w:r>
    </w:p>
    <w:p w14:paraId="7CF56302" w14:textId="77777777" w:rsidR="00E82AF4" w:rsidRDefault="005B2E6A">
      <w:pPr>
        <w:pStyle w:val="HD0"/>
        <w:adjustRightInd w:val="0"/>
        <w:ind w:firstLine="480"/>
        <w:rPr>
          <w:rFonts w:ascii="宋体" w:hAnsi="宋体"/>
          <w:sz w:val="24"/>
        </w:rPr>
      </w:pPr>
      <w:r>
        <w:rPr>
          <w:rFonts w:ascii="宋体" w:hAnsi="宋体" w:hint="eastAsia"/>
          <w:sz w:val="24"/>
        </w:rPr>
        <w:t>1、配备足够的专业人员办理本基金</w:t>
      </w:r>
      <w:r>
        <w:rPr>
          <w:rFonts w:ascii="宋体" w:hAnsi="宋体" w:hint="eastAsia"/>
          <w:sz w:val="24"/>
          <w:szCs w:val="24"/>
        </w:rPr>
        <w:t>基金</w:t>
      </w:r>
      <w:r>
        <w:rPr>
          <w:rFonts w:ascii="宋体" w:hAnsi="宋体" w:hint="eastAsia"/>
          <w:sz w:val="24"/>
        </w:rPr>
        <w:t>份额的登记业务；</w:t>
      </w:r>
    </w:p>
    <w:p w14:paraId="74501260" w14:textId="77777777" w:rsidR="00E82AF4" w:rsidRDefault="005B2E6A">
      <w:pPr>
        <w:pStyle w:val="HD0"/>
        <w:adjustRightInd w:val="0"/>
        <w:ind w:firstLine="480"/>
        <w:rPr>
          <w:rFonts w:ascii="宋体" w:hAnsi="宋体"/>
          <w:sz w:val="24"/>
        </w:rPr>
      </w:pPr>
      <w:r>
        <w:rPr>
          <w:rFonts w:ascii="宋体" w:hAnsi="宋体" w:hint="eastAsia"/>
          <w:sz w:val="24"/>
        </w:rPr>
        <w:t>2、严格按照法律法规和《基金合同》规定的条件办理本基金</w:t>
      </w:r>
      <w:r>
        <w:rPr>
          <w:rFonts w:ascii="宋体" w:hAnsi="宋体" w:hint="eastAsia"/>
          <w:sz w:val="24"/>
          <w:szCs w:val="24"/>
        </w:rPr>
        <w:t>基金</w:t>
      </w:r>
      <w:r>
        <w:rPr>
          <w:rFonts w:ascii="宋体" w:hAnsi="宋体" w:hint="eastAsia"/>
          <w:sz w:val="24"/>
        </w:rPr>
        <w:t>份额的登记业务；</w:t>
      </w:r>
    </w:p>
    <w:p w14:paraId="57CB4215" w14:textId="77777777" w:rsidR="00E82AF4" w:rsidRDefault="005B2E6A">
      <w:pPr>
        <w:pStyle w:val="HD0"/>
        <w:adjustRightInd w:val="0"/>
        <w:ind w:firstLine="480"/>
        <w:rPr>
          <w:rFonts w:ascii="宋体" w:hAnsi="宋体"/>
          <w:sz w:val="24"/>
        </w:rPr>
      </w:pPr>
      <w:r>
        <w:rPr>
          <w:rFonts w:ascii="宋体" w:hAnsi="宋体" w:hint="eastAsia"/>
          <w:sz w:val="24"/>
        </w:rPr>
        <w:t>3、妥善保存登记数据，并将基金份额持有人名称、身份信息及基金份额明细等数据备份至中国证监会认定的机构</w:t>
      </w:r>
      <w:r>
        <w:rPr>
          <w:rFonts w:ascii="宋体" w:hAnsi="宋体" w:hint="eastAsia"/>
          <w:sz w:val="24"/>
          <w:szCs w:val="24"/>
        </w:rPr>
        <w:t>。</w:t>
      </w:r>
      <w:r>
        <w:rPr>
          <w:rFonts w:ascii="宋体" w:hAnsi="宋体" w:hint="eastAsia"/>
          <w:sz w:val="24"/>
        </w:rPr>
        <w:t>其保存期限自基金账户销户之日起不得</w:t>
      </w:r>
      <w:r>
        <w:rPr>
          <w:rFonts w:ascii="宋体" w:hAnsi="宋体" w:hint="eastAsia"/>
          <w:sz w:val="24"/>
        </w:rPr>
        <w:lastRenderedPageBreak/>
        <w:t>少于2</w:t>
      </w:r>
      <w:r>
        <w:rPr>
          <w:rFonts w:ascii="宋体" w:hAnsi="宋体"/>
          <w:sz w:val="24"/>
        </w:rPr>
        <w:t>0</w:t>
      </w:r>
      <w:r>
        <w:rPr>
          <w:rFonts w:ascii="宋体" w:hAnsi="宋体" w:hint="eastAsia"/>
          <w:sz w:val="24"/>
        </w:rPr>
        <w:t>年；</w:t>
      </w:r>
    </w:p>
    <w:p w14:paraId="1FFEF212" w14:textId="77777777" w:rsidR="00E82AF4" w:rsidRDefault="005B2E6A">
      <w:pPr>
        <w:pStyle w:val="HD0"/>
        <w:adjustRightInd w:val="0"/>
        <w:ind w:firstLine="480"/>
        <w:rPr>
          <w:rFonts w:ascii="宋体" w:hAnsi="宋体"/>
          <w:sz w:val="24"/>
        </w:rPr>
      </w:pPr>
      <w:r>
        <w:rPr>
          <w:rFonts w:ascii="宋体" w:hAnsi="宋体" w:hint="eastAsia"/>
          <w:sz w:val="24"/>
        </w:rPr>
        <w:t>4、对基金份额持有人的基金账户信息负有保密义务，因违反该保密义务对</w:t>
      </w:r>
      <w:r>
        <w:rPr>
          <w:rFonts w:ascii="宋体" w:hAnsi="宋体" w:hint="eastAsia"/>
          <w:sz w:val="24"/>
          <w:szCs w:val="24"/>
        </w:rPr>
        <w:t>投资人</w:t>
      </w:r>
      <w:r>
        <w:rPr>
          <w:rFonts w:ascii="宋体" w:hAnsi="宋体" w:hint="eastAsia"/>
          <w:sz w:val="24"/>
        </w:rPr>
        <w:t>或基金带来的损失，须承担相应的赔偿责任，但司法强制检查情形及法律法规及中国证监会规定的和《基金合同》约定的其他情形除外；</w:t>
      </w:r>
    </w:p>
    <w:p w14:paraId="3CA826EF" w14:textId="77777777" w:rsidR="00E82AF4" w:rsidRDefault="005B2E6A">
      <w:pPr>
        <w:pStyle w:val="HD0"/>
        <w:adjustRightInd w:val="0"/>
        <w:ind w:firstLine="480"/>
        <w:rPr>
          <w:rFonts w:ascii="宋体" w:hAnsi="宋体"/>
          <w:sz w:val="24"/>
        </w:rPr>
      </w:pPr>
      <w:r>
        <w:rPr>
          <w:rFonts w:ascii="宋体" w:hAnsi="宋体" w:hint="eastAsia"/>
          <w:sz w:val="24"/>
        </w:rPr>
        <w:t>5、按《基金合同》及招募说明书规定为</w:t>
      </w:r>
      <w:r>
        <w:rPr>
          <w:rFonts w:ascii="宋体" w:hAnsi="宋体" w:hint="eastAsia"/>
          <w:sz w:val="24"/>
          <w:szCs w:val="24"/>
        </w:rPr>
        <w:t>投资人</w:t>
      </w:r>
      <w:r>
        <w:rPr>
          <w:rFonts w:ascii="宋体" w:hAnsi="宋体" w:hint="eastAsia"/>
          <w:sz w:val="24"/>
        </w:rPr>
        <w:t>办理非交易过户业务、提供其他必要的服务；</w:t>
      </w:r>
    </w:p>
    <w:p w14:paraId="1B4BB898" w14:textId="77777777" w:rsidR="00E82AF4" w:rsidRDefault="005B2E6A">
      <w:pPr>
        <w:pStyle w:val="HD0"/>
        <w:adjustRightInd w:val="0"/>
        <w:ind w:firstLine="480"/>
        <w:rPr>
          <w:rFonts w:ascii="宋体" w:hAnsi="宋体"/>
          <w:sz w:val="24"/>
        </w:rPr>
      </w:pPr>
      <w:bookmarkStart w:id="344" w:name="_Toc484089833"/>
      <w:bookmarkStart w:id="345" w:name="_Toc484089926"/>
      <w:r>
        <w:rPr>
          <w:rFonts w:ascii="宋体" w:hAnsi="宋体" w:hint="eastAsia"/>
          <w:sz w:val="24"/>
        </w:rPr>
        <w:t>6、接受基金管理人的监督；</w:t>
      </w:r>
    </w:p>
    <w:p w14:paraId="70929372" w14:textId="77777777" w:rsidR="00E82AF4" w:rsidRDefault="005B2E6A">
      <w:pPr>
        <w:pStyle w:val="HD0"/>
        <w:adjustRightInd w:val="0"/>
        <w:ind w:firstLine="480"/>
        <w:rPr>
          <w:rFonts w:ascii="宋体" w:hAnsi="宋体"/>
          <w:sz w:val="24"/>
        </w:rPr>
      </w:pPr>
      <w:r>
        <w:rPr>
          <w:rFonts w:ascii="宋体" w:hAnsi="宋体" w:hint="eastAsia"/>
          <w:sz w:val="24"/>
        </w:rPr>
        <w:t>7、如因登记机构的原因而造成基金管理人或者基金份额持有人损失的，依法承担相应的赔偿责任；</w:t>
      </w:r>
    </w:p>
    <w:p w14:paraId="2AC00FB1" w14:textId="77777777" w:rsidR="00E82AF4" w:rsidRDefault="005B2E6A">
      <w:pPr>
        <w:pStyle w:val="HD0"/>
        <w:adjustRightInd w:val="0"/>
        <w:ind w:firstLine="480"/>
      </w:pPr>
      <w:r>
        <w:rPr>
          <w:rFonts w:ascii="宋体" w:hAnsi="宋体" w:hint="eastAsia"/>
          <w:sz w:val="24"/>
        </w:rPr>
        <w:t>8、法律法规及中国证监会规定的和《基金合同》约定的其他义务。</w:t>
      </w:r>
      <w:bookmarkEnd w:id="344"/>
      <w:bookmarkEnd w:id="345"/>
    </w:p>
    <w:p w14:paraId="4FD2A285" w14:textId="77777777" w:rsidR="00E82AF4" w:rsidRDefault="005B2E6A">
      <w:pPr>
        <w:pStyle w:val="1"/>
        <w:spacing w:before="0" w:after="0"/>
        <w:jc w:val="center"/>
        <w:rPr>
          <w:rFonts w:ascii="Times New Roman"/>
          <w:color w:val="auto"/>
          <w:sz w:val="32"/>
        </w:rPr>
      </w:pPr>
      <w:r>
        <w:rPr>
          <w:rFonts w:ascii="Times New Roman"/>
          <w:b w:val="0"/>
          <w:color w:val="auto"/>
          <w:kern w:val="2"/>
          <w:sz w:val="21"/>
        </w:rPr>
        <w:br w:type="page"/>
      </w:r>
      <w:bookmarkStart w:id="346" w:name="_Toc29728"/>
      <w:bookmarkStart w:id="347" w:name="_Toc11395"/>
      <w:bookmarkStart w:id="348" w:name="_Toc16437"/>
      <w:bookmarkStart w:id="349" w:name="_Toc3872"/>
      <w:bookmarkStart w:id="350" w:name="_Toc32307769"/>
      <w:bookmarkStart w:id="351" w:name="_Toc22538"/>
      <w:bookmarkStart w:id="352" w:name="_Toc5477"/>
      <w:bookmarkStart w:id="353" w:name="_Toc801"/>
      <w:bookmarkStart w:id="354" w:name="_Toc13343"/>
      <w:bookmarkStart w:id="355" w:name="_Toc21917"/>
      <w:bookmarkStart w:id="356" w:name="_Toc11351"/>
      <w:bookmarkStart w:id="357" w:name="_Toc2981"/>
      <w:bookmarkStart w:id="358" w:name="_Toc578"/>
      <w:bookmarkStart w:id="359" w:name="_Hlk163663986"/>
      <w:r>
        <w:rPr>
          <w:rFonts w:ascii="Times New Roman"/>
          <w:color w:val="auto"/>
          <w:sz w:val="32"/>
          <w:szCs w:val="32"/>
        </w:rPr>
        <w:lastRenderedPageBreak/>
        <w:t>第十</w:t>
      </w:r>
      <w:r>
        <w:rPr>
          <w:rFonts w:ascii="Times New Roman" w:hint="eastAsia"/>
          <w:color w:val="auto"/>
          <w:sz w:val="32"/>
          <w:szCs w:val="32"/>
        </w:rPr>
        <w:t>四</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基金的投资</w:t>
      </w:r>
      <w:bookmarkEnd w:id="346"/>
      <w:bookmarkEnd w:id="347"/>
      <w:bookmarkEnd w:id="348"/>
      <w:bookmarkEnd w:id="349"/>
      <w:bookmarkEnd w:id="350"/>
      <w:bookmarkEnd w:id="351"/>
      <w:bookmarkEnd w:id="352"/>
      <w:bookmarkEnd w:id="353"/>
      <w:bookmarkEnd w:id="354"/>
      <w:bookmarkEnd w:id="355"/>
      <w:bookmarkEnd w:id="356"/>
      <w:bookmarkEnd w:id="357"/>
      <w:bookmarkEnd w:id="358"/>
    </w:p>
    <w:p w14:paraId="45E0B5EE" w14:textId="77777777" w:rsidR="00E82AF4" w:rsidRDefault="00E82AF4">
      <w:pPr>
        <w:spacing w:line="360" w:lineRule="auto"/>
        <w:ind w:firstLineChars="200" w:firstLine="480"/>
        <w:rPr>
          <w:bCs/>
          <w:sz w:val="24"/>
        </w:rPr>
      </w:pPr>
    </w:p>
    <w:p w14:paraId="748DDA48" w14:textId="77777777" w:rsidR="00E82AF4" w:rsidRDefault="005B2E6A">
      <w:pPr>
        <w:pStyle w:val="HD0"/>
        <w:adjustRightInd w:val="0"/>
        <w:ind w:firstLine="480"/>
        <w:rPr>
          <w:rFonts w:ascii="宋体" w:hAnsi="宋体"/>
          <w:sz w:val="24"/>
        </w:rPr>
      </w:pPr>
      <w:r>
        <w:rPr>
          <w:rFonts w:ascii="宋体" w:hAnsi="宋体" w:hint="eastAsia"/>
          <w:sz w:val="24"/>
        </w:rPr>
        <w:t>一、投资目标</w:t>
      </w:r>
    </w:p>
    <w:p w14:paraId="5A5AC974" w14:textId="77777777" w:rsidR="00E82AF4" w:rsidRDefault="005B2E6A">
      <w:pPr>
        <w:pStyle w:val="HD0"/>
        <w:adjustRightInd w:val="0"/>
        <w:ind w:firstLine="480"/>
        <w:rPr>
          <w:rFonts w:ascii="宋体" w:hAnsi="宋体"/>
          <w:bCs/>
          <w:sz w:val="24"/>
          <w:szCs w:val="24"/>
        </w:rPr>
      </w:pPr>
      <w:bookmarkStart w:id="360" w:name="_Hlk103675294"/>
      <w:r>
        <w:rPr>
          <w:rFonts w:ascii="宋体" w:hAnsi="宋体" w:hint="eastAsia"/>
          <w:sz w:val="24"/>
          <w:szCs w:val="24"/>
        </w:rPr>
        <w:t>本基金采用被动指数化投资，紧密跟踪标的指数，追求跟踪偏离度和跟踪误差最小化</w:t>
      </w:r>
      <w:r>
        <w:rPr>
          <w:rFonts w:ascii="宋体" w:hAnsi="宋体"/>
          <w:bCs/>
          <w:sz w:val="24"/>
          <w:szCs w:val="24"/>
        </w:rPr>
        <w:t>。</w:t>
      </w:r>
      <w:bookmarkEnd w:id="360"/>
    </w:p>
    <w:p w14:paraId="775F4A9D" w14:textId="77777777" w:rsidR="00E82AF4" w:rsidRDefault="005B2E6A">
      <w:pPr>
        <w:pStyle w:val="HD0"/>
        <w:adjustRightInd w:val="0"/>
        <w:ind w:firstLine="480"/>
        <w:rPr>
          <w:rFonts w:ascii="宋体" w:hAnsi="宋体"/>
          <w:sz w:val="24"/>
        </w:rPr>
      </w:pPr>
      <w:bookmarkStart w:id="361" w:name="_Hlk209706542"/>
      <w:r>
        <w:rPr>
          <w:rFonts w:ascii="宋体" w:hAnsi="宋体" w:hint="eastAsia"/>
          <w:sz w:val="24"/>
        </w:rPr>
        <w:t>二、投资范围</w:t>
      </w:r>
    </w:p>
    <w:p w14:paraId="6C77E20D" w14:textId="77777777" w:rsidR="00E82AF4" w:rsidRDefault="005B2E6A">
      <w:pPr>
        <w:pStyle w:val="HD0"/>
        <w:adjustRightInd w:val="0"/>
        <w:ind w:firstLine="480"/>
        <w:rPr>
          <w:rFonts w:ascii="宋体" w:hAnsi="宋体"/>
          <w:sz w:val="24"/>
        </w:rPr>
      </w:pPr>
      <w:bookmarkStart w:id="362" w:name="_Hlk103675309"/>
      <w:bookmarkStart w:id="363" w:name="OLE_LINK9"/>
      <w:bookmarkStart w:id="364" w:name="OLE_LINK10"/>
      <w:r>
        <w:rPr>
          <w:rFonts w:ascii="宋体" w:hAnsi="宋体" w:hint="eastAsia"/>
          <w:sz w:val="24"/>
        </w:rPr>
        <w:t>本基金主要投资于标的指数成份股及备选成份股（均含存托凭证，下同）。同时，为更好地实现投资目标，本基金可少量投资于部分非成份股（包含主板股票、创业板股票、科创板股票、存托凭证及其他经中国证监会核准或注册上市的股票）、债券资产（包括国债、金融债券、企业债券、公司债券、公开发行的次级债券、可转换公司债券（含分离交易的可转换公司债券）、央行票据、短期融资券、超短期融资券、地方政府债券、政府支持机构债券、中期票据、可交换债券以及其他中国证监会允许投资的债券）、银行存款（包括银行定期存款、协议存款及其他银行存款）、资产支持证券、债券回购、同业存单、现金、衍生工具（股指期货、股票期权、国债期货）以及法律法规或中国证监会允许基金投资的其他金融工具（但须符合中国证监会相关规定）。</w:t>
      </w:r>
    </w:p>
    <w:p w14:paraId="6FF464CC" w14:textId="77777777" w:rsidR="00E82AF4" w:rsidRDefault="005B2E6A">
      <w:pPr>
        <w:pStyle w:val="HD0"/>
        <w:adjustRightInd w:val="0"/>
        <w:ind w:firstLine="480"/>
        <w:rPr>
          <w:rFonts w:ascii="宋体" w:hAnsi="宋体"/>
          <w:sz w:val="24"/>
        </w:rPr>
      </w:pPr>
      <w:r>
        <w:rPr>
          <w:rFonts w:ascii="宋体" w:hAnsi="宋体" w:hint="eastAsia"/>
          <w:sz w:val="24"/>
        </w:rPr>
        <w:t>本基金可以根据相关法律法规，参与融资及转融通证券出借业务。</w:t>
      </w:r>
    </w:p>
    <w:p w14:paraId="408EEE47" w14:textId="77777777" w:rsidR="00E82AF4" w:rsidRDefault="005B2E6A">
      <w:pPr>
        <w:pStyle w:val="HD0"/>
        <w:adjustRightInd w:val="0"/>
        <w:ind w:firstLine="480"/>
        <w:rPr>
          <w:rFonts w:ascii="宋体" w:hAnsi="宋体"/>
          <w:sz w:val="24"/>
        </w:rPr>
      </w:pPr>
      <w:r>
        <w:rPr>
          <w:rFonts w:ascii="宋体" w:hAnsi="宋体" w:hint="eastAsia"/>
          <w:sz w:val="24"/>
        </w:rPr>
        <w:t>如法律法规或监管机构以后允许基金投资其他品种，基金管理人在履行适当程序后，可以将其纳入投资范围，其投资原则及投资比例限制按法律法规或监管机构的相关规定执行。</w:t>
      </w:r>
    </w:p>
    <w:p w14:paraId="2D315992" w14:textId="77777777" w:rsidR="00E82AF4" w:rsidRDefault="005B2E6A">
      <w:pPr>
        <w:pStyle w:val="HD0"/>
        <w:adjustRightInd w:val="0"/>
        <w:ind w:firstLine="480"/>
        <w:rPr>
          <w:rFonts w:ascii="宋体" w:hAnsi="宋体"/>
          <w:sz w:val="24"/>
        </w:rPr>
      </w:pPr>
      <w:r>
        <w:rPr>
          <w:rFonts w:ascii="宋体" w:hAnsi="宋体" w:hint="eastAsia"/>
          <w:sz w:val="24"/>
        </w:rPr>
        <w:t>在建仓完成后，本基金投资于标的指数成份股及备选成份股的资产不低于基金资产净值的90%，且不低于非现金基金资产的80%，每个交易日日终在扣除股指期货合约、股票期权合约和国债期货合约需缴纳的交易保证金后，应当保持不低于交易保证金一倍的现金，其中，现金不包括结算备付金、存出保证金和应收申购款等，因法律法规的规定而受限制的情形除外。</w:t>
      </w:r>
    </w:p>
    <w:p w14:paraId="75B1D817" w14:textId="77777777" w:rsidR="00E82AF4" w:rsidRDefault="005B2E6A">
      <w:pPr>
        <w:pStyle w:val="HD0"/>
        <w:ind w:firstLine="480"/>
        <w:rPr>
          <w:rFonts w:ascii="宋体" w:hAnsi="宋体"/>
          <w:sz w:val="24"/>
        </w:rPr>
      </w:pPr>
      <w:r>
        <w:rPr>
          <w:rFonts w:ascii="宋体" w:hAnsi="宋体" w:hint="eastAsia"/>
          <w:sz w:val="24"/>
        </w:rPr>
        <w:t>如果法律法规或中国证监会变更相关投资品种的投资比例限制，基金管理人在履行适当程序后，可以调整上述投资品种的投资比例或按变更后的规定执行。</w:t>
      </w:r>
      <w:bookmarkEnd w:id="362"/>
    </w:p>
    <w:bookmarkEnd w:id="361"/>
    <w:bookmarkEnd w:id="363"/>
    <w:bookmarkEnd w:id="364"/>
    <w:p w14:paraId="54AD66C0" w14:textId="77777777" w:rsidR="00E82AF4" w:rsidRDefault="005B2E6A">
      <w:pPr>
        <w:pStyle w:val="HD0"/>
        <w:adjustRightInd w:val="0"/>
        <w:ind w:firstLine="480"/>
        <w:rPr>
          <w:rFonts w:ascii="宋体" w:hAnsi="宋体"/>
          <w:sz w:val="24"/>
        </w:rPr>
      </w:pPr>
      <w:r>
        <w:rPr>
          <w:rFonts w:ascii="宋体" w:hAnsi="宋体" w:hint="eastAsia"/>
          <w:sz w:val="24"/>
        </w:rPr>
        <w:t>三、投资策略</w:t>
      </w:r>
    </w:p>
    <w:p w14:paraId="7DAAFC06" w14:textId="77777777" w:rsidR="00E82AF4" w:rsidRDefault="005B2E6A">
      <w:pPr>
        <w:pStyle w:val="HD0"/>
        <w:ind w:firstLine="480"/>
        <w:rPr>
          <w:rFonts w:ascii="宋体" w:hAnsi="宋体" w:cs="宋体"/>
          <w:bCs/>
          <w:sz w:val="24"/>
          <w:szCs w:val="24"/>
        </w:rPr>
      </w:pPr>
      <w:bookmarkStart w:id="365" w:name="_Hlk103675352"/>
      <w:bookmarkStart w:id="366" w:name="OLE_LINK12"/>
      <w:bookmarkStart w:id="367" w:name="OLE_LINK13"/>
      <w:r>
        <w:rPr>
          <w:rFonts w:ascii="宋体" w:hAnsi="宋体"/>
          <w:sz w:val="24"/>
          <w:lang w:val="zh-CN"/>
        </w:rPr>
        <w:t>1、</w:t>
      </w:r>
      <w:r>
        <w:rPr>
          <w:rFonts w:ascii="宋体" w:hAnsi="宋体" w:hint="eastAsia"/>
          <w:sz w:val="24"/>
          <w:lang w:val="zh-CN"/>
        </w:rPr>
        <w:t>股票投资策略</w:t>
      </w:r>
    </w:p>
    <w:bookmarkEnd w:id="365"/>
    <w:p w14:paraId="2FBDE76E"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lastRenderedPageBreak/>
        <w:t>（1）指数化投资策略</w:t>
      </w:r>
    </w:p>
    <w:p w14:paraId="0F8B00D8"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本基金主要采取完全复制法跟踪标的指数，即完全按照标的指数的成份股组成及其权重构建基金股票投资组合，并根据标的指数成份股及其权重的变动而进行相应调整。</w:t>
      </w:r>
    </w:p>
    <w:p w14:paraId="39A57854"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当预期成份股发生调整和成份股发生配股、增发、分红、长期停牌等行为时，或因基金的申购和赎回等对本基金跟踪标的指数的效果可能带来影响时，或因某些特殊情况导致流动性不足时，或其他原因导致无法有效复制和跟踪标的指数时，基金经理将配合使用其他合理的投资方法作为完全复制法的补充，构建本基金实际的投资组合，以追求尽可能贴近标的指数的表现，有效控制跟踪误差。本基金将根据市场情况，结合经验判断，综合考虑相关性、估值、流动性等因素挑选标的指数中其他成份股或备选成份股进行替代，以期在规定的风险承受限度内，尽量缩小跟踪误差。</w:t>
      </w:r>
    </w:p>
    <w:p w14:paraId="34A3F0C2"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在本基金运作过程中，如本基金标的指数成份股发生明显负面事件面临退市风险，且指数编制机构暂未做出调整的，基金管理人按照基金份额持有人利益优先的原则，在履行内部决策程序后，通过成份股替代等方式对相关指数成份股进行调整。</w:t>
      </w:r>
    </w:p>
    <w:p w14:paraId="733BE9F8"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建仓期结束后，在正常市场情况下，本基金力争实现日均跟踪偏离度的绝对值不超过0.2%，年跟踪误差不超过2%。如因指数编制规则调整或其他因素导致跟踪偏离度和跟踪误差超过上述范围，基金管理人应采取合理措施避免跟踪偏离度和跟踪误差进一步扩大。</w:t>
      </w:r>
    </w:p>
    <w:p w14:paraId="0EF43919"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（2）存托凭证投资策略</w:t>
      </w:r>
    </w:p>
    <w:p w14:paraId="14F297C4"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本基金在综合考虑预期收益、风险、流动性等因素的基础上，根据审慎原则合理参与存托凭证的投资，以更好地跟踪标的指数，追求跟踪偏离度和跟踪误差的最小化。</w:t>
      </w:r>
    </w:p>
    <w:p w14:paraId="40ED1622"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2、金融衍生工具投资策略</w:t>
      </w:r>
    </w:p>
    <w:p w14:paraId="196CE092"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为提高投资效率，使得基金的投资组合更紧密地跟踪标的指数，更好地实现本基金的投资目标，本基金可投资于股票期权、股指期货、国债期货以及其他与标的指数或标的指数成份股相关的金融衍生工具。</w:t>
      </w:r>
    </w:p>
    <w:p w14:paraId="4E5D2E89"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基金参与股指期货交易，应当根据风险管理的原则，以套期保值为目的。在此基础上，主要选择流动性好、交易活跃的股指期货合约，以提高投资效率，从</w:t>
      </w:r>
      <w:r>
        <w:rPr>
          <w:rFonts w:ascii="宋体" w:hAnsi="宋体" w:cs="宋体" w:hint="eastAsia"/>
          <w:bCs/>
          <w:sz w:val="24"/>
          <w:szCs w:val="24"/>
        </w:rPr>
        <w:lastRenderedPageBreak/>
        <w:t>而更好地跟踪标的指数。</w:t>
      </w:r>
    </w:p>
    <w:p w14:paraId="2D958C67"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基金参与股票期权交易，应当按照风险管理的原则，以套期保值为主要目的。本基金将结合投资目标、比例限制、风险收益特征以及法律法规的相关限定和要求，确定参与股票期权交易的投资时机和投资比例。</w:t>
      </w:r>
    </w:p>
    <w:p w14:paraId="1B827125"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本基金投资国债期货将根据风险管理的原则，以套期保值为目的，主要选择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以及特殊情况下的流动性风险，如大额申购赎回等；利用金融衍生品的杠杆作用，以达到降低投资组合的整体风险的目的。</w:t>
      </w:r>
    </w:p>
    <w:p w14:paraId="73784EC8"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3、债券投资策略</w:t>
      </w:r>
    </w:p>
    <w:p w14:paraId="27416446"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本基金通过深入分析宏观经济数据、货币政策和利率变化趋势以及不同类属的收益率水平、流动性和信用风险等因素的基础上，构建债券投资组合。本基金运用久期控制策略、期限结构配置策略、类属配置策略、骑乘策略、杠杆放大策略等多种策略进行债券投资。在保持久期匹配的情况下，尽可能提高闲置资金的收益率。</w:t>
      </w:r>
    </w:p>
    <w:p w14:paraId="1165BFE1"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4、可转换公司债券（含分离交易的可转换公司债券）及可交换债券的投资策略</w:t>
      </w:r>
    </w:p>
    <w:p w14:paraId="2A7C5B30"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可转换公司债券等投资品种通过赋予债券投资者某种期权的形式，兼具债券属性与权益属性，风险收益特征更加独特，相应的投资策略灵活多样。本基金将充分利用该类投资品种的特性，研究挖掘其投资价值，债券价值方面综合考虑票面利率、久期、信用资质、发行主体财务状况、行业特征及公司治理等因素；权益价值方面通过对可转换公司债券所对应个股的价值分析，包括估值水平、盈利能力及预期等。此外，还需结合对含权条款的研究，以衍生品量化视角综合判断内含的期权价值。</w:t>
      </w:r>
    </w:p>
    <w:p w14:paraId="037431CB"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可交换债券与可转换公司债券的区别在于换股期间用于交换的股票并非自身新发的股票，而是发行人持有的其他上市公司的股票。可交换债券同样具有债券属性和权益属性，其中债券属性与可转换公司债券相同，即选择持有可交换债券至到期以获取票面价值和票面利息；而对于权益属性的分析则需关注目标公司</w:t>
      </w:r>
      <w:r>
        <w:rPr>
          <w:rFonts w:ascii="宋体" w:hAnsi="宋体" w:cs="宋体" w:hint="eastAsia"/>
          <w:bCs/>
          <w:sz w:val="24"/>
          <w:szCs w:val="24"/>
        </w:rPr>
        <w:lastRenderedPageBreak/>
        <w:t>的股票价值以及发行人作为股东的换股意愿等。本基金将通过对目标公司股票的投资价值、可交换债券的债券价值、以及条款带来的期权价值等综合分析，进行投资决策。</w:t>
      </w:r>
    </w:p>
    <w:p w14:paraId="5AACE2F9"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5、资产支持证券投资策略</w:t>
      </w:r>
    </w:p>
    <w:p w14:paraId="4A08B69E"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本基金将深入分析资产支持证券的市场利率、发行条款、支持资产的构成及质量、提前偿还率、风险补偿收益和市场流动性等基本面因素，估计资产违约风险和提前偿付风险，并根据资产证券化的收益结构安排，模拟资产支持证券的本金偿还和利息收益的现金流过程，辅助采用蒙特卡洛方法等数量化定价模型，评估其内在价值。</w:t>
      </w:r>
    </w:p>
    <w:p w14:paraId="76436862"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6、参与融资及转融通证券出借业务的投资策略</w:t>
      </w:r>
    </w:p>
    <w:p w14:paraId="0D260FA8" w14:textId="77777777" w:rsidR="00E82AF4" w:rsidRDefault="005B2E6A">
      <w:pPr>
        <w:pStyle w:val="HD0"/>
        <w:ind w:firstLine="480"/>
        <w:rPr>
          <w:rFonts w:ascii="宋体" w:hAnsi="宋体" w:cs="宋体"/>
          <w:bCs/>
          <w:sz w:val="24"/>
          <w:szCs w:val="24"/>
        </w:rPr>
      </w:pPr>
      <w:r>
        <w:rPr>
          <w:rFonts w:ascii="宋体" w:hAnsi="宋体" w:cs="宋体" w:hint="eastAsia"/>
          <w:bCs/>
          <w:sz w:val="24"/>
          <w:szCs w:val="24"/>
        </w:rPr>
        <w:t>为更好地实现投资目标，在加强风险防范并遵守审慎性原则的前提下，本基金可根据投资管理的需要参与融资及转融通证券出借业务。本基金在参与融资业务时，将通过对市场环境、利率水平、基金规模以及基金申购赎回情况等因素的研究和判断，决定融资规模。本基金管理人将充分考虑融资业务的收益性、流动性及风险性特征，谨慎进行投资，力争提高基金的投资收益。本基金将在分析市场情况、投资者类型与结构、基金历史申赎情况及出借证券流动性情况等因素的基础上，合理确定出借证券的范围、证券出借平均剩余期限和出借证券在基金资产中的占比。</w:t>
      </w:r>
    </w:p>
    <w:p w14:paraId="605AB986" w14:textId="77777777" w:rsidR="00E82AF4" w:rsidRDefault="005B2E6A">
      <w:pPr>
        <w:pStyle w:val="HD0"/>
        <w:ind w:firstLine="480"/>
        <w:rPr>
          <w:rFonts w:ascii="宋体" w:hAnsi="宋体"/>
          <w:sz w:val="24"/>
          <w:lang w:val="zh-CN"/>
        </w:rPr>
      </w:pPr>
      <w:r>
        <w:rPr>
          <w:rFonts w:ascii="宋体" w:hAnsi="宋体" w:cs="宋体" w:hint="eastAsia"/>
          <w:bCs/>
          <w:sz w:val="24"/>
          <w:szCs w:val="24"/>
        </w:rPr>
        <w:t>未来，随着市场的发展和基金管理运作的需要，基金管理人可以在不改变投资目标的前提下，遵循法律法规的规定，履行适当程序后，相应调整或更新投资策略，并在招募说明书（更新）中公告。</w:t>
      </w:r>
    </w:p>
    <w:p w14:paraId="5963D492" w14:textId="77777777" w:rsidR="00E82AF4" w:rsidRDefault="005B2E6A">
      <w:pPr>
        <w:pStyle w:val="HD0"/>
        <w:adjustRightInd w:val="0"/>
        <w:ind w:firstLine="480"/>
        <w:rPr>
          <w:rFonts w:ascii="宋体" w:hAnsi="宋体"/>
          <w:sz w:val="24"/>
        </w:rPr>
      </w:pPr>
      <w:bookmarkStart w:id="368" w:name="_Hlk88582188"/>
      <w:bookmarkStart w:id="369" w:name="_Hlk209706555"/>
      <w:bookmarkEnd w:id="366"/>
      <w:bookmarkEnd w:id="367"/>
      <w:r>
        <w:rPr>
          <w:rFonts w:ascii="宋体" w:hAnsi="宋体" w:hint="eastAsia"/>
          <w:sz w:val="24"/>
        </w:rPr>
        <w:t>四、投资限制</w:t>
      </w:r>
    </w:p>
    <w:p w14:paraId="7BA4DD49" w14:textId="77777777" w:rsidR="00E82AF4" w:rsidRDefault="005B2E6A">
      <w:pPr>
        <w:pStyle w:val="HD0"/>
        <w:ind w:firstLine="480"/>
        <w:rPr>
          <w:rFonts w:ascii="宋体" w:hAnsi="宋体"/>
          <w:sz w:val="24"/>
        </w:rPr>
      </w:pPr>
      <w:bookmarkStart w:id="370" w:name="OLE_LINK22"/>
      <w:bookmarkStart w:id="371" w:name="OLE_LINK23"/>
      <w:r>
        <w:rPr>
          <w:rFonts w:ascii="宋体" w:hAnsi="宋体" w:hint="eastAsia"/>
          <w:sz w:val="24"/>
        </w:rPr>
        <w:t>1、组合限制</w:t>
      </w:r>
    </w:p>
    <w:p w14:paraId="1CA5E1C8" w14:textId="77777777" w:rsidR="00E82AF4" w:rsidRDefault="005B2E6A">
      <w:pPr>
        <w:pStyle w:val="HD0"/>
        <w:ind w:firstLine="480"/>
        <w:rPr>
          <w:rFonts w:ascii="宋体" w:hAnsi="宋体"/>
          <w:sz w:val="24"/>
        </w:rPr>
      </w:pPr>
      <w:r>
        <w:rPr>
          <w:rFonts w:ascii="宋体" w:hAnsi="宋体" w:hint="eastAsia"/>
          <w:sz w:val="24"/>
        </w:rPr>
        <w:t>基金的投资组合应遵循以下限制：</w:t>
      </w:r>
    </w:p>
    <w:p w14:paraId="1FB5F7AF" w14:textId="77777777" w:rsidR="00E82AF4" w:rsidRDefault="005B2E6A">
      <w:pPr>
        <w:pStyle w:val="HD0"/>
        <w:ind w:firstLine="480"/>
        <w:rPr>
          <w:rFonts w:ascii="宋体" w:hAnsi="宋体"/>
          <w:sz w:val="24"/>
        </w:rPr>
      </w:pPr>
      <w:r>
        <w:rPr>
          <w:rFonts w:ascii="宋体" w:hAnsi="宋体" w:hint="eastAsia"/>
          <w:sz w:val="24"/>
        </w:rPr>
        <w:t>（1）在建仓完成后，本基金投资于标的指数成份股及备选成份股的资产不低于基金资产净值的90%，且不低于非现金基金资产的80%；</w:t>
      </w:r>
    </w:p>
    <w:p w14:paraId="786B24F0" w14:textId="77777777" w:rsidR="00E82AF4" w:rsidRDefault="005B2E6A">
      <w:pPr>
        <w:pStyle w:val="HD0"/>
        <w:ind w:firstLine="480"/>
        <w:rPr>
          <w:rFonts w:ascii="宋体" w:hAnsi="宋体"/>
          <w:sz w:val="24"/>
        </w:rPr>
      </w:pPr>
      <w:r>
        <w:rPr>
          <w:rFonts w:ascii="宋体" w:hAnsi="宋体" w:hint="eastAsia"/>
          <w:sz w:val="24"/>
        </w:rPr>
        <w:t>（2）每个交易日日终在扣除股指期货合约、股票期权合约和国债期货合约需缴纳的交易保证金后，本基金应当保持不低于交易保证金一倍的现金，其中，现金不包括结算备付金、存出保证金和应收申购款等；</w:t>
      </w:r>
    </w:p>
    <w:p w14:paraId="6E7AF32A" w14:textId="77777777" w:rsidR="00E82AF4" w:rsidRDefault="005B2E6A">
      <w:pPr>
        <w:pStyle w:val="HD0"/>
        <w:ind w:firstLine="480"/>
        <w:rPr>
          <w:rFonts w:ascii="宋体" w:hAnsi="宋体"/>
          <w:sz w:val="24"/>
        </w:rPr>
      </w:pPr>
      <w:r>
        <w:rPr>
          <w:rFonts w:ascii="宋体" w:hAnsi="宋体" w:hint="eastAsia"/>
          <w:sz w:val="24"/>
        </w:rPr>
        <w:t>（3）基金财产参与股票发行申购，本基金所申报的金额不超过本基金的总</w:t>
      </w:r>
      <w:r>
        <w:rPr>
          <w:rFonts w:ascii="宋体" w:hAnsi="宋体" w:hint="eastAsia"/>
          <w:sz w:val="24"/>
        </w:rPr>
        <w:lastRenderedPageBreak/>
        <w:t>资产，本基金所申报的股票数量不超过拟发行股票公司本次发行股票的总量；</w:t>
      </w:r>
    </w:p>
    <w:p w14:paraId="35CA2A8B" w14:textId="77777777" w:rsidR="00E82AF4" w:rsidRDefault="005B2E6A">
      <w:pPr>
        <w:pStyle w:val="HD0"/>
        <w:ind w:firstLine="480"/>
        <w:rPr>
          <w:rFonts w:ascii="宋体" w:hAnsi="宋体"/>
          <w:sz w:val="24"/>
        </w:rPr>
      </w:pPr>
      <w:r>
        <w:rPr>
          <w:rFonts w:ascii="宋体" w:hAnsi="宋体" w:hint="eastAsia"/>
          <w:sz w:val="24"/>
        </w:rPr>
        <w:t>（4）本基金基金资产总值不超过基金资产净值的140%；</w:t>
      </w:r>
    </w:p>
    <w:p w14:paraId="3062120E" w14:textId="77777777" w:rsidR="00E82AF4" w:rsidRDefault="005B2E6A">
      <w:pPr>
        <w:pStyle w:val="HD0"/>
        <w:ind w:firstLine="480"/>
        <w:rPr>
          <w:rFonts w:ascii="宋体" w:hAnsi="宋体"/>
          <w:sz w:val="24"/>
        </w:rPr>
      </w:pPr>
      <w:r>
        <w:rPr>
          <w:rFonts w:ascii="宋体" w:hAnsi="宋体" w:hint="eastAsia"/>
          <w:sz w:val="24"/>
        </w:rPr>
        <w:t>（5）本基金参与股指期货交易的，需遵循以下投资比例限制：</w:t>
      </w:r>
    </w:p>
    <w:p w14:paraId="37DC694F" w14:textId="77777777" w:rsidR="00E82AF4" w:rsidRDefault="005B2E6A">
      <w:pPr>
        <w:pStyle w:val="HD0"/>
        <w:ind w:firstLine="480"/>
        <w:rPr>
          <w:rFonts w:ascii="宋体" w:hAnsi="宋体"/>
          <w:sz w:val="24"/>
        </w:rPr>
      </w:pPr>
      <w:r>
        <w:rPr>
          <w:rFonts w:ascii="宋体" w:hAnsi="宋体" w:hint="eastAsia"/>
          <w:sz w:val="24"/>
        </w:rPr>
        <w:t>在任何交易日日终，持有的买入股指期货合约价值，不得超过基金资产净值的10%；在任何交易日日终，持有的卖出股指期货合约价值不得超过基金持有的股票总市值的20%；基金所持有的股票市值和买入、卖出股指期货合约价值，合计（轧差计算）应当符合基金合同关于股票投资比例的有关约定；在任何交易日内交易（不包括平仓）的股指期货合约的成交金额不得超过上一交易日基金资产净值的20%；</w:t>
      </w:r>
    </w:p>
    <w:p w14:paraId="35F55B7C" w14:textId="77777777" w:rsidR="00E82AF4" w:rsidRDefault="005B2E6A">
      <w:pPr>
        <w:pStyle w:val="HD0"/>
        <w:ind w:firstLine="480"/>
        <w:rPr>
          <w:rFonts w:ascii="宋体" w:hAnsi="宋体"/>
          <w:sz w:val="24"/>
        </w:rPr>
      </w:pPr>
      <w:r>
        <w:rPr>
          <w:rFonts w:ascii="宋体" w:hAnsi="宋体" w:hint="eastAsia"/>
          <w:sz w:val="24"/>
        </w:rPr>
        <w:t>（6）本基金投资于同一原始权益人的各类资产支持证券的比例，不得超过基金资产净值的10%；本基金持有的全部资产支持证券，其市值不得超过基金资产净值的20%，中国证监会规定的特殊品种除外；</w:t>
      </w:r>
    </w:p>
    <w:p w14:paraId="3546E321" w14:textId="77777777" w:rsidR="00E82AF4" w:rsidRDefault="005B2E6A">
      <w:pPr>
        <w:pStyle w:val="HD0"/>
        <w:ind w:firstLine="480"/>
        <w:rPr>
          <w:rFonts w:ascii="宋体" w:hAnsi="宋体"/>
          <w:sz w:val="24"/>
        </w:rPr>
      </w:pPr>
      <w:r>
        <w:rPr>
          <w:rFonts w:ascii="宋体" w:hAnsi="宋体" w:hint="eastAsia"/>
          <w:sz w:val="24"/>
        </w:rPr>
        <w:t>（7）本基金持有的同一（指同一信用级别）资产支持证券的比例，不得超过该资产支持证券规模的10%；本基金管理人管理的全部基金投资于同一原始权益人的各类资产支持证券，不得超过其各类资产支持证券合计规模的10%；</w:t>
      </w:r>
    </w:p>
    <w:p w14:paraId="60E75A5A" w14:textId="77777777" w:rsidR="00E82AF4" w:rsidRDefault="005B2E6A">
      <w:pPr>
        <w:pStyle w:val="HD0"/>
        <w:ind w:firstLine="480"/>
        <w:rPr>
          <w:rFonts w:ascii="宋体" w:hAnsi="宋体"/>
          <w:sz w:val="24"/>
        </w:rPr>
      </w:pPr>
      <w:r>
        <w:rPr>
          <w:rFonts w:ascii="宋体" w:hAnsi="宋体" w:hint="eastAsia"/>
          <w:sz w:val="24"/>
        </w:rPr>
        <w:t>（8）本基金应投资于信用级别评级为BBB以上（含BBB）的资产支持证券。基金持有资产支持证券期间，如果其信用等级下降、不再符合投资标准，应在评级报告发布之日起3个月内予以全部卖出；</w:t>
      </w:r>
    </w:p>
    <w:p w14:paraId="5C3CB72D" w14:textId="77777777" w:rsidR="00E82AF4" w:rsidRDefault="005B2E6A">
      <w:pPr>
        <w:pStyle w:val="HD0"/>
        <w:ind w:firstLine="480"/>
        <w:rPr>
          <w:rFonts w:ascii="宋体" w:hAnsi="宋体"/>
          <w:sz w:val="24"/>
        </w:rPr>
      </w:pPr>
      <w:r>
        <w:rPr>
          <w:rFonts w:ascii="宋体" w:hAnsi="宋体" w:hint="eastAsia"/>
          <w:sz w:val="24"/>
        </w:rPr>
        <w:t>（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D3C2EC8" w14:textId="77777777" w:rsidR="00E82AF4" w:rsidRDefault="005B2E6A">
      <w:pPr>
        <w:pStyle w:val="HD0"/>
        <w:ind w:firstLine="480"/>
        <w:rPr>
          <w:rFonts w:ascii="宋体" w:hAnsi="宋体"/>
          <w:sz w:val="24"/>
        </w:rPr>
      </w:pPr>
      <w:r>
        <w:rPr>
          <w:rFonts w:ascii="宋体" w:hAnsi="宋体" w:hint="eastAsia"/>
          <w:sz w:val="24"/>
        </w:rPr>
        <w:t>（10）本基金与私募类证券资管产品及中国证监会认定的其他主体为交易对手开展逆回购交易的，可接受质押品的资质要求应当与基金合同约定的投资范围保持一致；</w:t>
      </w:r>
    </w:p>
    <w:p w14:paraId="6C23A0E7" w14:textId="77777777" w:rsidR="00E82AF4" w:rsidRDefault="005B2E6A">
      <w:pPr>
        <w:pStyle w:val="HD0"/>
        <w:ind w:firstLine="480"/>
        <w:rPr>
          <w:rFonts w:ascii="宋体" w:hAnsi="宋体"/>
          <w:sz w:val="24"/>
        </w:rPr>
      </w:pPr>
      <w:r>
        <w:rPr>
          <w:rFonts w:ascii="宋体" w:hAnsi="宋体" w:hint="eastAsia"/>
          <w:sz w:val="24"/>
        </w:rPr>
        <w:t>（11）本基金参与融资的，每个交易日日终，本基金持有的融资买入股票与其他有价证券市值之和，不得超过基金资产净值的95%；</w:t>
      </w:r>
    </w:p>
    <w:p w14:paraId="359D931E" w14:textId="77777777" w:rsidR="00E82AF4" w:rsidRDefault="005B2E6A">
      <w:pPr>
        <w:pStyle w:val="HD0"/>
        <w:ind w:firstLine="480"/>
        <w:rPr>
          <w:rFonts w:ascii="宋体" w:hAnsi="宋体"/>
          <w:sz w:val="24"/>
        </w:rPr>
      </w:pPr>
      <w:r>
        <w:rPr>
          <w:rFonts w:ascii="宋体" w:hAnsi="宋体" w:hint="eastAsia"/>
          <w:sz w:val="24"/>
        </w:rPr>
        <w:t>（12）本基金参与转融通证券出借业务的，应当符合下列要求：</w:t>
      </w:r>
    </w:p>
    <w:p w14:paraId="6FAA93DA" w14:textId="77777777" w:rsidR="00E82AF4" w:rsidRDefault="005B2E6A">
      <w:pPr>
        <w:pStyle w:val="HD0"/>
        <w:ind w:firstLine="480"/>
        <w:rPr>
          <w:rFonts w:ascii="宋体" w:hAnsi="宋体"/>
          <w:sz w:val="24"/>
        </w:rPr>
      </w:pPr>
      <w:r>
        <w:rPr>
          <w:rFonts w:ascii="宋体" w:hAnsi="宋体" w:hint="eastAsia"/>
          <w:sz w:val="24"/>
        </w:rPr>
        <w:t>1）参与转融通证券出借业务的资产，不得超过基金资产净值的30%，其中，出借期限在10个交易日以上的出借证券纳入《流动性风险管理规定》所述流动</w:t>
      </w:r>
      <w:r>
        <w:rPr>
          <w:rFonts w:ascii="宋体" w:hAnsi="宋体" w:hint="eastAsia"/>
          <w:sz w:val="24"/>
        </w:rPr>
        <w:lastRenderedPageBreak/>
        <w:t>性受限证券的范围；</w:t>
      </w:r>
    </w:p>
    <w:p w14:paraId="25E661D9" w14:textId="77777777" w:rsidR="00E82AF4" w:rsidRDefault="005B2E6A">
      <w:pPr>
        <w:pStyle w:val="HD0"/>
        <w:ind w:firstLine="480"/>
        <w:rPr>
          <w:rFonts w:ascii="宋体" w:hAnsi="宋体"/>
          <w:sz w:val="24"/>
        </w:rPr>
      </w:pPr>
      <w:r>
        <w:rPr>
          <w:rFonts w:ascii="宋体" w:hAnsi="宋体" w:hint="eastAsia"/>
          <w:sz w:val="24"/>
        </w:rPr>
        <w:t>2）参与转融通证券出借业务的单只证券不得超过基金持有该证券总量的30%；</w:t>
      </w:r>
    </w:p>
    <w:p w14:paraId="0440253F" w14:textId="77777777" w:rsidR="00E82AF4" w:rsidRDefault="005B2E6A">
      <w:pPr>
        <w:pStyle w:val="HD0"/>
        <w:ind w:firstLine="480"/>
        <w:rPr>
          <w:rFonts w:ascii="宋体" w:hAnsi="宋体"/>
          <w:sz w:val="24"/>
        </w:rPr>
      </w:pPr>
      <w:r>
        <w:rPr>
          <w:rFonts w:ascii="宋体" w:hAnsi="宋体" w:hint="eastAsia"/>
          <w:sz w:val="24"/>
        </w:rPr>
        <w:t>3）最近6个月内日均基金资产净值不得低于2亿元；</w:t>
      </w:r>
    </w:p>
    <w:p w14:paraId="0021ED4E" w14:textId="77777777" w:rsidR="00E82AF4" w:rsidRDefault="005B2E6A">
      <w:pPr>
        <w:pStyle w:val="HD0"/>
        <w:ind w:firstLine="480"/>
        <w:rPr>
          <w:rFonts w:ascii="宋体" w:hAnsi="宋体"/>
          <w:sz w:val="24"/>
        </w:rPr>
      </w:pPr>
      <w:r>
        <w:rPr>
          <w:rFonts w:ascii="宋体" w:hAnsi="宋体" w:hint="eastAsia"/>
          <w:sz w:val="24"/>
        </w:rPr>
        <w:t>4）证券出借的平均剩余期限不得超过30天，平均剩余期限按照市值加权平均计算；</w:t>
      </w:r>
    </w:p>
    <w:p w14:paraId="25DC7512" w14:textId="77777777" w:rsidR="00E82AF4" w:rsidRDefault="005B2E6A">
      <w:pPr>
        <w:pStyle w:val="HD0"/>
        <w:ind w:firstLine="480"/>
        <w:rPr>
          <w:rFonts w:ascii="宋体" w:hAnsi="宋体"/>
          <w:sz w:val="24"/>
        </w:rPr>
      </w:pPr>
      <w:r>
        <w:rPr>
          <w:rFonts w:ascii="宋体" w:hAnsi="宋体" w:hint="eastAsia"/>
          <w:sz w:val="24"/>
        </w:rPr>
        <w:t>（13）本基金参与股票期权交易，需遵守下列投资比例限制：</w:t>
      </w:r>
    </w:p>
    <w:p w14:paraId="109322D3" w14:textId="77777777" w:rsidR="00E82AF4" w:rsidRDefault="005B2E6A">
      <w:pPr>
        <w:pStyle w:val="HD0"/>
        <w:ind w:firstLine="480"/>
        <w:rPr>
          <w:rFonts w:ascii="宋体" w:hAnsi="宋体"/>
          <w:sz w:val="24"/>
        </w:rPr>
      </w:pPr>
      <w:r>
        <w:rPr>
          <w:rFonts w:ascii="宋体" w:hAnsi="宋体" w:hint="eastAsia"/>
          <w:sz w:val="24"/>
        </w:rPr>
        <w:t>因未平仓的股票期权合约支付和收取的权利金总额不得超过基金资产净值的10%；开仓卖出认购股票期权的，应持有足额标的证券；开仓卖出认沽股票期权的，应持有合约行权所需的全额现金或交易所规则认可的可冲抵股票期权保证金的现金等价物；未平仓的股票期权合约面值不得超过基金资产净值的20%。其中，合约面值按照行权价乘以合约乘数计算；</w:t>
      </w:r>
    </w:p>
    <w:p w14:paraId="6508B700" w14:textId="77777777" w:rsidR="00E82AF4" w:rsidRDefault="005B2E6A">
      <w:pPr>
        <w:pStyle w:val="HD0"/>
        <w:ind w:firstLine="480"/>
        <w:rPr>
          <w:rFonts w:ascii="宋体" w:hAnsi="宋体"/>
          <w:sz w:val="24"/>
        </w:rPr>
      </w:pPr>
      <w:r>
        <w:rPr>
          <w:rFonts w:ascii="宋体" w:hAnsi="宋体" w:hint="eastAsia"/>
          <w:sz w:val="24"/>
        </w:rPr>
        <w:t>（14）本基金参与国债期货交易，需遵守下列投资比例限制：</w:t>
      </w:r>
    </w:p>
    <w:p w14:paraId="4C8CFF15" w14:textId="77777777" w:rsidR="00E82AF4" w:rsidRDefault="005B2E6A">
      <w:pPr>
        <w:pStyle w:val="HD0"/>
        <w:ind w:firstLine="480"/>
        <w:rPr>
          <w:rFonts w:ascii="宋体" w:hAnsi="宋体"/>
          <w:sz w:val="24"/>
        </w:rPr>
      </w:pPr>
      <w:r>
        <w:rPr>
          <w:rFonts w:ascii="宋体" w:hAnsi="宋体" w:hint="eastAsia"/>
          <w:sz w:val="24"/>
        </w:rPr>
        <w:t>1）本基金在任何交易日日终，持有的买入国债期货合约价值，不得超过基金资产净值的15%；</w:t>
      </w:r>
    </w:p>
    <w:p w14:paraId="3CE18B9B" w14:textId="77777777" w:rsidR="00E82AF4" w:rsidRDefault="005B2E6A">
      <w:pPr>
        <w:pStyle w:val="HD0"/>
        <w:ind w:firstLine="480"/>
        <w:rPr>
          <w:rFonts w:ascii="宋体" w:hAnsi="宋体"/>
          <w:sz w:val="24"/>
        </w:rPr>
      </w:pPr>
      <w:r>
        <w:rPr>
          <w:rFonts w:ascii="宋体" w:hAnsi="宋体" w:hint="eastAsia"/>
          <w:sz w:val="24"/>
        </w:rPr>
        <w:t>2）本基金在任何交易日日终，持有的卖出国债期货合约价值不得超过基金持有的债券总市值的30%；</w:t>
      </w:r>
    </w:p>
    <w:p w14:paraId="10579B33" w14:textId="77777777" w:rsidR="00E82AF4" w:rsidRDefault="005B2E6A">
      <w:pPr>
        <w:pStyle w:val="HD0"/>
        <w:ind w:firstLine="480"/>
        <w:rPr>
          <w:rFonts w:ascii="宋体" w:hAnsi="宋体"/>
          <w:sz w:val="24"/>
        </w:rPr>
      </w:pPr>
      <w:r>
        <w:rPr>
          <w:rFonts w:ascii="宋体" w:hAnsi="宋体" w:hint="eastAsia"/>
          <w:sz w:val="24"/>
        </w:rPr>
        <w:t>3）本基金在任何交易日内交易（不包括平仓）的国债期货合约的成交金额不得超过上一交易日基金资产净值的30%；</w:t>
      </w:r>
    </w:p>
    <w:p w14:paraId="5E3A4153" w14:textId="77777777" w:rsidR="00E82AF4" w:rsidRDefault="005B2E6A">
      <w:pPr>
        <w:pStyle w:val="HD0"/>
        <w:ind w:firstLine="480"/>
        <w:rPr>
          <w:rFonts w:ascii="宋体" w:hAnsi="宋体"/>
          <w:sz w:val="24"/>
        </w:rPr>
      </w:pPr>
      <w:r>
        <w:rPr>
          <w:rFonts w:ascii="宋体" w:hAnsi="宋体" w:hint="eastAsia"/>
          <w:sz w:val="24"/>
        </w:rPr>
        <w:t>4）本基金所持有的债券（不含到期日在一年以内的政府债券）市值和买入、卖出国债期货合约价值，合计（轧差计算）应当符合基金合同关于债券投资比例的有关约定；</w:t>
      </w:r>
    </w:p>
    <w:p w14:paraId="529E9394" w14:textId="77777777" w:rsidR="00E82AF4" w:rsidRDefault="005B2E6A">
      <w:pPr>
        <w:pStyle w:val="HD0"/>
        <w:ind w:firstLine="480"/>
        <w:rPr>
          <w:rFonts w:ascii="宋体" w:hAnsi="宋体"/>
          <w:sz w:val="24"/>
        </w:rPr>
      </w:pPr>
      <w:r>
        <w:rPr>
          <w:rFonts w:ascii="宋体" w:hAnsi="宋体" w:hint="eastAsia"/>
          <w:sz w:val="24"/>
        </w:rPr>
        <w:t>（15）本基金参与股指期货或国债期货交易的，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w:t>
      </w:r>
    </w:p>
    <w:p w14:paraId="6F65B34B" w14:textId="77777777" w:rsidR="00E82AF4" w:rsidRDefault="005B2E6A">
      <w:pPr>
        <w:pStyle w:val="HD0"/>
        <w:ind w:firstLine="480"/>
        <w:rPr>
          <w:rFonts w:ascii="宋体" w:hAnsi="宋体"/>
          <w:sz w:val="24"/>
        </w:rPr>
      </w:pPr>
      <w:r>
        <w:rPr>
          <w:rFonts w:ascii="宋体" w:hAnsi="宋体" w:hint="eastAsia"/>
          <w:sz w:val="24"/>
        </w:rPr>
        <w:t>（16）本基金投资存托凭证的比例限制依照境内上市交易的股票执行，与境内上市交易的股票合并计算；</w:t>
      </w:r>
    </w:p>
    <w:p w14:paraId="7D665406" w14:textId="77777777" w:rsidR="00E82AF4" w:rsidRDefault="005B2E6A">
      <w:pPr>
        <w:pStyle w:val="HD0"/>
        <w:ind w:firstLine="480"/>
        <w:rPr>
          <w:rFonts w:ascii="宋体" w:hAnsi="宋体"/>
          <w:sz w:val="24"/>
        </w:rPr>
      </w:pPr>
      <w:r>
        <w:rPr>
          <w:rFonts w:ascii="宋体" w:hAnsi="宋体" w:hint="eastAsia"/>
          <w:sz w:val="24"/>
        </w:rPr>
        <w:t>（17）法律法规及中国证监会规定的和基金合同约定的其他投资限制。</w:t>
      </w:r>
    </w:p>
    <w:p w14:paraId="656EDCDD" w14:textId="77777777" w:rsidR="00E82AF4" w:rsidRDefault="005B2E6A">
      <w:pPr>
        <w:pStyle w:val="HD0"/>
        <w:ind w:firstLine="480"/>
        <w:rPr>
          <w:rFonts w:ascii="宋体" w:hAnsi="宋体"/>
          <w:sz w:val="24"/>
        </w:rPr>
      </w:pPr>
      <w:r>
        <w:rPr>
          <w:rFonts w:ascii="宋体" w:hAnsi="宋体" w:hint="eastAsia"/>
          <w:sz w:val="24"/>
        </w:rPr>
        <w:t>除上述（8）、（9）、（10）、（12）项情形之外，因证券、期货市场波动、</w:t>
      </w:r>
      <w:r>
        <w:rPr>
          <w:rFonts w:ascii="宋体" w:hAnsi="宋体" w:hint="eastAsia"/>
          <w:sz w:val="24"/>
        </w:rPr>
        <w:lastRenderedPageBreak/>
        <w:t>证券发行人合并、基金规模变动、标的指数成份股调整或价格变化、标的指数成份股流动性限制等基金管理人之外的因素致使基金投资比例不符合上述规定投资比例的，基金管理人应当在可调整之日起10个交易日内进行调整，但中国证监会规定的特殊情形除外。因证券市场波动、上市公司合并、基金规模变动等基金管理人之外的因素致使基金投资不符合上述第（12）项规定的，基金管理人不得新增出借业务。法律法规另有规定的，从其规定。</w:t>
      </w:r>
    </w:p>
    <w:p w14:paraId="730F949A" w14:textId="77777777" w:rsidR="00E82AF4" w:rsidRDefault="005B2E6A">
      <w:pPr>
        <w:pStyle w:val="HD0"/>
        <w:ind w:firstLine="480"/>
        <w:rPr>
          <w:rFonts w:ascii="宋体" w:hAnsi="宋体"/>
          <w:sz w:val="24"/>
        </w:rPr>
      </w:pPr>
      <w:r>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42F574FF" w14:textId="77777777" w:rsidR="00E82AF4" w:rsidRDefault="005B2E6A">
      <w:pPr>
        <w:pStyle w:val="HD0"/>
        <w:ind w:firstLine="480"/>
        <w:rPr>
          <w:rFonts w:ascii="宋体" w:hAnsi="宋体"/>
          <w:sz w:val="24"/>
        </w:rPr>
      </w:pPr>
      <w:r>
        <w:rPr>
          <w:rFonts w:ascii="宋体" w:hAnsi="宋体" w:hint="eastAsia"/>
          <w:sz w:val="24"/>
        </w:rPr>
        <w:t>如果法律法规或监管部门对上述投资组合比例限制进行变更的，基金管理人在履行适当程序后，可相应调整投资比例限制规定或按变更后的规定执行，不需经基金份额持有人大会审议。法律法规或监管部门取消上述限制，如适用于本基金，基金管理人在履行适当程序后，则本基金投资不再受相关限制。</w:t>
      </w:r>
    </w:p>
    <w:bookmarkEnd w:id="368"/>
    <w:p w14:paraId="29A7A9E9" w14:textId="77777777" w:rsidR="00E82AF4" w:rsidRDefault="005B2E6A">
      <w:pPr>
        <w:pStyle w:val="HD0"/>
        <w:adjustRightInd w:val="0"/>
        <w:ind w:firstLine="480"/>
        <w:rPr>
          <w:rFonts w:ascii="宋体" w:hAnsi="宋体"/>
          <w:sz w:val="24"/>
        </w:rPr>
      </w:pPr>
      <w:r>
        <w:rPr>
          <w:rFonts w:ascii="宋体" w:hAnsi="宋体"/>
          <w:sz w:val="24"/>
        </w:rPr>
        <w:t>2</w:t>
      </w:r>
      <w:r>
        <w:rPr>
          <w:rFonts w:ascii="宋体" w:hAnsi="宋体" w:hint="eastAsia"/>
          <w:sz w:val="24"/>
        </w:rPr>
        <w:t>、禁止行为</w:t>
      </w:r>
    </w:p>
    <w:p w14:paraId="27581E8A" w14:textId="77777777" w:rsidR="00E82AF4" w:rsidRDefault="005B2E6A">
      <w:pPr>
        <w:pStyle w:val="HD0"/>
        <w:adjustRightInd w:val="0"/>
        <w:ind w:firstLine="480"/>
        <w:rPr>
          <w:rFonts w:ascii="宋体" w:hAnsi="宋体"/>
          <w:sz w:val="24"/>
        </w:rPr>
      </w:pPr>
      <w:r>
        <w:rPr>
          <w:rFonts w:ascii="宋体" w:hAnsi="宋体" w:hint="eastAsia"/>
          <w:sz w:val="24"/>
        </w:rPr>
        <w:t>为维护基金份额持有人的合法权益，基金财产不得用于下列投资或者活动：</w:t>
      </w:r>
    </w:p>
    <w:p w14:paraId="312BD47D" w14:textId="77777777" w:rsidR="00E82AF4" w:rsidRDefault="005B2E6A">
      <w:pPr>
        <w:pStyle w:val="HD0"/>
        <w:adjustRightInd w:val="0"/>
        <w:ind w:firstLine="480"/>
        <w:rPr>
          <w:rFonts w:ascii="宋体" w:hAnsi="宋体"/>
          <w:sz w:val="24"/>
        </w:rPr>
      </w:pPr>
      <w:r>
        <w:rPr>
          <w:rFonts w:ascii="宋体" w:hAnsi="宋体" w:hint="eastAsia"/>
          <w:sz w:val="24"/>
        </w:rPr>
        <w:t>（1）承销证券；</w:t>
      </w:r>
    </w:p>
    <w:p w14:paraId="35EAC0D7"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w:t>
      </w:r>
      <w:r>
        <w:rPr>
          <w:rFonts w:ascii="宋体" w:hAnsi="宋体" w:hint="eastAsia"/>
          <w:sz w:val="24"/>
          <w:szCs w:val="24"/>
        </w:rPr>
        <w:t>违反规定</w:t>
      </w:r>
      <w:r>
        <w:rPr>
          <w:rFonts w:ascii="宋体" w:hAnsi="宋体" w:hint="eastAsia"/>
          <w:sz w:val="24"/>
        </w:rPr>
        <w:t>向他人贷款或者提供担保；</w:t>
      </w:r>
    </w:p>
    <w:p w14:paraId="3E5146F6"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）从事承担无限责任的投资；</w:t>
      </w:r>
    </w:p>
    <w:p w14:paraId="68D1DF13"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）买卖其他基金份额，但是</w:t>
      </w:r>
      <w:r>
        <w:rPr>
          <w:rFonts w:ascii="宋体" w:hAnsi="宋体" w:hint="eastAsia"/>
          <w:sz w:val="24"/>
          <w:szCs w:val="24"/>
        </w:rPr>
        <w:t>中国证监会</w:t>
      </w:r>
      <w:r>
        <w:rPr>
          <w:rFonts w:ascii="宋体" w:hAnsi="宋体" w:hint="eastAsia"/>
          <w:sz w:val="24"/>
        </w:rPr>
        <w:t>另有规定的除外；</w:t>
      </w:r>
    </w:p>
    <w:p w14:paraId="393A808A"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）向其基金管理人、基金托管人出资</w:t>
      </w:r>
      <w:r>
        <w:rPr>
          <w:rFonts w:ascii="宋体" w:hAnsi="宋体"/>
          <w:sz w:val="24"/>
          <w:szCs w:val="24"/>
        </w:rPr>
        <w:t>；</w:t>
      </w:r>
    </w:p>
    <w:p w14:paraId="14F9BD21"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）从事内幕交易、操纵证券交易价格及其他不正当的证券交易活动；</w:t>
      </w:r>
    </w:p>
    <w:p w14:paraId="75DC5227"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sz w:val="24"/>
        </w:rPr>
        <w:t>7</w:t>
      </w:r>
      <w:r>
        <w:rPr>
          <w:rFonts w:ascii="宋体" w:hAnsi="宋体" w:hint="eastAsia"/>
          <w:sz w:val="24"/>
        </w:rPr>
        <w:t>）法律</w:t>
      </w:r>
      <w:r>
        <w:rPr>
          <w:rFonts w:ascii="宋体" w:hAnsi="宋体" w:hint="eastAsia"/>
          <w:bCs/>
          <w:sz w:val="24"/>
          <w:szCs w:val="24"/>
        </w:rPr>
        <w:t>、行政</w:t>
      </w:r>
      <w:r>
        <w:rPr>
          <w:rFonts w:ascii="宋体" w:hAnsi="宋体" w:hint="eastAsia"/>
          <w:sz w:val="24"/>
        </w:rPr>
        <w:t>法规</w:t>
      </w:r>
      <w:r>
        <w:rPr>
          <w:rFonts w:ascii="宋体" w:hAnsi="宋体" w:hint="eastAsia"/>
          <w:bCs/>
          <w:sz w:val="24"/>
          <w:szCs w:val="24"/>
        </w:rPr>
        <w:t>和</w:t>
      </w:r>
      <w:r>
        <w:rPr>
          <w:rFonts w:ascii="宋体" w:hAnsi="宋体" w:hint="eastAsia"/>
          <w:sz w:val="24"/>
        </w:rPr>
        <w:t>中国证监会规定禁止的其他活动。</w:t>
      </w:r>
    </w:p>
    <w:p w14:paraId="40BE46A6" w14:textId="77777777" w:rsidR="00E82AF4" w:rsidRDefault="005B2E6A">
      <w:pPr>
        <w:pStyle w:val="HD0"/>
        <w:adjustRightInd w:val="0"/>
        <w:ind w:firstLine="480"/>
        <w:rPr>
          <w:rFonts w:ascii="宋体" w:hAnsi="宋体"/>
          <w:sz w:val="24"/>
        </w:rPr>
      </w:pP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bookmarkEnd w:id="370"/>
      <w:bookmarkEnd w:id="371"/>
    </w:p>
    <w:p w14:paraId="7574E69B" w14:textId="77777777" w:rsidR="00E82AF4" w:rsidRDefault="005B2E6A">
      <w:pPr>
        <w:pStyle w:val="HD0"/>
        <w:adjustRightInd w:val="0"/>
        <w:ind w:firstLine="480"/>
        <w:rPr>
          <w:rFonts w:ascii="宋体" w:hAnsi="宋体"/>
          <w:sz w:val="24"/>
        </w:rPr>
      </w:pPr>
      <w:r>
        <w:rPr>
          <w:rFonts w:ascii="宋体" w:hAnsi="宋体" w:hint="eastAsia"/>
          <w:sz w:val="24"/>
        </w:rPr>
        <w:lastRenderedPageBreak/>
        <w:t>法律</w:t>
      </w:r>
      <w:r>
        <w:rPr>
          <w:rFonts w:ascii="宋体" w:hAnsi="宋体" w:hint="eastAsia"/>
          <w:bCs/>
          <w:sz w:val="24"/>
          <w:szCs w:val="24"/>
        </w:rPr>
        <w:t>、行政</w:t>
      </w:r>
      <w:r>
        <w:rPr>
          <w:rFonts w:ascii="宋体" w:hAnsi="宋体" w:hint="eastAsia"/>
          <w:sz w:val="24"/>
        </w:rPr>
        <w:t>法规或监管部门取消</w:t>
      </w:r>
      <w:r>
        <w:rPr>
          <w:rFonts w:ascii="宋体" w:hAnsi="宋体" w:hint="eastAsia"/>
          <w:bCs/>
          <w:sz w:val="24"/>
          <w:szCs w:val="24"/>
        </w:rPr>
        <w:t>或变更</w:t>
      </w:r>
      <w:r>
        <w:rPr>
          <w:rFonts w:ascii="宋体" w:hAnsi="宋体" w:hint="eastAsia"/>
          <w:sz w:val="24"/>
        </w:rPr>
        <w:t>上述限制，如适用于本基金，</w:t>
      </w:r>
      <w:r>
        <w:rPr>
          <w:rFonts w:ascii="宋体" w:hAnsi="宋体" w:hint="eastAsia"/>
          <w:bCs/>
          <w:sz w:val="24"/>
          <w:szCs w:val="24"/>
        </w:rPr>
        <w:t>基金管理人在履行适当程序后，</w:t>
      </w:r>
      <w:r>
        <w:rPr>
          <w:rFonts w:ascii="宋体" w:hAnsi="宋体" w:hint="eastAsia"/>
          <w:sz w:val="24"/>
        </w:rPr>
        <w:t>则本基金投资不再受相关限制</w:t>
      </w:r>
      <w:r>
        <w:rPr>
          <w:rFonts w:ascii="宋体" w:hAnsi="宋体" w:hint="eastAsia"/>
          <w:bCs/>
          <w:sz w:val="24"/>
          <w:szCs w:val="24"/>
        </w:rPr>
        <w:t>或按变更后的规定执行</w:t>
      </w:r>
      <w:r>
        <w:rPr>
          <w:rFonts w:ascii="宋体" w:hAnsi="宋体" w:hint="eastAsia"/>
          <w:sz w:val="24"/>
        </w:rPr>
        <w:t>。</w:t>
      </w:r>
    </w:p>
    <w:bookmarkEnd w:id="369"/>
    <w:p w14:paraId="60154153" w14:textId="77777777" w:rsidR="00E82AF4" w:rsidRDefault="005B2E6A">
      <w:pPr>
        <w:pStyle w:val="HD0"/>
        <w:adjustRightInd w:val="0"/>
        <w:ind w:firstLine="480"/>
        <w:rPr>
          <w:rFonts w:ascii="宋体" w:hAnsi="宋体"/>
          <w:sz w:val="24"/>
        </w:rPr>
      </w:pPr>
      <w:r>
        <w:rPr>
          <w:rFonts w:ascii="宋体" w:hAnsi="宋体" w:hint="eastAsia"/>
          <w:sz w:val="24"/>
        </w:rPr>
        <w:t>五、标的指数和业绩比较基准</w:t>
      </w:r>
    </w:p>
    <w:p w14:paraId="7A97F855" w14:textId="77777777" w:rsidR="00E82AF4" w:rsidRDefault="005B2E6A">
      <w:pPr>
        <w:pStyle w:val="HD0"/>
        <w:adjustRightInd w:val="0"/>
        <w:ind w:firstLine="480"/>
        <w:rPr>
          <w:rFonts w:ascii="宋体" w:hAnsi="宋体"/>
          <w:sz w:val="24"/>
        </w:rPr>
      </w:pPr>
      <w:r>
        <w:rPr>
          <w:rFonts w:ascii="宋体" w:hAnsi="宋体" w:hint="eastAsia"/>
          <w:sz w:val="24"/>
        </w:rPr>
        <w:t>1、标的指数</w:t>
      </w:r>
    </w:p>
    <w:p w14:paraId="692509B6" w14:textId="77777777" w:rsidR="00E82AF4" w:rsidRDefault="005B2E6A">
      <w:pPr>
        <w:pStyle w:val="HD0"/>
        <w:adjustRightInd w:val="0"/>
        <w:ind w:firstLine="480"/>
        <w:rPr>
          <w:rFonts w:ascii="宋体" w:hAnsi="宋体"/>
          <w:sz w:val="24"/>
        </w:rPr>
      </w:pPr>
      <w:r>
        <w:rPr>
          <w:rFonts w:ascii="宋体" w:hAnsi="宋体" w:hint="eastAsia"/>
          <w:sz w:val="24"/>
        </w:rPr>
        <w:t>本基金标的指数为中证全指红利质量指数。</w:t>
      </w:r>
    </w:p>
    <w:p w14:paraId="5952911F" w14:textId="77777777" w:rsidR="00E82AF4" w:rsidRDefault="005B2E6A">
      <w:pPr>
        <w:pStyle w:val="HD0"/>
        <w:adjustRightInd w:val="0"/>
        <w:ind w:firstLine="480"/>
        <w:rPr>
          <w:rFonts w:ascii="宋体" w:hAnsi="宋体"/>
          <w:sz w:val="24"/>
        </w:rPr>
      </w:pPr>
      <w:r>
        <w:rPr>
          <w:rFonts w:ascii="宋体" w:hAnsi="宋体" w:hint="eastAsia"/>
          <w:sz w:val="24"/>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p>
    <w:p w14:paraId="65A883A9" w14:textId="77777777" w:rsidR="00E82AF4" w:rsidRDefault="005B2E6A">
      <w:pPr>
        <w:pStyle w:val="HD0"/>
        <w:adjustRightInd w:val="0"/>
        <w:ind w:firstLine="480"/>
        <w:rPr>
          <w:rFonts w:ascii="宋体" w:hAnsi="宋体"/>
          <w:sz w:val="24"/>
        </w:rPr>
      </w:pPr>
      <w:r>
        <w:rPr>
          <w:rFonts w:ascii="宋体" w:hAnsi="宋体" w:hint="eastAsia"/>
          <w:sz w:val="24"/>
        </w:rPr>
        <w:t>自指数编制机构停止标的指数的编制及发布至解决方案确定期间，基金管理人应按照指数编制机构提供的最近一个交易日的指数信息遵循基金份额持有人利益优先原则维持基金投资运作。</w:t>
      </w:r>
    </w:p>
    <w:p w14:paraId="662200B2" w14:textId="77777777" w:rsidR="00E82AF4" w:rsidRDefault="005B2E6A">
      <w:pPr>
        <w:pStyle w:val="HD0"/>
        <w:adjustRightInd w:val="0"/>
        <w:ind w:firstLine="480"/>
        <w:rPr>
          <w:rFonts w:ascii="宋体" w:hAnsi="宋体"/>
          <w:sz w:val="24"/>
        </w:rPr>
      </w:pPr>
      <w:r>
        <w:rPr>
          <w:rFonts w:ascii="宋体" w:hAnsi="宋体" w:hint="eastAsia"/>
          <w:sz w:val="24"/>
        </w:rPr>
        <w:t>若出现指数更名等对基金投资无实质性影响的标的指数变更情形，则无需召开基金份额持有人大会，基金管理人履行适当程序后，在规定媒介上公告。</w:t>
      </w:r>
    </w:p>
    <w:p w14:paraId="15E8B08F" w14:textId="77777777" w:rsidR="00E82AF4" w:rsidRDefault="005B2E6A">
      <w:pPr>
        <w:pStyle w:val="HD0"/>
        <w:adjustRightInd w:val="0"/>
        <w:ind w:firstLine="480"/>
        <w:rPr>
          <w:rFonts w:ascii="宋体" w:hAnsi="宋体"/>
          <w:sz w:val="24"/>
        </w:rPr>
      </w:pPr>
      <w:r>
        <w:rPr>
          <w:rFonts w:ascii="宋体" w:hAnsi="宋体" w:hint="eastAsia"/>
          <w:sz w:val="24"/>
        </w:rPr>
        <w:t>2、业绩比较基准</w:t>
      </w:r>
    </w:p>
    <w:p w14:paraId="41BCA40E" w14:textId="77777777" w:rsidR="00E82AF4" w:rsidRDefault="005B2E6A">
      <w:pPr>
        <w:pStyle w:val="HD0"/>
        <w:adjustRightInd w:val="0"/>
        <w:ind w:firstLine="480"/>
        <w:rPr>
          <w:rFonts w:ascii="宋体" w:hAnsi="宋体"/>
          <w:sz w:val="24"/>
        </w:rPr>
      </w:pPr>
      <w:r>
        <w:rPr>
          <w:rFonts w:ascii="宋体" w:hAnsi="宋体" w:hint="eastAsia"/>
          <w:sz w:val="24"/>
        </w:rPr>
        <w:t>本基金的业绩比较基准为中证全指红利质量指数收益率。</w:t>
      </w:r>
    </w:p>
    <w:p w14:paraId="5F930F21" w14:textId="77777777" w:rsidR="00E82AF4" w:rsidRDefault="005B2E6A">
      <w:pPr>
        <w:pStyle w:val="HD0"/>
        <w:adjustRightInd w:val="0"/>
        <w:ind w:firstLine="480"/>
        <w:rPr>
          <w:rFonts w:ascii="宋体" w:hAnsi="宋体"/>
          <w:sz w:val="24"/>
        </w:rPr>
      </w:pPr>
      <w:r>
        <w:rPr>
          <w:rFonts w:ascii="宋体" w:hAnsi="宋体" w:hint="eastAsia"/>
          <w:sz w:val="24"/>
        </w:rPr>
        <w:t>（1）业绩比较基准设定的原因</w:t>
      </w:r>
    </w:p>
    <w:p w14:paraId="7648482A" w14:textId="77777777" w:rsidR="00E82AF4" w:rsidRDefault="005B2E6A">
      <w:pPr>
        <w:pStyle w:val="HD0"/>
        <w:adjustRightInd w:val="0"/>
        <w:ind w:firstLine="480"/>
        <w:rPr>
          <w:rFonts w:ascii="宋体" w:hAnsi="宋体"/>
          <w:sz w:val="24"/>
        </w:rPr>
      </w:pPr>
      <w:r>
        <w:rPr>
          <w:rFonts w:ascii="宋体" w:hAnsi="宋体" w:hint="eastAsia"/>
          <w:sz w:val="24"/>
        </w:rPr>
        <w:t>本基金为股票型ETF，主要采用完全复制法跟踪标的指数，追求跟踪偏离度和跟踪误差的最小化。本基金的标的指数为中证全指红利质量指数，相应选取中证全指红利质量指数作为基准要素，同时将中证全指红利质量指数的基准要素权重设置为100%。</w:t>
      </w:r>
    </w:p>
    <w:p w14:paraId="3FCEE14B" w14:textId="77777777" w:rsidR="00E82AF4" w:rsidRDefault="005B2E6A">
      <w:pPr>
        <w:pStyle w:val="HD0"/>
        <w:adjustRightInd w:val="0"/>
        <w:ind w:firstLine="480"/>
        <w:rPr>
          <w:rFonts w:ascii="宋体" w:hAnsi="宋体"/>
          <w:sz w:val="24"/>
        </w:rPr>
      </w:pPr>
      <w:r>
        <w:rPr>
          <w:rFonts w:ascii="宋体" w:hAnsi="宋体" w:hint="eastAsia"/>
          <w:sz w:val="24"/>
        </w:rPr>
        <w:t>综上，本基金选取的业绩比较基准与基金投资目标、投资范围、投资策略、投资比例限制相匹配。</w:t>
      </w:r>
    </w:p>
    <w:p w14:paraId="45B82366" w14:textId="77777777" w:rsidR="00E82AF4" w:rsidRDefault="005B2E6A">
      <w:pPr>
        <w:pStyle w:val="HD0"/>
        <w:adjustRightInd w:val="0"/>
        <w:ind w:firstLine="480"/>
        <w:rPr>
          <w:rFonts w:ascii="宋体" w:hAnsi="宋体"/>
          <w:sz w:val="24"/>
        </w:rPr>
      </w:pPr>
      <w:r>
        <w:rPr>
          <w:rFonts w:ascii="宋体" w:hAnsi="宋体" w:hint="eastAsia"/>
          <w:sz w:val="24"/>
        </w:rPr>
        <w:t>（2）业绩比较基准要素的基本信息</w:t>
      </w:r>
    </w:p>
    <w:p w14:paraId="0638FBFF" w14:textId="77777777" w:rsidR="00E82AF4" w:rsidRDefault="005B2E6A">
      <w:pPr>
        <w:pStyle w:val="HD0"/>
        <w:adjustRightInd w:val="0"/>
        <w:ind w:firstLine="480"/>
        <w:rPr>
          <w:rFonts w:ascii="宋体" w:hAnsi="宋体"/>
          <w:sz w:val="24"/>
        </w:rPr>
      </w:pPr>
      <w:r>
        <w:rPr>
          <w:rFonts w:ascii="宋体" w:hAnsi="宋体" w:hint="eastAsia"/>
          <w:sz w:val="24"/>
        </w:rPr>
        <w:t>中证全指红利质量指数由中证指数有限公司编制发布，指数代码为9</w:t>
      </w:r>
      <w:r>
        <w:rPr>
          <w:rFonts w:ascii="宋体" w:hAnsi="宋体"/>
          <w:sz w:val="24"/>
        </w:rPr>
        <w:t>32315</w:t>
      </w:r>
      <w:r>
        <w:rPr>
          <w:rFonts w:ascii="宋体" w:hAnsi="宋体" w:hint="eastAsia"/>
          <w:sz w:val="24"/>
        </w:rPr>
        <w:t>，指数具体信息详见中证指数有限公司网站，网址：</w:t>
      </w:r>
      <w:r>
        <w:rPr>
          <w:rFonts w:ascii="宋体" w:hAnsi="宋体"/>
          <w:sz w:val="24"/>
        </w:rPr>
        <w:t>www.csindex.com.cn</w:t>
      </w:r>
      <w:r>
        <w:rPr>
          <w:rFonts w:ascii="宋体" w:hAnsi="宋体" w:hint="eastAsia"/>
          <w:sz w:val="24"/>
        </w:rPr>
        <w:t>。</w:t>
      </w:r>
    </w:p>
    <w:p w14:paraId="09FF3A51" w14:textId="77777777" w:rsidR="00E82AF4" w:rsidRDefault="005B2E6A">
      <w:pPr>
        <w:pStyle w:val="HD0"/>
        <w:adjustRightInd w:val="0"/>
        <w:ind w:firstLine="480"/>
        <w:rPr>
          <w:rFonts w:ascii="宋体" w:hAnsi="宋体"/>
          <w:sz w:val="24"/>
        </w:rPr>
      </w:pPr>
      <w:r>
        <w:rPr>
          <w:rFonts w:ascii="宋体" w:hAnsi="宋体" w:hint="eastAsia"/>
          <w:sz w:val="24"/>
        </w:rPr>
        <w:t>（3）业绩比较基准的计算方法</w:t>
      </w:r>
    </w:p>
    <w:p w14:paraId="0F387FAA" w14:textId="77777777" w:rsidR="00E82AF4" w:rsidRDefault="005B2E6A">
      <w:pPr>
        <w:pStyle w:val="HD0"/>
        <w:adjustRightInd w:val="0"/>
        <w:ind w:firstLine="480"/>
        <w:rPr>
          <w:rFonts w:ascii="宋体" w:hAnsi="宋体"/>
          <w:sz w:val="24"/>
        </w:rPr>
      </w:pPr>
      <w:r>
        <w:rPr>
          <w:rFonts w:ascii="宋体" w:hAnsi="宋体" w:hint="eastAsia"/>
          <w:sz w:val="24"/>
        </w:rPr>
        <w:t>本基金业绩比较基准收益率的计算方法以每日收益率为基础，以时间加权为</w:t>
      </w:r>
      <w:r>
        <w:rPr>
          <w:rFonts w:ascii="宋体" w:hAnsi="宋体" w:hint="eastAsia"/>
          <w:sz w:val="24"/>
        </w:rPr>
        <w:lastRenderedPageBreak/>
        <w:t>计算原则。</w:t>
      </w:r>
    </w:p>
    <w:p w14:paraId="6B6C98EE" w14:textId="77777777" w:rsidR="00E82AF4" w:rsidRDefault="005B2E6A">
      <w:pPr>
        <w:pStyle w:val="HD0"/>
        <w:adjustRightInd w:val="0"/>
        <w:ind w:firstLine="480"/>
        <w:rPr>
          <w:rFonts w:ascii="宋体" w:hAnsi="宋体"/>
          <w:sz w:val="24"/>
        </w:rPr>
      </w:pPr>
      <w:r>
        <w:rPr>
          <w:rFonts w:ascii="宋体" w:hAnsi="宋体" w:hint="eastAsia"/>
          <w:sz w:val="24"/>
        </w:rPr>
        <w:t>（4）管理投资偏离业绩比较基准的定性或定量方法</w:t>
      </w:r>
    </w:p>
    <w:p w14:paraId="70775C63" w14:textId="0F55612C" w:rsidR="00E82AF4" w:rsidRDefault="005B2E6A">
      <w:pPr>
        <w:pStyle w:val="HD0"/>
        <w:adjustRightInd w:val="0"/>
        <w:ind w:firstLine="480"/>
        <w:rPr>
          <w:rFonts w:ascii="宋体" w:hAnsi="宋体"/>
          <w:sz w:val="24"/>
        </w:rPr>
      </w:pPr>
      <w:r>
        <w:rPr>
          <w:rFonts w:ascii="宋体" w:hAnsi="宋体" w:hint="eastAsia"/>
          <w:sz w:val="24"/>
        </w:rPr>
        <w:t>本基金主要采用完全复制法，即按照标的指数成份股及其权重构建基金的股票投资组合，并根据标的指数成份股及其权重的变动对股票投资组合进行相应地调整。在因特殊情形导致基金无法完全投资于标的指数成份股时，本基金可采取包括成份股替代策略在内的其他指数投资技术适当调整基金投资组合，以达到紧密跟踪标的指数的目的。本基金力争将日均跟踪偏离度的绝对值控制在0.2%以内，年跟踪误差控制在2%以内。如因标的指数编制规则调整或其他因素导致跟踪误差超过上述范围的，本基金将采取合理措施避免跟踪误差过大。</w:t>
      </w:r>
    </w:p>
    <w:p w14:paraId="0825DA45" w14:textId="77777777" w:rsidR="00E82AF4" w:rsidRDefault="005B2E6A">
      <w:pPr>
        <w:pStyle w:val="HD0"/>
        <w:adjustRightInd w:val="0"/>
        <w:ind w:firstLine="480"/>
        <w:rPr>
          <w:rFonts w:ascii="宋体" w:hAnsi="宋体"/>
          <w:sz w:val="24"/>
        </w:rPr>
      </w:pPr>
      <w:r>
        <w:rPr>
          <w:rFonts w:ascii="宋体" w:hAnsi="宋体" w:hint="eastAsia"/>
          <w:sz w:val="24"/>
        </w:rPr>
        <w:t>（5）未来可能变更业绩比较基准的情况和程序</w:t>
      </w:r>
    </w:p>
    <w:p w14:paraId="01CDB5BA" w14:textId="77777777" w:rsidR="00E82AF4" w:rsidRDefault="005B2E6A">
      <w:pPr>
        <w:pStyle w:val="HD0"/>
        <w:adjustRightInd w:val="0"/>
        <w:ind w:firstLine="480"/>
        <w:rPr>
          <w:rFonts w:ascii="宋体" w:hAnsi="宋体"/>
          <w:sz w:val="24"/>
        </w:rPr>
      </w:pPr>
      <w:r>
        <w:rPr>
          <w:rFonts w:ascii="宋体" w:hAnsi="宋体" w:hint="eastAsia"/>
          <w:sz w:val="24"/>
        </w:rPr>
        <w:t>本基金的业绩比较基准与标的指数一致，相关变更情形和程序详见本基金合同“基金的投资”章节“五、标的指数和业绩比较基准”项下“1、标的指数”部分内容。</w:t>
      </w:r>
    </w:p>
    <w:p w14:paraId="71CCEF31" w14:textId="75812472" w:rsidR="00E82AF4" w:rsidRDefault="005B2E6A">
      <w:pPr>
        <w:pStyle w:val="HD0"/>
        <w:adjustRightInd w:val="0"/>
        <w:ind w:firstLine="480"/>
        <w:rPr>
          <w:rFonts w:ascii="宋体" w:hAnsi="宋体" w:cs="Arial"/>
          <w:sz w:val="24"/>
          <w:szCs w:val="24"/>
        </w:rPr>
      </w:pPr>
      <w:r>
        <w:rPr>
          <w:rFonts w:ascii="宋体" w:hAnsi="宋体" w:hint="eastAsia"/>
          <w:sz w:val="24"/>
        </w:rPr>
        <w:t>若本基金调整业绩比较基准的要素权重，本基金将根据法律法规、中国证监会的规定和基金合同约定履行相关程序。</w:t>
      </w:r>
    </w:p>
    <w:p w14:paraId="1BAE0C79" w14:textId="77777777" w:rsidR="00E82AF4" w:rsidRDefault="005B2E6A">
      <w:pPr>
        <w:pStyle w:val="HD0"/>
        <w:adjustRightInd w:val="0"/>
        <w:ind w:firstLine="480"/>
        <w:rPr>
          <w:rFonts w:ascii="宋体" w:hAnsi="宋体"/>
          <w:sz w:val="24"/>
        </w:rPr>
      </w:pPr>
      <w:r>
        <w:rPr>
          <w:rFonts w:ascii="宋体" w:hAnsi="宋体" w:hint="eastAsia"/>
          <w:sz w:val="24"/>
        </w:rPr>
        <w:t>六、风险收益特征</w:t>
      </w:r>
    </w:p>
    <w:p w14:paraId="079E1F70" w14:textId="77777777" w:rsidR="00E82AF4" w:rsidRDefault="005B2E6A">
      <w:pPr>
        <w:pStyle w:val="HD0"/>
        <w:adjustRightInd w:val="0"/>
        <w:ind w:firstLine="480"/>
        <w:rPr>
          <w:rFonts w:ascii="宋体" w:hAnsi="宋体" w:cs="Arial"/>
          <w:sz w:val="24"/>
          <w:szCs w:val="24"/>
        </w:rPr>
      </w:pPr>
      <w:bookmarkStart w:id="372" w:name="_Hlk103675524"/>
      <w:bookmarkStart w:id="373" w:name="_Toc13819"/>
      <w:r>
        <w:rPr>
          <w:rFonts w:ascii="宋体" w:hAnsi="宋体" w:cs="Arial" w:hint="eastAsia"/>
          <w:sz w:val="24"/>
          <w:szCs w:val="24"/>
        </w:rPr>
        <w:t>本基金属于股票型基金，预期风险与预期收益水平高于债券型基金、货币市场基金。</w:t>
      </w:r>
    </w:p>
    <w:p w14:paraId="1DEFE95A" w14:textId="77777777" w:rsidR="00E82AF4" w:rsidRDefault="005B2E6A">
      <w:pPr>
        <w:pStyle w:val="HD0"/>
        <w:adjustRightInd w:val="0"/>
        <w:ind w:firstLine="480"/>
        <w:rPr>
          <w:rFonts w:ascii="宋体" w:hAnsi="宋体"/>
          <w:sz w:val="24"/>
          <w:szCs w:val="24"/>
        </w:rPr>
      </w:pPr>
      <w:r>
        <w:rPr>
          <w:rFonts w:ascii="宋体" w:hAnsi="宋体" w:cs="Arial" w:hint="eastAsia"/>
          <w:sz w:val="24"/>
          <w:szCs w:val="24"/>
        </w:rPr>
        <w:t>本基金为指数型基金，主要采用完全复制法跟踪标的指数的表现，具有与标的指数相似的风险收益特征。</w:t>
      </w:r>
      <w:bookmarkEnd w:id="372"/>
    </w:p>
    <w:p w14:paraId="2B73334A" w14:textId="77777777" w:rsidR="00E82AF4" w:rsidRDefault="005B2E6A">
      <w:pPr>
        <w:pStyle w:val="HD0"/>
        <w:adjustRightInd w:val="0"/>
        <w:ind w:firstLine="480"/>
        <w:rPr>
          <w:rFonts w:ascii="宋体" w:hAnsi="宋体"/>
          <w:sz w:val="24"/>
          <w:szCs w:val="24"/>
        </w:rPr>
      </w:pPr>
      <w:r>
        <w:rPr>
          <w:rFonts w:ascii="宋体" w:hAnsi="宋体" w:hint="eastAsia"/>
          <w:sz w:val="24"/>
          <w:szCs w:val="24"/>
        </w:rPr>
        <w:t>七、基金管理人代表基金行使</w:t>
      </w:r>
      <w:r>
        <w:rPr>
          <w:rFonts w:ascii="宋体" w:hAnsi="宋体" w:hint="eastAsia"/>
          <w:bCs/>
          <w:sz w:val="24"/>
          <w:szCs w:val="24"/>
        </w:rPr>
        <w:t>股东或债权人</w:t>
      </w:r>
      <w:r>
        <w:rPr>
          <w:rFonts w:ascii="宋体" w:hAnsi="宋体" w:hint="eastAsia"/>
          <w:sz w:val="24"/>
          <w:szCs w:val="24"/>
        </w:rPr>
        <w:t>权利的处理原则及方法</w:t>
      </w:r>
    </w:p>
    <w:p w14:paraId="74BB2C4E" w14:textId="77777777" w:rsidR="00E82AF4" w:rsidRDefault="005B2E6A">
      <w:pPr>
        <w:adjustRightInd w:val="0"/>
        <w:snapToGrid w:val="0"/>
        <w:spacing w:line="360" w:lineRule="auto"/>
        <w:ind w:firstLineChars="200" w:firstLine="480"/>
        <w:rPr>
          <w:rFonts w:ascii="宋体" w:hAnsi="宋体"/>
          <w:bCs/>
          <w:sz w:val="24"/>
          <w:szCs w:val="24"/>
        </w:rPr>
      </w:pPr>
      <w:bookmarkStart w:id="374" w:name="OLE_LINK24"/>
      <w:bookmarkStart w:id="375" w:name="OLE_LINK25"/>
      <w:r>
        <w:rPr>
          <w:rFonts w:ascii="宋体" w:hAnsi="宋体"/>
          <w:bCs/>
          <w:sz w:val="24"/>
          <w:szCs w:val="24"/>
        </w:rPr>
        <w:t>1</w:t>
      </w:r>
      <w:r>
        <w:rPr>
          <w:rFonts w:ascii="宋体" w:hAnsi="宋体" w:hint="eastAsia"/>
          <w:bCs/>
          <w:sz w:val="24"/>
          <w:szCs w:val="24"/>
        </w:rPr>
        <w:t>、基金管理人按照国家有关规定代表基金独立行使股东或债权人权利，保护基金份额持有人的利益；</w:t>
      </w:r>
    </w:p>
    <w:p w14:paraId="6AB536AC" w14:textId="77777777" w:rsidR="00E82AF4" w:rsidRDefault="005B2E6A">
      <w:pPr>
        <w:adjustRightInd w:val="0"/>
        <w:snapToGrid w:val="0"/>
        <w:spacing w:line="360" w:lineRule="auto"/>
        <w:ind w:firstLineChars="200" w:firstLine="480"/>
        <w:rPr>
          <w:rFonts w:ascii="宋体" w:hAnsi="宋体"/>
          <w:bCs/>
          <w:sz w:val="24"/>
          <w:szCs w:val="24"/>
        </w:rPr>
      </w:pPr>
      <w:r>
        <w:rPr>
          <w:rFonts w:ascii="宋体" w:hAnsi="宋体"/>
          <w:bCs/>
          <w:sz w:val="24"/>
          <w:szCs w:val="24"/>
        </w:rPr>
        <w:t>2</w:t>
      </w:r>
      <w:r>
        <w:rPr>
          <w:rFonts w:ascii="宋体" w:hAnsi="宋体" w:hint="eastAsia"/>
          <w:bCs/>
          <w:sz w:val="24"/>
          <w:szCs w:val="24"/>
        </w:rPr>
        <w:t>、不谋求对上市公司的控股；</w:t>
      </w:r>
    </w:p>
    <w:p w14:paraId="665AE150" w14:textId="77777777" w:rsidR="00E82AF4" w:rsidRDefault="005B2E6A">
      <w:pPr>
        <w:adjustRightInd w:val="0"/>
        <w:snapToGrid w:val="0"/>
        <w:spacing w:line="360" w:lineRule="auto"/>
        <w:ind w:firstLineChars="200" w:firstLine="480"/>
        <w:rPr>
          <w:rFonts w:ascii="宋体" w:hAnsi="宋体"/>
          <w:bCs/>
          <w:sz w:val="24"/>
          <w:szCs w:val="24"/>
        </w:rPr>
      </w:pPr>
      <w:r>
        <w:rPr>
          <w:rFonts w:ascii="宋体" w:hAnsi="宋体"/>
          <w:bCs/>
          <w:sz w:val="24"/>
          <w:szCs w:val="24"/>
        </w:rPr>
        <w:t>3</w:t>
      </w:r>
      <w:r>
        <w:rPr>
          <w:rFonts w:ascii="宋体" w:hAnsi="宋体" w:hint="eastAsia"/>
          <w:bCs/>
          <w:sz w:val="24"/>
          <w:szCs w:val="24"/>
        </w:rPr>
        <w:t>、有利于基金财产的安全与增值；</w:t>
      </w:r>
    </w:p>
    <w:p w14:paraId="75915864" w14:textId="77777777" w:rsidR="00E82AF4" w:rsidRDefault="005B2E6A">
      <w:pPr>
        <w:adjustRightInd w:val="0"/>
        <w:snapToGrid w:val="0"/>
        <w:spacing w:line="360" w:lineRule="auto"/>
        <w:ind w:firstLineChars="200" w:firstLine="480"/>
        <w:jc w:val="left"/>
        <w:rPr>
          <w:rFonts w:ascii="宋体" w:hAnsi="宋体"/>
          <w:sz w:val="24"/>
        </w:rPr>
      </w:pPr>
      <w:r>
        <w:rPr>
          <w:rFonts w:ascii="宋体" w:hAnsi="宋体"/>
          <w:bCs/>
          <w:sz w:val="24"/>
          <w:szCs w:val="24"/>
        </w:rPr>
        <w:t>4</w:t>
      </w:r>
      <w:r>
        <w:rPr>
          <w:rFonts w:ascii="宋体" w:hAnsi="宋体" w:hint="eastAsia"/>
          <w:bCs/>
          <w:sz w:val="24"/>
          <w:szCs w:val="24"/>
        </w:rPr>
        <w:t>、不通过关联交易为自身、雇员、授权代理人或任何存在利害关系的第三人牟取任何不当利益。</w:t>
      </w:r>
      <w:bookmarkEnd w:id="374"/>
      <w:bookmarkEnd w:id="375"/>
    </w:p>
    <w:p w14:paraId="4CC2FF4C" w14:textId="77777777" w:rsidR="00E82AF4" w:rsidRDefault="005B2E6A">
      <w:pPr>
        <w:adjustRightInd w:val="0"/>
        <w:snapToGrid w:val="0"/>
        <w:spacing w:line="360" w:lineRule="auto"/>
        <w:ind w:firstLineChars="200" w:firstLine="480"/>
        <w:jc w:val="left"/>
        <w:rPr>
          <w:rFonts w:ascii="宋体" w:hAnsi="宋体"/>
          <w:bCs/>
          <w:sz w:val="24"/>
          <w:szCs w:val="24"/>
        </w:rPr>
      </w:pPr>
      <w:r>
        <w:rPr>
          <w:rFonts w:ascii="宋体" w:hAnsi="宋体"/>
          <w:sz w:val="24"/>
        </w:rPr>
        <w:br w:type="page"/>
      </w:r>
    </w:p>
    <w:p w14:paraId="3FD05BE7" w14:textId="77777777" w:rsidR="00E82AF4" w:rsidRDefault="005B2E6A">
      <w:pPr>
        <w:pStyle w:val="1"/>
        <w:spacing w:before="0" w:after="0"/>
        <w:jc w:val="center"/>
        <w:rPr>
          <w:rFonts w:ascii="Times New Roman"/>
          <w:color w:val="auto"/>
          <w:sz w:val="32"/>
        </w:rPr>
      </w:pPr>
      <w:bookmarkStart w:id="376" w:name="_Toc93226145"/>
      <w:bookmarkStart w:id="377" w:name="_Toc92662704"/>
      <w:bookmarkStart w:id="378" w:name="_Toc141703893"/>
      <w:bookmarkStart w:id="379" w:name="_Toc31611"/>
      <w:bookmarkStart w:id="380" w:name="_Toc139991743"/>
      <w:bookmarkStart w:id="381" w:name="_Toc7185"/>
      <w:bookmarkStart w:id="382" w:name="_Toc24474"/>
      <w:bookmarkStart w:id="383" w:name="_Toc3054"/>
      <w:bookmarkStart w:id="384" w:name="_Toc32307770"/>
      <w:bookmarkStart w:id="385" w:name="_Toc18000"/>
      <w:bookmarkStart w:id="386" w:name="_Toc20782"/>
      <w:bookmarkStart w:id="387" w:name="_Toc29561"/>
      <w:bookmarkStart w:id="388" w:name="_Toc21642"/>
      <w:bookmarkStart w:id="389" w:name="_Toc20102"/>
      <w:bookmarkStart w:id="390" w:name="_Toc128310496"/>
      <w:bookmarkStart w:id="391" w:name="_Toc26114"/>
      <w:bookmarkStart w:id="392" w:name="_Toc32030"/>
      <w:bookmarkEnd w:id="359"/>
      <w:r>
        <w:rPr>
          <w:rFonts w:ascii="Times New Roman" w:hint="eastAsia"/>
          <w:color w:val="auto"/>
          <w:sz w:val="32"/>
        </w:rPr>
        <w:lastRenderedPageBreak/>
        <w:t>第十五部分</w:t>
      </w:r>
      <w:r>
        <w:rPr>
          <w:rFonts w:ascii="Times New Roman"/>
          <w:color w:val="auto"/>
          <w:sz w:val="32"/>
        </w:rPr>
        <w:t xml:space="preserve">  </w:t>
      </w:r>
      <w:r>
        <w:rPr>
          <w:rFonts w:ascii="Times New Roman" w:hint="eastAsia"/>
          <w:color w:val="auto"/>
          <w:sz w:val="32"/>
        </w:rPr>
        <w:t>基金</w:t>
      </w:r>
      <w:bookmarkEnd w:id="376"/>
      <w:bookmarkEnd w:id="377"/>
      <w:r>
        <w:rPr>
          <w:rFonts w:ascii="Times New Roman" w:hint="eastAsia"/>
          <w:color w:val="auto"/>
          <w:sz w:val="32"/>
        </w:rPr>
        <w:t>的财产</w:t>
      </w:r>
      <w:bookmarkEnd w:id="373"/>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4B940A95" w14:textId="77777777" w:rsidR="00E82AF4" w:rsidRDefault="00E82AF4">
      <w:pPr>
        <w:spacing w:line="360" w:lineRule="auto"/>
        <w:ind w:firstLineChars="200" w:firstLine="480"/>
        <w:rPr>
          <w:bCs/>
          <w:sz w:val="24"/>
        </w:rPr>
      </w:pPr>
    </w:p>
    <w:p w14:paraId="7252240F" w14:textId="77777777" w:rsidR="00E82AF4" w:rsidRDefault="005B2E6A">
      <w:pPr>
        <w:pStyle w:val="HD0"/>
        <w:ind w:firstLine="480"/>
        <w:rPr>
          <w:sz w:val="24"/>
          <w:szCs w:val="24"/>
        </w:rPr>
      </w:pPr>
      <w:r>
        <w:rPr>
          <w:rFonts w:hint="eastAsia"/>
          <w:sz w:val="24"/>
          <w:szCs w:val="24"/>
        </w:rPr>
        <w:t>一、基金资产总值</w:t>
      </w:r>
    </w:p>
    <w:p w14:paraId="4E8F7D22" w14:textId="77777777" w:rsidR="00E82AF4" w:rsidRDefault="005B2E6A">
      <w:pPr>
        <w:pStyle w:val="HD0"/>
        <w:ind w:firstLine="480"/>
        <w:rPr>
          <w:sz w:val="24"/>
          <w:szCs w:val="24"/>
        </w:rPr>
      </w:pPr>
      <w:r>
        <w:rPr>
          <w:rFonts w:hint="eastAsia"/>
          <w:sz w:val="24"/>
          <w:szCs w:val="24"/>
        </w:rPr>
        <w:t>基金资产总值是</w:t>
      </w:r>
      <w:r>
        <w:rPr>
          <w:rFonts w:ascii="宋体" w:hAnsi="宋体"/>
          <w:bCs/>
          <w:sz w:val="24"/>
          <w:szCs w:val="24"/>
        </w:rPr>
        <w:t>基金拥有的各类有价证券、银行存款本息、基金应收</w:t>
      </w:r>
      <w:r>
        <w:rPr>
          <w:rFonts w:ascii="宋体" w:hAnsi="宋体" w:hint="eastAsia"/>
          <w:bCs/>
          <w:sz w:val="24"/>
          <w:szCs w:val="24"/>
        </w:rPr>
        <w:t>款项</w:t>
      </w:r>
      <w:r>
        <w:rPr>
          <w:rFonts w:ascii="宋体" w:hAnsi="宋体"/>
          <w:bCs/>
          <w:sz w:val="24"/>
          <w:szCs w:val="24"/>
        </w:rPr>
        <w:t>及其他资产的价值总和</w:t>
      </w:r>
      <w:r>
        <w:rPr>
          <w:rFonts w:hint="eastAsia"/>
          <w:sz w:val="24"/>
          <w:szCs w:val="24"/>
        </w:rPr>
        <w:t>。</w:t>
      </w:r>
    </w:p>
    <w:p w14:paraId="5225CEAD" w14:textId="77777777" w:rsidR="00E82AF4" w:rsidRDefault="005B2E6A">
      <w:pPr>
        <w:pStyle w:val="HD0"/>
        <w:ind w:firstLine="480"/>
        <w:rPr>
          <w:sz w:val="24"/>
          <w:szCs w:val="24"/>
        </w:rPr>
      </w:pPr>
      <w:r>
        <w:rPr>
          <w:rFonts w:hint="eastAsia"/>
          <w:sz w:val="24"/>
          <w:szCs w:val="24"/>
        </w:rPr>
        <w:t>二、基金资产净值</w:t>
      </w:r>
    </w:p>
    <w:p w14:paraId="1D553744" w14:textId="77777777" w:rsidR="00E82AF4" w:rsidRDefault="005B2E6A">
      <w:pPr>
        <w:pStyle w:val="HD0"/>
        <w:ind w:firstLine="480"/>
        <w:rPr>
          <w:sz w:val="24"/>
          <w:szCs w:val="24"/>
        </w:rPr>
      </w:pPr>
      <w:r>
        <w:rPr>
          <w:rFonts w:hint="eastAsia"/>
          <w:sz w:val="24"/>
          <w:szCs w:val="24"/>
        </w:rPr>
        <w:t>基金资产净值是指基金资产总值减去基金负债后的价值。</w:t>
      </w:r>
    </w:p>
    <w:p w14:paraId="4C3E7148" w14:textId="77777777" w:rsidR="00E82AF4" w:rsidRDefault="005B2E6A">
      <w:pPr>
        <w:pStyle w:val="HD0"/>
        <w:ind w:firstLine="480"/>
        <w:rPr>
          <w:sz w:val="24"/>
          <w:szCs w:val="24"/>
        </w:rPr>
      </w:pPr>
      <w:r>
        <w:rPr>
          <w:rFonts w:hint="eastAsia"/>
          <w:sz w:val="24"/>
          <w:szCs w:val="24"/>
        </w:rPr>
        <w:t>三、基金财产的账户</w:t>
      </w:r>
    </w:p>
    <w:p w14:paraId="45906AD8" w14:textId="77777777" w:rsidR="00E82AF4" w:rsidRDefault="005B2E6A">
      <w:pPr>
        <w:pStyle w:val="HD0"/>
        <w:ind w:firstLine="480"/>
        <w:rPr>
          <w:sz w:val="24"/>
        </w:rPr>
      </w:pPr>
      <w:r>
        <w:rPr>
          <w:rFonts w:hint="eastAsia"/>
          <w:sz w:val="24"/>
          <w:szCs w:val="24"/>
        </w:rPr>
        <w:t>基金托管人根据相关法律法规、规范性文件为本基金开立资金账户、证券账户以及投资所需的其他专用账户。开立的基金专用账户与基金管理人、基金托管人、销售机构、证券经纪机构和基金登记机构自有的财产账户以及其他基金财产账户相独立。</w:t>
      </w:r>
    </w:p>
    <w:p w14:paraId="492AA244" w14:textId="77777777" w:rsidR="00E82AF4" w:rsidRDefault="005B2E6A">
      <w:pPr>
        <w:pStyle w:val="HD0"/>
        <w:ind w:firstLine="480"/>
        <w:rPr>
          <w:sz w:val="24"/>
          <w:szCs w:val="24"/>
        </w:rPr>
      </w:pPr>
      <w:r>
        <w:rPr>
          <w:rFonts w:hint="eastAsia"/>
          <w:sz w:val="24"/>
          <w:szCs w:val="24"/>
        </w:rPr>
        <w:t>四、基金财产的保管和处分</w:t>
      </w:r>
    </w:p>
    <w:p w14:paraId="02AA3429" w14:textId="77777777" w:rsidR="00E82AF4" w:rsidRDefault="005B2E6A">
      <w:pPr>
        <w:pStyle w:val="HD0"/>
        <w:ind w:firstLine="480"/>
        <w:rPr>
          <w:sz w:val="24"/>
          <w:szCs w:val="24"/>
        </w:rPr>
      </w:pPr>
      <w:r>
        <w:rPr>
          <w:rFonts w:hint="eastAsia"/>
          <w:sz w:val="24"/>
          <w:szCs w:val="24"/>
        </w:rPr>
        <w:t>本基金财产独立于基金管理人、基金托管人、证券经纪机构和销售机构的财产，并由基金托管人、证券经纪机构保管。基金管理人、基金托管人、证券经纪机构、基金登记机构和销售机构以其自有的财产承担其自身的法律责任，其债权人不得对本基金财产行使请求冻结、扣押或其他权利。除依法律法规和基金合同的规定处分外，基金财产不得被处分。</w:t>
      </w:r>
    </w:p>
    <w:p w14:paraId="0AC88A68" w14:textId="77777777" w:rsidR="00E82AF4" w:rsidRDefault="005B2E6A">
      <w:pPr>
        <w:pStyle w:val="HD0"/>
        <w:ind w:firstLine="480"/>
      </w:pPr>
      <w:r>
        <w:rPr>
          <w:rFonts w:hint="eastAsia"/>
          <w:sz w:val="24"/>
          <w:szCs w:val="24"/>
        </w:rPr>
        <w:t>基金管理人、基金托管人、证券经纪机构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bookmarkStart w:id="393" w:name="_Hlt88900062"/>
      <w:bookmarkStart w:id="394" w:name="_Hlt88841837"/>
      <w:bookmarkEnd w:id="393"/>
      <w:bookmarkEnd w:id="394"/>
    </w:p>
    <w:p w14:paraId="37593798" w14:textId="77777777" w:rsidR="00E82AF4" w:rsidRDefault="005B2E6A">
      <w:pPr>
        <w:pStyle w:val="1"/>
        <w:spacing w:before="0" w:after="0"/>
        <w:jc w:val="center"/>
        <w:rPr>
          <w:rFonts w:ascii="Times New Roman"/>
          <w:color w:val="auto"/>
          <w:sz w:val="32"/>
        </w:rPr>
      </w:pPr>
      <w:r>
        <w:rPr>
          <w:kern w:val="44"/>
          <w:sz w:val="21"/>
        </w:rPr>
        <w:br w:type="page"/>
      </w:r>
      <w:bookmarkStart w:id="395" w:name="_Toc871"/>
      <w:bookmarkStart w:id="396" w:name="_Toc19714"/>
      <w:bookmarkStart w:id="397" w:name="_Toc2623"/>
      <w:bookmarkStart w:id="398" w:name="_Toc32307771"/>
      <w:bookmarkStart w:id="399" w:name="_Toc17782"/>
      <w:bookmarkStart w:id="400" w:name="_Toc19175"/>
      <w:bookmarkStart w:id="401" w:name="_Toc27832"/>
      <w:bookmarkStart w:id="402" w:name="_Toc7802"/>
      <w:bookmarkStart w:id="403" w:name="_Toc31917"/>
      <w:bookmarkStart w:id="404" w:name="_Toc141703894"/>
      <w:bookmarkStart w:id="405" w:name="_Toc139991744"/>
      <w:r>
        <w:rPr>
          <w:rFonts w:ascii="Times New Roman"/>
          <w:color w:val="auto"/>
          <w:sz w:val="32"/>
          <w:szCs w:val="32"/>
        </w:rPr>
        <w:lastRenderedPageBreak/>
        <w:t>第十</w:t>
      </w:r>
      <w:r>
        <w:rPr>
          <w:rFonts w:ascii="Times New Roman" w:hint="eastAsia"/>
          <w:color w:val="auto"/>
          <w:sz w:val="32"/>
          <w:szCs w:val="32"/>
        </w:rPr>
        <w:t>六</w:t>
      </w:r>
      <w:r>
        <w:rPr>
          <w:rFonts w:ascii="Times New Roman"/>
          <w:color w:val="auto"/>
          <w:sz w:val="32"/>
          <w:szCs w:val="32"/>
        </w:rPr>
        <w:t>部</w:t>
      </w:r>
      <w:r>
        <w:rPr>
          <w:rFonts w:ascii="Times New Roman" w:hint="eastAsia"/>
          <w:color w:val="auto"/>
          <w:sz w:val="32"/>
        </w:rPr>
        <w:t>分</w:t>
      </w:r>
      <w:r>
        <w:rPr>
          <w:rFonts w:ascii="Times New Roman"/>
          <w:color w:val="auto"/>
          <w:sz w:val="32"/>
        </w:rPr>
        <w:t xml:space="preserve">  </w:t>
      </w:r>
      <w:r>
        <w:rPr>
          <w:rFonts w:ascii="Times New Roman" w:hint="eastAsia"/>
          <w:color w:val="auto"/>
          <w:sz w:val="32"/>
        </w:rPr>
        <w:t>基金资产估值</w:t>
      </w:r>
      <w:bookmarkEnd w:id="395"/>
      <w:bookmarkEnd w:id="396"/>
      <w:bookmarkEnd w:id="397"/>
      <w:bookmarkEnd w:id="398"/>
      <w:bookmarkEnd w:id="399"/>
      <w:bookmarkEnd w:id="400"/>
      <w:bookmarkEnd w:id="401"/>
      <w:bookmarkEnd w:id="402"/>
      <w:bookmarkEnd w:id="403"/>
    </w:p>
    <w:p w14:paraId="09C3F336" w14:textId="77777777" w:rsidR="00E82AF4" w:rsidRDefault="00E82AF4">
      <w:pPr>
        <w:spacing w:line="360" w:lineRule="auto"/>
        <w:ind w:firstLineChars="200" w:firstLine="480"/>
        <w:rPr>
          <w:bCs/>
          <w:sz w:val="24"/>
        </w:rPr>
      </w:pPr>
    </w:p>
    <w:p w14:paraId="109989F4" w14:textId="77777777" w:rsidR="00E82AF4" w:rsidRDefault="005B2E6A">
      <w:pPr>
        <w:pStyle w:val="HD0"/>
        <w:adjustRightInd w:val="0"/>
        <w:ind w:firstLine="480"/>
        <w:rPr>
          <w:rFonts w:asciiTheme="minorEastAsia" w:eastAsiaTheme="minorEastAsia" w:hAnsiTheme="minorEastAsia"/>
          <w:sz w:val="24"/>
          <w:szCs w:val="24"/>
        </w:rPr>
      </w:pPr>
      <w:bookmarkStart w:id="406" w:name="_Toc141703895"/>
      <w:bookmarkStart w:id="407" w:name="_Toc139991745"/>
      <w:bookmarkStart w:id="408" w:name="_Toc32046"/>
      <w:bookmarkEnd w:id="404"/>
      <w:bookmarkEnd w:id="405"/>
      <w:r>
        <w:rPr>
          <w:rFonts w:asciiTheme="minorEastAsia" w:eastAsiaTheme="minorEastAsia" w:hAnsiTheme="minorEastAsia" w:hint="eastAsia"/>
          <w:sz w:val="24"/>
          <w:szCs w:val="24"/>
        </w:rPr>
        <w:t>一、估值日</w:t>
      </w:r>
    </w:p>
    <w:p w14:paraId="11849C3E"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本基金的估值日为本基金相关的证券/期货交易场所的交易日以及国家法律法规规定需要对外披露基金净值的非交易日。</w:t>
      </w:r>
    </w:p>
    <w:p w14:paraId="0770C9C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二、估值对象</w:t>
      </w:r>
    </w:p>
    <w:p w14:paraId="26952694" w14:textId="77777777" w:rsidR="00E82AF4" w:rsidRDefault="005B2E6A">
      <w:pPr>
        <w:adjustRightInd w:val="0"/>
        <w:snapToGrid w:val="0"/>
        <w:spacing w:line="360" w:lineRule="auto"/>
        <w:ind w:firstLineChars="200" w:firstLine="480"/>
        <w:rPr>
          <w:rFonts w:asciiTheme="minorEastAsia" w:eastAsiaTheme="minorEastAsia" w:hAnsiTheme="minorEastAsia"/>
          <w:sz w:val="24"/>
          <w:szCs w:val="24"/>
        </w:rPr>
      </w:pPr>
      <w:bookmarkStart w:id="409" w:name="OLE_LINK28"/>
      <w:bookmarkStart w:id="410" w:name="OLE_LINK29"/>
      <w:r>
        <w:rPr>
          <w:rFonts w:asciiTheme="minorEastAsia" w:eastAsiaTheme="minorEastAsia" w:hAnsiTheme="minorEastAsia" w:hint="eastAsia"/>
          <w:sz w:val="24"/>
          <w:szCs w:val="24"/>
        </w:rPr>
        <w:t>基金所拥有的股票、股指期货合约、股票期权</w:t>
      </w:r>
      <w:r>
        <w:rPr>
          <w:rFonts w:asciiTheme="minorEastAsia" w:eastAsiaTheme="minorEastAsia" w:hAnsiTheme="minorEastAsia"/>
          <w:sz w:val="24"/>
          <w:szCs w:val="24"/>
        </w:rPr>
        <w:t>合约</w:t>
      </w:r>
      <w:r>
        <w:rPr>
          <w:rFonts w:asciiTheme="minorEastAsia" w:eastAsiaTheme="minorEastAsia" w:hAnsiTheme="minorEastAsia" w:hint="eastAsia"/>
          <w:sz w:val="24"/>
          <w:szCs w:val="24"/>
        </w:rPr>
        <w:t>、</w:t>
      </w:r>
      <w:r>
        <w:rPr>
          <w:rFonts w:ascii="宋体" w:hAnsi="宋体" w:hint="eastAsia"/>
          <w:bCs/>
          <w:sz w:val="24"/>
          <w:szCs w:val="24"/>
        </w:rPr>
        <w:t>国债期货合约、</w:t>
      </w:r>
      <w:r>
        <w:rPr>
          <w:rFonts w:asciiTheme="minorEastAsia" w:eastAsiaTheme="minorEastAsia" w:hAnsiTheme="minorEastAsia" w:hint="eastAsia"/>
          <w:sz w:val="24"/>
          <w:szCs w:val="24"/>
        </w:rPr>
        <w:t>债券和银行存款本息、资产支持证券、应收款项、其它投资等资产及负债。</w:t>
      </w:r>
      <w:bookmarkEnd w:id="409"/>
      <w:bookmarkEnd w:id="410"/>
    </w:p>
    <w:p w14:paraId="5385564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三、估值原则</w:t>
      </w:r>
    </w:p>
    <w:p w14:paraId="7F436B6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基金管理人在确定相关金融资产和金融负债的公允价值时，应符合《企业会计准则》、监管部门有关规定。</w:t>
      </w:r>
    </w:p>
    <w:p w14:paraId="21BF2D9A"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6CD98F2F"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5A7DDC53"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C0BB54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四</w:t>
      </w:r>
      <w:r>
        <w:rPr>
          <w:rFonts w:asciiTheme="minorEastAsia" w:eastAsiaTheme="minorEastAsia" w:hAnsiTheme="minorEastAsia"/>
          <w:sz w:val="24"/>
          <w:szCs w:val="24"/>
        </w:rPr>
        <w:t>、估值</w:t>
      </w:r>
      <w:r>
        <w:rPr>
          <w:rFonts w:asciiTheme="minorEastAsia" w:eastAsiaTheme="minorEastAsia" w:hAnsiTheme="minorEastAsia" w:hint="eastAsia"/>
          <w:sz w:val="24"/>
          <w:szCs w:val="24"/>
        </w:rPr>
        <w:t>方法</w:t>
      </w:r>
    </w:p>
    <w:p w14:paraId="7693C489"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bookmarkStart w:id="411" w:name="OLE_LINK46"/>
      <w:bookmarkStart w:id="412" w:name="OLE_LINK45"/>
      <w:r>
        <w:rPr>
          <w:rFonts w:asciiTheme="minorEastAsia" w:eastAsiaTheme="minorEastAsia" w:hAnsiTheme="minorEastAsia" w:hint="eastAsia"/>
          <w:bCs/>
          <w:sz w:val="24"/>
          <w:szCs w:val="24"/>
        </w:rPr>
        <w:t>1、证券交易所上市的有价证券的估值</w:t>
      </w:r>
    </w:p>
    <w:p w14:paraId="24DA1FE9"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bookmarkStart w:id="413" w:name="OLE_LINK43"/>
      <w:bookmarkStart w:id="414" w:name="OLE_LINK44"/>
      <w:r>
        <w:rPr>
          <w:rFonts w:asciiTheme="minorEastAsia" w:eastAsiaTheme="minorEastAsia" w:hAnsiTheme="minorEastAsia" w:hint="eastAsia"/>
          <w:bCs/>
          <w:sz w:val="24"/>
          <w:szCs w:val="24"/>
        </w:rPr>
        <w:t>（</w:t>
      </w:r>
      <w:bookmarkStart w:id="415" w:name="OLE_LINK48"/>
      <w:bookmarkStart w:id="416" w:name="OLE_LINK47"/>
      <w:r>
        <w:rPr>
          <w:rFonts w:asciiTheme="minorEastAsia" w:eastAsiaTheme="minorEastAsia" w:hAnsiTheme="minorEastAsia" w:hint="eastAsia"/>
          <w:bCs/>
          <w:sz w:val="24"/>
          <w:szCs w:val="24"/>
        </w:rPr>
        <w:t>1）</w:t>
      </w:r>
      <w:bookmarkStart w:id="417" w:name="OLE_LINK42"/>
      <w:bookmarkStart w:id="418" w:name="OLE_LINK41"/>
      <w:r>
        <w:rPr>
          <w:rFonts w:asciiTheme="minorEastAsia" w:eastAsiaTheme="minorEastAsia" w:hAnsiTheme="minorEastAsia" w:hint="eastAsia"/>
          <w:bCs/>
          <w:sz w:val="24"/>
          <w:szCs w:val="24"/>
        </w:rPr>
        <w:t>交易所上市的有价证券（包括股票等），以其估值日在证券交易所挂</w:t>
      </w:r>
      <w:r>
        <w:rPr>
          <w:rFonts w:asciiTheme="minorEastAsia" w:eastAsiaTheme="minorEastAsia" w:hAnsiTheme="minorEastAsia" w:hint="eastAsia"/>
          <w:bCs/>
          <w:sz w:val="24"/>
          <w:szCs w:val="24"/>
        </w:rPr>
        <w:lastRenderedPageBreak/>
        <w:t>牌的市价（收盘价）估值；估值日无市价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值；</w:t>
      </w:r>
      <w:bookmarkEnd w:id="417"/>
      <w:bookmarkEnd w:id="418"/>
    </w:p>
    <w:p w14:paraId="28CA47B6"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（2）对于已上市或已挂牌转让的不含权固定收益品种（法规另有规定的除外），选取第三方估值基准服务机构提供的相应品种当日的估值全价，基金管理人根据相关法律、法规的规定进行涉税处理(下同</w:t>
      </w:r>
      <w:r>
        <w:rPr>
          <w:rFonts w:asciiTheme="minorEastAsia" w:eastAsiaTheme="minorEastAsia" w:hAnsiTheme="minorEastAsia"/>
          <w:bCs/>
          <w:sz w:val="24"/>
          <w:szCs w:val="24"/>
        </w:rPr>
        <w:t>)</w:t>
      </w:r>
      <w:r>
        <w:rPr>
          <w:rFonts w:asciiTheme="minorEastAsia" w:eastAsiaTheme="minorEastAsia" w:hAnsiTheme="minorEastAsia" w:hint="eastAsia"/>
          <w:bCs/>
          <w:sz w:val="24"/>
          <w:szCs w:val="24"/>
        </w:rPr>
        <w:t>。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5B2F7C78"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3）交易所上市交易的公开发行的可转换公司债券等有活跃市场的含转股权的债券，实行全价交易的债券选取估值日收盘价作为估值全价；实行净价交易的债券选取估值日收盘价并加计每百元税前应计利息作为估值全价。估值日没有交易的，且最近交易日后经济环境未发生重大变化，按最近交易日债券收盘价并加计每百元税前应计利息作为估值全价。如最近交易日后经济环境发生了重大变化的，可参考类似投资品种的现行市价及重大变化因素，调整最近交易市价，确定公允价值；</w:t>
      </w:r>
    </w:p>
    <w:p w14:paraId="1FFCB4CC"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w:t>
      </w:r>
      <w:r>
        <w:rPr>
          <w:rFonts w:asciiTheme="minorEastAsia" w:eastAsiaTheme="minorEastAsia" w:hAnsiTheme="minorEastAsia"/>
          <w:bCs/>
          <w:sz w:val="24"/>
          <w:szCs w:val="24"/>
        </w:rPr>
        <w:t>4</w:t>
      </w:r>
      <w:r>
        <w:rPr>
          <w:rFonts w:asciiTheme="minorEastAsia" w:eastAsiaTheme="minorEastAsia" w:hAnsiTheme="minorEastAsia" w:hint="eastAsia"/>
          <w:bCs/>
          <w:sz w:val="24"/>
          <w:szCs w:val="24"/>
        </w:rPr>
        <w:t>）本基金投资存托凭证的估值核算，依照境内上市交易的股票执行。</w:t>
      </w:r>
      <w:bookmarkEnd w:id="413"/>
      <w:bookmarkEnd w:id="414"/>
      <w:bookmarkEnd w:id="415"/>
      <w:bookmarkEnd w:id="416"/>
    </w:p>
    <w:p w14:paraId="0C1B25E7"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2、处于未上市期间的有价证券应区分如下情况处理：</w:t>
      </w:r>
    </w:p>
    <w:p w14:paraId="22A14D01"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bookmarkStart w:id="419" w:name="OLE_LINK50"/>
      <w:bookmarkStart w:id="420" w:name="OLE_LINK51"/>
      <w:bookmarkStart w:id="421" w:name="OLE_LINK49"/>
      <w:r>
        <w:rPr>
          <w:rFonts w:asciiTheme="minorEastAsia" w:eastAsiaTheme="minorEastAsia" w:hAnsiTheme="minorEastAsia" w:hint="eastAsia"/>
          <w:bCs/>
          <w:sz w:val="24"/>
          <w:szCs w:val="24"/>
        </w:rPr>
        <w:t>（1）送股、转增股、配股和公开增发的股票，按估值日在证券交易所挂牌的同一股票的估值方法估值；该日无交易的，以最近一日的市价（收盘价）估值；</w:t>
      </w:r>
    </w:p>
    <w:p w14:paraId="05C06504"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（2）首次公开发行未上市的股票，采用估值技术确定公允价值；</w:t>
      </w:r>
    </w:p>
    <w:p w14:paraId="5E3A3649"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（3）流通受限的股票，包括非公开发行股票、首次公开发行股票时公司股东公开发售股份、通过大宗交易取得的带限售期的股票等（不包括停牌、新发行</w:t>
      </w:r>
      <w:r>
        <w:rPr>
          <w:rFonts w:asciiTheme="minorEastAsia" w:eastAsiaTheme="minorEastAsia" w:hAnsiTheme="minorEastAsia" w:hint="eastAsia"/>
          <w:bCs/>
          <w:sz w:val="24"/>
          <w:szCs w:val="24"/>
        </w:rPr>
        <w:lastRenderedPageBreak/>
        <w:t>未上市、回购交易中的质押券等流通受限股票），按监管机构或行业协会有关规定确定公允价值；</w:t>
      </w:r>
    </w:p>
    <w:p w14:paraId="218CC34D" w14:textId="19C170C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w:t>
      </w:r>
      <w:r>
        <w:rPr>
          <w:rFonts w:asciiTheme="minorEastAsia" w:eastAsiaTheme="minorEastAsia" w:hAnsiTheme="minorEastAsia"/>
          <w:bCs/>
          <w:sz w:val="24"/>
          <w:szCs w:val="24"/>
        </w:rPr>
        <w:t>4</w:t>
      </w:r>
      <w:r>
        <w:rPr>
          <w:rFonts w:asciiTheme="minorEastAsia" w:eastAsiaTheme="minorEastAsia" w:hAnsiTheme="minorEastAsia" w:hint="eastAsia"/>
          <w:bCs/>
          <w:sz w:val="24"/>
          <w:szCs w:val="24"/>
        </w:rPr>
        <w:t>）对于未上市或未挂牌转让且不存在活跃市场的固定收益品种，采用在当前情况下适用并且有足够可利用数据和其他信息支持的估值技术确定其公允价值。</w:t>
      </w:r>
      <w:bookmarkEnd w:id="419"/>
      <w:bookmarkEnd w:id="420"/>
      <w:bookmarkEnd w:id="421"/>
    </w:p>
    <w:p w14:paraId="086834DA"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bookmarkStart w:id="422" w:name="OLE_LINK53"/>
      <w:bookmarkStart w:id="423" w:name="OLE_LINK52"/>
      <w:r>
        <w:rPr>
          <w:rFonts w:asciiTheme="minorEastAsia" w:eastAsiaTheme="minorEastAsia" w:hAnsiTheme="minorEastAsia"/>
          <w:bCs/>
          <w:sz w:val="24"/>
          <w:szCs w:val="24"/>
        </w:rPr>
        <w:t>3、对全国银行间市场</w:t>
      </w:r>
      <w:r>
        <w:rPr>
          <w:rFonts w:asciiTheme="minorEastAsia" w:eastAsiaTheme="minorEastAsia" w:hAnsiTheme="minorEastAsia" w:hint="eastAsia"/>
          <w:bCs/>
          <w:sz w:val="24"/>
          <w:szCs w:val="24"/>
        </w:rPr>
        <w:t>已上市或已挂牌转让的不含权固定收益品种（法规另有规定的除外），选取第三方估值基准服务机构提供的相应品种当日的估值全价，基金管理人根据相关法律、法规的规定进行涉税处理</w:t>
      </w:r>
      <w:r>
        <w:rPr>
          <w:rFonts w:asciiTheme="minorEastAsia" w:eastAsiaTheme="minorEastAsia" w:hAnsiTheme="minorEastAsia"/>
          <w:bCs/>
          <w:sz w:val="24"/>
          <w:szCs w:val="24"/>
        </w:rPr>
        <w:t>(下同)</w:t>
      </w:r>
      <w:r>
        <w:rPr>
          <w:rFonts w:asciiTheme="minorEastAsia" w:eastAsiaTheme="minorEastAsia" w:hAnsiTheme="minorEastAsia" w:hint="eastAsia"/>
          <w:bCs/>
          <w:sz w:val="24"/>
          <w:szCs w:val="24"/>
        </w:rPr>
        <w:t>。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4CF7728E" w14:textId="77777777" w:rsidR="00E82AF4" w:rsidRDefault="005B2E6A">
      <w:pPr>
        <w:spacing w:line="360" w:lineRule="auto"/>
        <w:ind w:firstLineChars="200" w:firstLine="480"/>
        <w:rPr>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6B7F7BAD"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4</w:t>
      </w:r>
      <w:r>
        <w:rPr>
          <w:rFonts w:asciiTheme="minorEastAsia" w:eastAsiaTheme="minorEastAsia" w:hAnsiTheme="minorEastAsia" w:hint="eastAsia"/>
          <w:bCs/>
          <w:sz w:val="24"/>
          <w:szCs w:val="24"/>
        </w:rPr>
        <w:t>、同一证券同时在两个或两个以上市场交易的，按其所处的市场分别估值。</w:t>
      </w:r>
    </w:p>
    <w:p w14:paraId="1BE69F31" w14:textId="77777777" w:rsidR="00E82AF4" w:rsidRDefault="005B2E6A">
      <w:pPr>
        <w:adjustRightInd w:val="0"/>
        <w:snapToGrid w:val="0"/>
        <w:spacing w:line="360" w:lineRule="auto"/>
        <w:ind w:firstLineChars="200" w:firstLine="480"/>
        <w:rPr>
          <w:rFonts w:asciiTheme="minorEastAsia" w:eastAsiaTheme="minorEastAsia" w:hAnsiTheme="minorEastAsia" w:cs="Arial"/>
          <w:sz w:val="24"/>
        </w:rPr>
      </w:pPr>
      <w:r>
        <w:rPr>
          <w:rFonts w:asciiTheme="minorEastAsia" w:eastAsiaTheme="minorEastAsia" w:hAnsiTheme="minorEastAsia" w:hint="eastAsia"/>
          <w:bCs/>
          <w:sz w:val="24"/>
          <w:szCs w:val="24"/>
        </w:rPr>
        <w:t>5、</w:t>
      </w:r>
      <w:r>
        <w:rPr>
          <w:rFonts w:asciiTheme="minorEastAsia" w:eastAsiaTheme="minorEastAsia" w:hAnsiTheme="minorEastAsia" w:cs="Arial" w:hint="eastAsia"/>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6FB52A7A" w14:textId="613CC12D"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6、本基金持有的回购以</w:t>
      </w:r>
      <w:r w:rsidR="00DA30EE">
        <w:rPr>
          <w:rFonts w:asciiTheme="minorEastAsia" w:eastAsiaTheme="minorEastAsia" w:hAnsiTheme="minorEastAsia" w:hint="eastAsia"/>
          <w:bCs/>
          <w:sz w:val="24"/>
          <w:szCs w:val="24"/>
        </w:rPr>
        <w:t>摊余成本</w:t>
      </w:r>
      <w:r>
        <w:rPr>
          <w:rFonts w:asciiTheme="minorEastAsia" w:eastAsiaTheme="minorEastAsia" w:hAnsiTheme="minorEastAsia" w:hint="eastAsia"/>
          <w:bCs/>
          <w:sz w:val="24"/>
          <w:szCs w:val="24"/>
        </w:rPr>
        <w:t>列示，按合同利率在回购期间内逐日计提应收或应付利息。</w:t>
      </w:r>
    </w:p>
    <w:p w14:paraId="5F4490CF" w14:textId="5DBADCB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7、本基金持有的银行存款和备付金余额以</w:t>
      </w:r>
      <w:r w:rsidR="00DA30EE">
        <w:rPr>
          <w:rFonts w:asciiTheme="minorEastAsia" w:eastAsiaTheme="minorEastAsia" w:hAnsiTheme="minorEastAsia" w:hint="eastAsia"/>
          <w:bCs/>
          <w:sz w:val="24"/>
          <w:szCs w:val="24"/>
        </w:rPr>
        <w:t>摊余成本</w:t>
      </w:r>
      <w:r>
        <w:rPr>
          <w:rFonts w:asciiTheme="minorEastAsia" w:eastAsiaTheme="minorEastAsia" w:hAnsiTheme="minorEastAsia" w:hint="eastAsia"/>
          <w:bCs/>
          <w:sz w:val="24"/>
          <w:szCs w:val="24"/>
        </w:rPr>
        <w:t>列示，按相应利率逐日计提利息。</w:t>
      </w:r>
    </w:p>
    <w:p w14:paraId="51E858CB"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8、本基金投资股指期货合约，一般以估值当日结算价进行估值，估值当日</w:t>
      </w:r>
      <w:r>
        <w:rPr>
          <w:rFonts w:asciiTheme="minorEastAsia" w:eastAsiaTheme="minorEastAsia" w:hAnsiTheme="minorEastAsia" w:hint="eastAsia"/>
          <w:bCs/>
          <w:sz w:val="24"/>
          <w:szCs w:val="24"/>
        </w:rPr>
        <w:lastRenderedPageBreak/>
        <w:t>无结算价，且最近交易日后经济环境未发生重大变化的，采用最近交易日结算价估值。</w:t>
      </w:r>
    </w:p>
    <w:p w14:paraId="5E4EDA00"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9、本基金投资股票期权合约，</w:t>
      </w:r>
      <w:r>
        <w:rPr>
          <w:rFonts w:asciiTheme="minorEastAsia" w:eastAsiaTheme="minorEastAsia" w:hAnsiTheme="minorEastAsia" w:cs="Arial" w:hint="eastAsia"/>
          <w:sz w:val="24"/>
        </w:rPr>
        <w:t>根据相关法律法规以及监管部门的规定估值</w:t>
      </w:r>
      <w:r>
        <w:rPr>
          <w:rFonts w:asciiTheme="minorEastAsia" w:eastAsiaTheme="minorEastAsia" w:hAnsiTheme="minorEastAsia" w:hint="eastAsia"/>
          <w:bCs/>
          <w:sz w:val="24"/>
          <w:szCs w:val="24"/>
        </w:rPr>
        <w:t>。</w:t>
      </w:r>
    </w:p>
    <w:p w14:paraId="52E19459"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宋体" w:hAnsi="宋体" w:hint="eastAsia"/>
          <w:bCs/>
          <w:sz w:val="24"/>
          <w:szCs w:val="24"/>
        </w:rPr>
        <w:t>10、本基金投资国债期货合约，一般以估值当日结算价进行估值，估值当日无结算价，且最近交易日后经济环境未发生重大变化的，采用最近交易日结算价估值。</w:t>
      </w:r>
    </w:p>
    <w:p w14:paraId="58B6961D"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1</w:t>
      </w:r>
      <w:r>
        <w:rPr>
          <w:rFonts w:asciiTheme="minorEastAsia" w:eastAsiaTheme="minorEastAsia" w:hAnsiTheme="minorEastAsia" w:hint="eastAsia"/>
          <w:bCs/>
          <w:sz w:val="24"/>
          <w:szCs w:val="24"/>
        </w:rPr>
        <w:t>1、本基金参与融资和转融通证券出借业务的，按照相关法律法规和行业协会的相关规定进行估值。</w:t>
      </w:r>
    </w:p>
    <w:p w14:paraId="38B12739" w14:textId="54ABF648" w:rsidR="00E82AF4" w:rsidRDefault="005B2E6A" w:rsidP="00CE3F9D">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1</w:t>
      </w:r>
      <w:r>
        <w:rPr>
          <w:rFonts w:asciiTheme="minorEastAsia" w:eastAsiaTheme="minorEastAsia" w:hAnsiTheme="minorEastAsia" w:hint="eastAsia"/>
          <w:bCs/>
          <w:sz w:val="24"/>
          <w:szCs w:val="24"/>
        </w:rPr>
        <w:t>2、如有确凿证据表明按上述方法进行估值不能客观反映其公允价值的，基金管理人可根据具体情况与基金托管人商定后，按最能反映公允价值的价格估值。</w:t>
      </w:r>
    </w:p>
    <w:p w14:paraId="02AE5A92" w14:textId="7FCA1466" w:rsidR="00E82AF4" w:rsidRDefault="005B2E6A" w:rsidP="00CE3F9D">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1</w:t>
      </w:r>
      <w:r w:rsidR="00CE3F9D">
        <w:rPr>
          <w:rFonts w:asciiTheme="minorEastAsia" w:eastAsiaTheme="minorEastAsia" w:hAnsiTheme="minorEastAsia"/>
          <w:bCs/>
          <w:sz w:val="24"/>
          <w:szCs w:val="24"/>
        </w:rPr>
        <w:t>3</w:t>
      </w:r>
      <w:r>
        <w:rPr>
          <w:rFonts w:asciiTheme="minorEastAsia" w:eastAsiaTheme="minorEastAsia" w:hAnsiTheme="minorEastAsia" w:hint="eastAsia"/>
          <w:bCs/>
          <w:sz w:val="24"/>
          <w:szCs w:val="24"/>
        </w:rPr>
        <w:t>、相关法律法规以及监管部门有强制规定的，从其规定。如有新增事项，按国家最新规定估值。</w:t>
      </w:r>
    </w:p>
    <w:p w14:paraId="2C098973" w14:textId="77777777" w:rsidR="00E82AF4" w:rsidRDefault="005B2E6A">
      <w:pPr>
        <w:adjustRightInd w:val="0"/>
        <w:snapToGrid w:val="0"/>
        <w:spacing w:line="360" w:lineRule="auto"/>
        <w:ind w:firstLineChars="200" w:firstLine="480"/>
        <w:rPr>
          <w:rStyle w:val="read"/>
          <w:rFonts w:asciiTheme="minorEastAsia" w:eastAsiaTheme="minorEastAsia" w:hAnsiTheme="minorEastAsia"/>
          <w:bCs/>
          <w:sz w:val="24"/>
          <w:szCs w:val="24"/>
        </w:rPr>
      </w:pPr>
      <w:r>
        <w:rPr>
          <w:rStyle w:val="read"/>
          <w:rFonts w:asciiTheme="minorEastAsia" w:eastAsiaTheme="minorEastAsia" w:hAnsiTheme="minorEastAsia"/>
          <w:bCs/>
          <w:sz w:val="24"/>
          <w:szCs w:val="24"/>
        </w:rPr>
        <w:t>如基金管理人或基金托管人发现基金估值违反基金合同订明的估值方法、程序及相关法律法规的规定或者未能充分维护基金份额持有人利益时，</w:t>
      </w:r>
      <w:r>
        <w:rPr>
          <w:rFonts w:asciiTheme="minorEastAsia" w:eastAsiaTheme="minorEastAsia" w:hAnsiTheme="minorEastAsia" w:hint="eastAsia"/>
          <w:bCs/>
          <w:sz w:val="24"/>
          <w:szCs w:val="24"/>
        </w:rPr>
        <w:t>应立即通知对方</w:t>
      </w:r>
      <w:r>
        <w:rPr>
          <w:rStyle w:val="read"/>
          <w:rFonts w:asciiTheme="minorEastAsia" w:eastAsiaTheme="minorEastAsia" w:hAnsiTheme="minorEastAsia"/>
          <w:bCs/>
          <w:sz w:val="24"/>
          <w:szCs w:val="24"/>
        </w:rPr>
        <w:t>，共同查明原因，双方协商解决</w:t>
      </w:r>
      <w:r>
        <w:rPr>
          <w:rFonts w:asciiTheme="minorEastAsia" w:eastAsiaTheme="minorEastAsia" w:hAnsiTheme="minorEastAsia" w:hint="eastAsia"/>
          <w:bCs/>
          <w:sz w:val="24"/>
          <w:szCs w:val="24"/>
        </w:rPr>
        <w:t>，以约定的方法、程序和相关法律法规的规定进行估值，以维护基金份额持有人的利益</w:t>
      </w:r>
      <w:r>
        <w:rPr>
          <w:rStyle w:val="read"/>
          <w:rFonts w:asciiTheme="minorEastAsia" w:eastAsiaTheme="minorEastAsia" w:hAnsiTheme="minorEastAsia"/>
          <w:bCs/>
          <w:sz w:val="24"/>
          <w:szCs w:val="24"/>
        </w:rPr>
        <w:t>。</w:t>
      </w:r>
    </w:p>
    <w:p w14:paraId="0CE53619" w14:textId="77777777" w:rsidR="00E82AF4" w:rsidRDefault="005B2E6A">
      <w:pPr>
        <w:pStyle w:val="HD0"/>
        <w:adjustRightInd w:val="0"/>
        <w:ind w:firstLine="480"/>
        <w:rPr>
          <w:rFonts w:asciiTheme="minorEastAsia" w:eastAsiaTheme="minorEastAsia" w:hAnsiTheme="minorEastAsia"/>
          <w:sz w:val="24"/>
          <w:szCs w:val="24"/>
        </w:rPr>
      </w:pPr>
      <w:bookmarkStart w:id="424" w:name="OLE_LINK40"/>
      <w:bookmarkStart w:id="425" w:name="OLE_LINK39"/>
      <w:r>
        <w:rPr>
          <w:rFonts w:asciiTheme="minorEastAsia" w:eastAsiaTheme="minorEastAsia" w:hAnsiTheme="minorEastAsia" w:hint="eastAsia"/>
          <w:bCs/>
          <w:sz w:val="24"/>
          <w:szCs w:val="24"/>
        </w:rPr>
        <w:t>根据有关法律法规，基金资产净值计算、基金份额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按规定对外予以公布。</w:t>
      </w:r>
      <w:bookmarkEnd w:id="411"/>
      <w:bookmarkEnd w:id="412"/>
      <w:bookmarkEnd w:id="422"/>
      <w:bookmarkEnd w:id="423"/>
      <w:bookmarkEnd w:id="424"/>
      <w:bookmarkEnd w:id="425"/>
    </w:p>
    <w:p w14:paraId="6E6798DC"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五、估值程序</w:t>
      </w:r>
    </w:p>
    <w:p w14:paraId="2952F397" w14:textId="77777777" w:rsidR="00E82AF4" w:rsidRDefault="005B2E6A">
      <w:pPr>
        <w:pStyle w:val="HD0"/>
        <w:adjustRightInd w:val="0"/>
        <w:ind w:firstLine="480"/>
        <w:rPr>
          <w:rFonts w:asciiTheme="minorEastAsia" w:eastAsiaTheme="minorEastAsia" w:hAnsiTheme="minorEastAsia"/>
          <w:sz w:val="24"/>
          <w:szCs w:val="24"/>
        </w:rPr>
      </w:pPr>
      <w:bookmarkStart w:id="426" w:name="_Hlk209706569"/>
      <w:r>
        <w:rPr>
          <w:rFonts w:asciiTheme="minorEastAsia" w:eastAsiaTheme="minorEastAsia" w:hAnsiTheme="minorEastAsia"/>
          <w:sz w:val="24"/>
          <w:szCs w:val="24"/>
        </w:rPr>
        <w:t>1</w:t>
      </w:r>
      <w:r>
        <w:rPr>
          <w:rFonts w:asciiTheme="minorEastAsia" w:eastAsiaTheme="minorEastAsia" w:hAnsiTheme="minorEastAsia" w:hint="eastAsia"/>
          <w:sz w:val="24"/>
          <w:szCs w:val="24"/>
        </w:rPr>
        <w:t>、基金份额净值是按照每个估值日闭市后，基金资产净值除以当日基金份额的余额数量计算，精确到0.0001元，小数点后第5位四舍五入。基金管理人可以设立大额赎回情形下的净值精度应急调整机制。国家另有规定的，从其规定。</w:t>
      </w:r>
    </w:p>
    <w:p w14:paraId="41CDC26D" w14:textId="77777777" w:rsidR="00E82AF4" w:rsidRDefault="005B2E6A">
      <w:pPr>
        <w:pStyle w:val="HD0"/>
        <w:adjustRightInd w:val="0"/>
        <w:ind w:firstLine="480"/>
        <w:rPr>
          <w:rFonts w:asciiTheme="minorEastAsia" w:eastAsiaTheme="minorEastAsia" w:hAnsiTheme="minorEastAsia"/>
          <w:sz w:val="24"/>
          <w:szCs w:val="24"/>
        </w:rPr>
      </w:pPr>
      <w:bookmarkStart w:id="427" w:name="OLE_LINK36"/>
      <w:bookmarkStart w:id="428" w:name="OLE_LINK35"/>
      <w:r>
        <w:rPr>
          <w:rFonts w:asciiTheme="minorEastAsia" w:eastAsiaTheme="minorEastAsia" w:hAnsiTheme="minorEastAsia" w:hint="eastAsia"/>
          <w:sz w:val="24"/>
          <w:szCs w:val="24"/>
        </w:rPr>
        <w:t>基金管理人于每个估值日计算基金资产净值及基金份额净值，经基金托管人复核，并按规定公告。如遇特殊情况，经履行适当程序，可以适当延迟计算或公告。</w:t>
      </w:r>
      <w:bookmarkEnd w:id="427"/>
      <w:bookmarkEnd w:id="428"/>
    </w:p>
    <w:p w14:paraId="00EE1B02"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2</w:t>
      </w:r>
      <w:r>
        <w:rPr>
          <w:rFonts w:asciiTheme="minorEastAsia" w:eastAsiaTheme="minorEastAsia" w:hAnsiTheme="minorEastAsia" w:hint="eastAsia"/>
          <w:sz w:val="24"/>
          <w:szCs w:val="24"/>
        </w:rPr>
        <w:t>、</w:t>
      </w:r>
      <w:bookmarkStart w:id="429" w:name="OLE_LINK37"/>
      <w:bookmarkStart w:id="430" w:name="OLE_LINK38"/>
      <w:r>
        <w:rPr>
          <w:rFonts w:asciiTheme="minorEastAsia" w:eastAsiaTheme="minorEastAsia" w:hAnsiTheme="minorEastAsia" w:hint="eastAsia"/>
          <w:sz w:val="24"/>
          <w:szCs w:val="24"/>
        </w:rPr>
        <w:t>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w:t>
      </w:r>
      <w:r>
        <w:rPr>
          <w:rFonts w:asciiTheme="minorEastAsia" w:eastAsiaTheme="minorEastAsia" w:hAnsiTheme="minorEastAsia" w:hint="eastAsia"/>
          <w:sz w:val="24"/>
          <w:szCs w:val="24"/>
        </w:rPr>
        <w:lastRenderedPageBreak/>
        <w:t>按约定对外公布。</w:t>
      </w:r>
      <w:bookmarkEnd w:id="429"/>
      <w:bookmarkEnd w:id="430"/>
    </w:p>
    <w:bookmarkEnd w:id="426"/>
    <w:p w14:paraId="6E1BDDB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六、估值错误的处理</w:t>
      </w:r>
    </w:p>
    <w:p w14:paraId="21BC1336" w14:textId="77777777" w:rsidR="00E82AF4" w:rsidRDefault="005B2E6A">
      <w:pPr>
        <w:pStyle w:val="HD0"/>
        <w:adjustRightInd w:val="0"/>
        <w:ind w:firstLine="480"/>
        <w:rPr>
          <w:rFonts w:asciiTheme="minorEastAsia" w:eastAsiaTheme="minorEastAsia" w:hAnsiTheme="minorEastAsia"/>
          <w:sz w:val="24"/>
          <w:szCs w:val="24"/>
        </w:rPr>
      </w:pPr>
      <w:bookmarkStart w:id="431" w:name="OLE_LINK57"/>
      <w:bookmarkStart w:id="432" w:name="OLE_LINK56"/>
      <w:r>
        <w:rPr>
          <w:rFonts w:asciiTheme="minorEastAsia" w:eastAsiaTheme="minorEastAsia" w:hAnsiTheme="minorEastAsia" w:hint="eastAsia"/>
          <w:sz w:val="24"/>
          <w:szCs w:val="24"/>
        </w:rPr>
        <w:t>基金管理人和基金托管人将采取必要、适当、合理的措施确保基金资产估值的准确性、及时性。当基金份额净值小数点后4位以内（含第4位）发生估值错误时，视为基金份额净值错误。</w:t>
      </w:r>
    </w:p>
    <w:p w14:paraId="794AC213"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14:paraId="059D825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本基金合同的当事人应按照以下约定处理：</w:t>
      </w:r>
    </w:p>
    <w:p w14:paraId="3A87817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1</w:t>
      </w:r>
      <w:r>
        <w:rPr>
          <w:rFonts w:asciiTheme="minorEastAsia" w:eastAsiaTheme="minorEastAsia" w:hAnsiTheme="minorEastAsia" w:hint="eastAsia"/>
          <w:sz w:val="24"/>
          <w:szCs w:val="24"/>
        </w:rPr>
        <w:t>、估值错误类型</w:t>
      </w:r>
    </w:p>
    <w:p w14:paraId="4FFC80A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3522B45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上述估值错误的主要类型包括但不限于：资料申报差错、数据传输差错、数据计算差错、系统故障差错、下达指令差错等。</w:t>
      </w:r>
    </w:p>
    <w:p w14:paraId="4709FAD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2</w:t>
      </w:r>
      <w:r>
        <w:rPr>
          <w:rFonts w:asciiTheme="minorEastAsia" w:eastAsiaTheme="minorEastAsia" w:hAnsiTheme="minorEastAsia" w:hint="eastAsia"/>
          <w:sz w:val="24"/>
          <w:szCs w:val="24"/>
        </w:rPr>
        <w:t>、估值错误处理原则</w:t>
      </w:r>
    </w:p>
    <w:p w14:paraId="4B7E7BB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1</w:t>
      </w:r>
      <w:r>
        <w:rPr>
          <w:rFonts w:asciiTheme="minorEastAsia" w:eastAsiaTheme="minorEastAsia" w:hAnsiTheme="minorEastAsia" w:hint="eastAsia"/>
          <w:sz w:val="24"/>
          <w:szCs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36EF877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2</w:t>
      </w:r>
      <w:r>
        <w:rPr>
          <w:rFonts w:asciiTheme="minorEastAsia" w:eastAsiaTheme="minorEastAsia" w:hAnsiTheme="minorEastAsia" w:hint="eastAsia"/>
          <w:sz w:val="24"/>
          <w:szCs w:val="24"/>
        </w:rPr>
        <w:t>）估值错误的责任方对有关当事人的直接损失负责，不对间接损失负责，并且仅对估值错误的有关直接当事人负责，不对第三方负责。</w:t>
      </w:r>
    </w:p>
    <w:p w14:paraId="189C745F"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3</w:t>
      </w:r>
      <w:r>
        <w:rPr>
          <w:rFonts w:asciiTheme="minorEastAsia" w:eastAsiaTheme="minorEastAsia" w:hAnsiTheme="minorEastAsia" w:hint="eastAsia"/>
          <w:sz w:val="24"/>
          <w:szCs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w:t>
      </w:r>
      <w:r>
        <w:rPr>
          <w:rFonts w:asciiTheme="minorEastAsia" w:eastAsiaTheme="minorEastAsia" w:hAnsiTheme="minorEastAsia" w:hint="eastAsia"/>
          <w:sz w:val="24"/>
          <w:szCs w:val="24"/>
        </w:rPr>
        <w:lastRenderedPageBreak/>
        <w:t>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7EA5B2AD"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4</w:t>
      </w:r>
      <w:r>
        <w:rPr>
          <w:rFonts w:asciiTheme="minorEastAsia" w:eastAsiaTheme="minorEastAsia" w:hAnsiTheme="minorEastAsia" w:hint="eastAsia"/>
          <w:sz w:val="24"/>
          <w:szCs w:val="24"/>
        </w:rPr>
        <w:t>）估值错误调整采用尽量恢复至假设未发生估值错误的正确情形的方式。</w:t>
      </w:r>
    </w:p>
    <w:p w14:paraId="6F7994D8"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3</w:t>
      </w:r>
      <w:r>
        <w:rPr>
          <w:rFonts w:asciiTheme="minorEastAsia" w:eastAsiaTheme="minorEastAsia" w:hAnsiTheme="minorEastAsia" w:hint="eastAsia"/>
          <w:sz w:val="24"/>
          <w:szCs w:val="24"/>
        </w:rPr>
        <w:t>、估值错误处理程序</w:t>
      </w:r>
    </w:p>
    <w:p w14:paraId="14D2803A"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估值错误被发现后，有关的当事人应当及时进行处理，处理的程序如下：</w:t>
      </w:r>
    </w:p>
    <w:p w14:paraId="23FABF5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1</w:t>
      </w:r>
      <w:r>
        <w:rPr>
          <w:rFonts w:asciiTheme="minorEastAsia" w:eastAsiaTheme="minorEastAsia" w:hAnsiTheme="minorEastAsia" w:hint="eastAsia"/>
          <w:sz w:val="24"/>
          <w:szCs w:val="24"/>
        </w:rPr>
        <w:t>）查明估值错误发生的原因，列明所有的当事人，并根据估值错误发生的原因确定估值错误的责任方；</w:t>
      </w:r>
    </w:p>
    <w:p w14:paraId="04ED6CE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2</w:t>
      </w:r>
      <w:r>
        <w:rPr>
          <w:rFonts w:asciiTheme="minorEastAsia" w:eastAsiaTheme="minorEastAsia" w:hAnsiTheme="minorEastAsia" w:hint="eastAsia"/>
          <w:sz w:val="24"/>
          <w:szCs w:val="24"/>
        </w:rPr>
        <w:t>）根据估值错误处理原则或当事人协商的方法对因估值错误造成的损失进行评估；</w:t>
      </w:r>
    </w:p>
    <w:p w14:paraId="3599131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3</w:t>
      </w:r>
      <w:r>
        <w:rPr>
          <w:rFonts w:asciiTheme="minorEastAsia" w:eastAsiaTheme="minorEastAsia" w:hAnsiTheme="minorEastAsia" w:hint="eastAsia"/>
          <w:sz w:val="24"/>
          <w:szCs w:val="24"/>
        </w:rPr>
        <w:t>）根据估值错误处理原则或当事人协商的方法由估值错误的责任方进行更正和赔偿损失；</w:t>
      </w:r>
    </w:p>
    <w:p w14:paraId="33800A5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4</w:t>
      </w:r>
      <w:r>
        <w:rPr>
          <w:rFonts w:asciiTheme="minorEastAsia" w:eastAsiaTheme="minorEastAsia" w:hAnsiTheme="minorEastAsia" w:hint="eastAsia"/>
          <w:sz w:val="24"/>
          <w:szCs w:val="24"/>
        </w:rPr>
        <w:t>）根据估值错误处理的方法，需要修改基金登记机构交易数据的，由基金登记机构进行更正，并就估值错误的更正向有关当事人进行确认。</w:t>
      </w:r>
    </w:p>
    <w:p w14:paraId="1B33F9E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4</w:t>
      </w:r>
      <w:r>
        <w:rPr>
          <w:rFonts w:asciiTheme="minorEastAsia" w:eastAsiaTheme="minorEastAsia" w:hAnsiTheme="minorEastAsia" w:hint="eastAsia"/>
          <w:sz w:val="24"/>
          <w:szCs w:val="24"/>
        </w:rPr>
        <w:t>、基金份额净值估值错误处理的方法如下：</w:t>
      </w:r>
    </w:p>
    <w:p w14:paraId="73C1176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1</w:t>
      </w:r>
      <w:r>
        <w:rPr>
          <w:rFonts w:asciiTheme="minorEastAsia" w:eastAsiaTheme="minorEastAsia" w:hAnsiTheme="minorEastAsia" w:hint="eastAsia"/>
          <w:sz w:val="24"/>
          <w:szCs w:val="24"/>
        </w:rPr>
        <w:t>）基金份额净值计算出现错误时，基金管理人应当立即予以纠正，通报基金托管人，并采取合理的措施防止损失进一步扩大。</w:t>
      </w:r>
    </w:p>
    <w:p w14:paraId="4CF65098" w14:textId="77777777" w:rsidR="00E82AF4" w:rsidRDefault="005B2E6A">
      <w:pPr>
        <w:adjustRightInd w:val="0"/>
        <w:snapToGrid w:val="0"/>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w:t>
      </w:r>
      <w:r>
        <w:rPr>
          <w:rFonts w:asciiTheme="minorEastAsia" w:eastAsiaTheme="minorEastAsia" w:hAnsiTheme="minorEastAsia" w:hint="eastAsia"/>
          <w:bCs/>
          <w:sz w:val="24"/>
          <w:szCs w:val="24"/>
        </w:rPr>
        <w:t>2</w:t>
      </w:r>
      <w:r>
        <w:rPr>
          <w:rFonts w:asciiTheme="minorEastAsia" w:eastAsiaTheme="minorEastAsia" w:hAnsiTheme="minorEastAsia"/>
          <w:bCs/>
          <w:sz w:val="24"/>
          <w:szCs w:val="24"/>
        </w:rPr>
        <w:t>）错误偏差达到基金份额净值的0.25%时，基金管理人应当通报基金托管人并报中国证监会备案；错误偏差达到基金份额净值的0.5%时，基金管理人应当公告</w:t>
      </w:r>
      <w:r>
        <w:rPr>
          <w:rFonts w:asciiTheme="minorEastAsia" w:eastAsiaTheme="minorEastAsia" w:hAnsiTheme="minorEastAsia" w:hint="eastAsia"/>
          <w:bCs/>
          <w:sz w:val="24"/>
          <w:szCs w:val="24"/>
        </w:rPr>
        <w:t>，并报中国证监会备案。</w:t>
      </w:r>
    </w:p>
    <w:p w14:paraId="2033C65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3</w:t>
      </w:r>
      <w:r>
        <w:rPr>
          <w:rFonts w:asciiTheme="minorEastAsia" w:eastAsiaTheme="minorEastAsia" w:hAnsiTheme="minorEastAsia" w:hint="eastAsia"/>
          <w:sz w:val="24"/>
          <w:szCs w:val="24"/>
        </w:rPr>
        <w:t>）前述内容如法律法规或监管机关另有规定的，从其规定处理。如果行业另有通行做法，基金管理人和基金托管人应本着平等和保护基金份额持有人利益的原则进行协商。</w:t>
      </w:r>
    </w:p>
    <w:p w14:paraId="2D695A58"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基金托管人发现基金份额净值估值出现重大错误或者估值出现重大偏离的，应当提示基金管理人依法履行披露和报告义务。</w:t>
      </w:r>
      <w:bookmarkEnd w:id="431"/>
      <w:bookmarkEnd w:id="432"/>
    </w:p>
    <w:p w14:paraId="5460207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七、暂停估值的情形</w:t>
      </w:r>
    </w:p>
    <w:p w14:paraId="7D1F05D2" w14:textId="77777777" w:rsidR="00E82AF4" w:rsidRDefault="005B2E6A">
      <w:pPr>
        <w:pStyle w:val="HD0"/>
        <w:adjustRightInd w:val="0"/>
        <w:ind w:firstLine="480"/>
        <w:rPr>
          <w:rFonts w:asciiTheme="minorEastAsia" w:eastAsiaTheme="minorEastAsia" w:hAnsiTheme="minorEastAsia"/>
          <w:sz w:val="24"/>
          <w:szCs w:val="24"/>
        </w:rPr>
      </w:pPr>
      <w:bookmarkStart w:id="433" w:name="OLE_LINK59"/>
      <w:bookmarkStart w:id="434" w:name="OLE_LINK58"/>
      <w:r>
        <w:rPr>
          <w:rFonts w:asciiTheme="minorEastAsia" w:eastAsiaTheme="minorEastAsia" w:hAnsiTheme="minorEastAsia"/>
          <w:sz w:val="24"/>
          <w:szCs w:val="24"/>
        </w:rPr>
        <w:t>1</w:t>
      </w:r>
      <w:r>
        <w:rPr>
          <w:rFonts w:asciiTheme="minorEastAsia" w:eastAsiaTheme="minorEastAsia" w:hAnsiTheme="minorEastAsia" w:hint="eastAsia"/>
          <w:sz w:val="24"/>
          <w:szCs w:val="24"/>
        </w:rPr>
        <w:t>、基金投资所涉及的证券</w:t>
      </w:r>
      <w:r>
        <w:rPr>
          <w:rFonts w:asciiTheme="minorEastAsia" w:eastAsiaTheme="minorEastAsia" w:hAnsiTheme="minorEastAsia" w:hint="eastAsia"/>
          <w:bCs/>
          <w:sz w:val="24"/>
          <w:szCs w:val="24"/>
        </w:rPr>
        <w:t>、期货</w:t>
      </w:r>
      <w:r>
        <w:rPr>
          <w:rFonts w:asciiTheme="minorEastAsia" w:eastAsiaTheme="minorEastAsia" w:hAnsiTheme="minorEastAsia" w:hint="eastAsia"/>
          <w:sz w:val="24"/>
          <w:szCs w:val="24"/>
        </w:rPr>
        <w:t>交易市场遇法定节假日或因其他原因暂停营业时；</w:t>
      </w:r>
    </w:p>
    <w:p w14:paraId="42F5649A"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2</w:t>
      </w:r>
      <w:r>
        <w:rPr>
          <w:rFonts w:asciiTheme="minorEastAsia" w:eastAsiaTheme="minorEastAsia" w:hAnsiTheme="minorEastAsia" w:hint="eastAsia"/>
          <w:sz w:val="24"/>
          <w:szCs w:val="24"/>
        </w:rPr>
        <w:t>、因不可抗力或其他情形致使基金管理人、基金托管人无法准确评估基金</w:t>
      </w:r>
      <w:r>
        <w:rPr>
          <w:rFonts w:asciiTheme="minorEastAsia" w:eastAsiaTheme="minorEastAsia" w:hAnsiTheme="minorEastAsia" w:hint="eastAsia"/>
          <w:sz w:val="24"/>
          <w:szCs w:val="24"/>
        </w:rPr>
        <w:lastRenderedPageBreak/>
        <w:t>资产价值时；</w:t>
      </w:r>
    </w:p>
    <w:p w14:paraId="3ABA50DE"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3、当前一估值日基金资产净值</w:t>
      </w:r>
      <w:r>
        <w:rPr>
          <w:rFonts w:asciiTheme="minorEastAsia" w:eastAsiaTheme="minorEastAsia" w:hAnsiTheme="minorEastAsia"/>
          <w:sz w:val="24"/>
          <w:szCs w:val="24"/>
        </w:rPr>
        <w:t>50%</w:t>
      </w:r>
      <w:r>
        <w:rPr>
          <w:rFonts w:asciiTheme="minorEastAsia" w:eastAsiaTheme="minorEastAsia" w:hAnsiTheme="minorEastAsia" w:hint="eastAsia"/>
          <w:sz w:val="24"/>
          <w:szCs w:val="24"/>
        </w:rPr>
        <w:t>以上的资产出现无可参考的活跃市场价格且采用估值技术仍导致公允价值存在重大不确定性时，经与基金托管人协商</w:t>
      </w:r>
      <w:r>
        <w:rPr>
          <w:rFonts w:asciiTheme="minorEastAsia" w:eastAsiaTheme="minorEastAsia" w:hAnsiTheme="minorEastAsia" w:hint="eastAsia"/>
          <w:bCs/>
          <w:sz w:val="24"/>
          <w:szCs w:val="24"/>
        </w:rPr>
        <w:t>确认后</w:t>
      </w:r>
      <w:r>
        <w:rPr>
          <w:rFonts w:asciiTheme="minorEastAsia" w:eastAsiaTheme="minorEastAsia" w:hAnsiTheme="minorEastAsia" w:hint="eastAsia"/>
          <w:sz w:val="24"/>
          <w:szCs w:val="24"/>
        </w:rPr>
        <w:t>，基金管理人应当暂停估值；</w:t>
      </w:r>
    </w:p>
    <w:p w14:paraId="4545C54F"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4</w:t>
      </w:r>
      <w:r>
        <w:rPr>
          <w:rFonts w:asciiTheme="minorEastAsia" w:eastAsiaTheme="minorEastAsia" w:hAnsiTheme="minorEastAsia" w:hint="eastAsia"/>
          <w:bCs/>
          <w:sz w:val="24"/>
          <w:szCs w:val="24"/>
        </w:rPr>
        <w:t>、</w:t>
      </w:r>
      <w:r>
        <w:rPr>
          <w:rFonts w:asciiTheme="minorEastAsia" w:eastAsiaTheme="minorEastAsia" w:hAnsiTheme="minorEastAsia" w:hint="eastAsia"/>
          <w:sz w:val="24"/>
          <w:szCs w:val="24"/>
        </w:rPr>
        <w:t>法律法规、中国证监会和基金合同认定的其它情形。</w:t>
      </w:r>
      <w:bookmarkEnd w:id="433"/>
      <w:bookmarkEnd w:id="434"/>
    </w:p>
    <w:p w14:paraId="4BB2D31C"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八、基金</w:t>
      </w:r>
      <w:r>
        <w:rPr>
          <w:rFonts w:asciiTheme="minorEastAsia" w:eastAsiaTheme="minorEastAsia" w:hAnsiTheme="minorEastAsia" w:hint="eastAsia"/>
          <w:bCs/>
          <w:sz w:val="24"/>
          <w:szCs w:val="24"/>
        </w:rPr>
        <w:t>资产净值、基金份额</w:t>
      </w:r>
      <w:r>
        <w:rPr>
          <w:rFonts w:asciiTheme="minorEastAsia" w:eastAsiaTheme="minorEastAsia" w:hAnsiTheme="minorEastAsia" w:hint="eastAsia"/>
          <w:sz w:val="24"/>
          <w:szCs w:val="24"/>
        </w:rPr>
        <w:t>净值的确认</w:t>
      </w:r>
    </w:p>
    <w:p w14:paraId="5B54BFF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资产净值和基金份额净值由基金管理人负责计算，基金托管人负责进行复核。基金管理人应于每个估值日交易结束后计算当日的基金资产净值和基金份额净值并发送给基金托管人。基金托管人对净值计算结果复核确认后发送给基金管理人，由基金管理人按规定对基金份额净值予以公布。</w:t>
      </w:r>
    </w:p>
    <w:p w14:paraId="7491BCB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九、特殊情况的处理</w:t>
      </w:r>
    </w:p>
    <w:p w14:paraId="15BB66CC" w14:textId="356DFB06" w:rsidR="00E82AF4" w:rsidRDefault="005B2E6A">
      <w:pPr>
        <w:pStyle w:val="HD0"/>
        <w:adjustRightInd w:val="0"/>
        <w:ind w:firstLine="480"/>
        <w:rPr>
          <w:rFonts w:asciiTheme="minorEastAsia" w:eastAsiaTheme="minorEastAsia" w:hAnsiTheme="minorEastAsia"/>
          <w:sz w:val="24"/>
          <w:szCs w:val="24"/>
        </w:rPr>
      </w:pPr>
      <w:bookmarkStart w:id="435" w:name="OLE_LINK61"/>
      <w:bookmarkStart w:id="436" w:name="OLE_LINK60"/>
      <w:r>
        <w:rPr>
          <w:rFonts w:asciiTheme="minorEastAsia" w:eastAsiaTheme="minorEastAsia" w:hAnsiTheme="minorEastAsia" w:hint="eastAsia"/>
          <w:sz w:val="24"/>
          <w:szCs w:val="24"/>
        </w:rPr>
        <w:t>1、基金管理人或基金托管人按估值方法的第1</w:t>
      </w:r>
      <w:r w:rsidR="00CE3F9D">
        <w:rPr>
          <w:rFonts w:asciiTheme="minorEastAsia" w:eastAsiaTheme="minorEastAsia" w:hAnsiTheme="minorEastAsia"/>
          <w:sz w:val="24"/>
          <w:szCs w:val="24"/>
        </w:rPr>
        <w:t>2</w:t>
      </w:r>
      <w:r>
        <w:rPr>
          <w:rFonts w:asciiTheme="minorEastAsia" w:eastAsiaTheme="minorEastAsia" w:hAnsiTheme="minorEastAsia" w:hint="eastAsia"/>
          <w:sz w:val="24"/>
          <w:szCs w:val="24"/>
        </w:rPr>
        <w:t>项进行估值时，所造成的误差不作为基金资产估值错误处理。</w:t>
      </w:r>
    </w:p>
    <w:p w14:paraId="54BA08A9" w14:textId="77777777" w:rsidR="00E82AF4" w:rsidRDefault="005B2E6A">
      <w:pPr>
        <w:pStyle w:val="HD0"/>
        <w:adjustRightInd w:val="0"/>
        <w:ind w:firstLine="480"/>
        <w:jc w:val="left"/>
        <w:rPr>
          <w:rFonts w:ascii="宋体" w:hAnsi="宋体"/>
          <w:bCs/>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b/>
          <w:bCs/>
          <w:sz w:val="24"/>
          <w:szCs w:val="24"/>
        </w:rPr>
        <w:t>由于不可抗力原因，或由于证券/期货交易所、登记结算公司、证券/期货经纪机构、指数编制机构、存款银行、第三方估值基准服务机构等第三方机构发送</w:t>
      </w:r>
      <w:r>
        <w:rPr>
          <w:rFonts w:asciiTheme="minorEastAsia" w:eastAsiaTheme="minorEastAsia" w:hAnsiTheme="minorEastAsia"/>
          <w:b/>
          <w:bCs/>
          <w:sz w:val="24"/>
          <w:szCs w:val="24"/>
        </w:rPr>
        <w:t>的</w:t>
      </w:r>
      <w:r>
        <w:rPr>
          <w:rFonts w:asciiTheme="minorEastAsia" w:eastAsiaTheme="minorEastAsia" w:hAnsiTheme="minorEastAsia" w:hint="eastAsia"/>
          <w:b/>
          <w:bCs/>
          <w:sz w:val="24"/>
          <w:szCs w:val="24"/>
        </w:rPr>
        <w:t>数据</w:t>
      </w:r>
      <w:r>
        <w:rPr>
          <w:rFonts w:asciiTheme="minorEastAsia" w:eastAsiaTheme="minorEastAsia" w:hAnsiTheme="minorEastAsia"/>
          <w:b/>
          <w:bCs/>
          <w:sz w:val="24"/>
          <w:szCs w:val="24"/>
        </w:rPr>
        <w:t>错误</w:t>
      </w:r>
      <w:r>
        <w:rPr>
          <w:rFonts w:asciiTheme="minorEastAsia" w:eastAsiaTheme="minorEastAsia" w:hAnsiTheme="minorEastAsia" w:hint="eastAsia"/>
          <w:b/>
          <w:bCs/>
          <w:sz w:val="24"/>
          <w:szCs w:val="24"/>
        </w:rPr>
        <w:t>、遗漏，有关会计制度、市场规则变化等非基金管理人与基金托管人原因，基金管理人和基金托管人虽然已经采取必要、适当、合理的措施进行检查，但未能发现该错误、遗漏或虽然发现但因前述原因无法及时更正的，由此造成的基金资产估值错误，基金管理人和基金托管人免除赔偿责任。</w:t>
      </w:r>
      <w:r>
        <w:rPr>
          <w:rFonts w:asciiTheme="minorEastAsia" w:eastAsiaTheme="minorEastAsia" w:hAnsiTheme="minorEastAsia" w:hint="eastAsia"/>
          <w:bCs/>
          <w:sz w:val="24"/>
          <w:szCs w:val="24"/>
        </w:rPr>
        <w:t>但基金管理人、基金托管人应当积极采取必要的措施消除</w:t>
      </w:r>
      <w:r>
        <w:rPr>
          <w:rFonts w:asciiTheme="minorEastAsia" w:eastAsiaTheme="minorEastAsia" w:hAnsiTheme="minorEastAsia"/>
          <w:bCs/>
          <w:sz w:val="24"/>
          <w:szCs w:val="24"/>
        </w:rPr>
        <w:t>或</w:t>
      </w:r>
      <w:r>
        <w:rPr>
          <w:rFonts w:asciiTheme="minorEastAsia" w:eastAsiaTheme="minorEastAsia" w:hAnsiTheme="minorEastAsia" w:hint="eastAsia"/>
          <w:bCs/>
          <w:sz w:val="24"/>
          <w:szCs w:val="24"/>
        </w:rPr>
        <w:t>减轻由此造成的影响。</w:t>
      </w:r>
      <w:bookmarkEnd w:id="435"/>
      <w:bookmarkEnd w:id="436"/>
    </w:p>
    <w:p w14:paraId="1B325AF9" w14:textId="77777777" w:rsidR="00E82AF4" w:rsidRDefault="005B2E6A">
      <w:pPr>
        <w:pStyle w:val="HD0"/>
        <w:adjustRightInd w:val="0"/>
        <w:jc w:val="left"/>
      </w:pPr>
      <w:r>
        <w:br w:type="page"/>
      </w:r>
      <w:bookmarkStart w:id="437" w:name="_Toc12105"/>
      <w:bookmarkStart w:id="438" w:name="_Toc24601"/>
      <w:bookmarkStart w:id="439" w:name="_Toc32227"/>
      <w:bookmarkStart w:id="440" w:name="_Toc19752"/>
      <w:bookmarkStart w:id="441" w:name="_Toc13987"/>
      <w:bookmarkStart w:id="442" w:name="_Toc19706"/>
      <w:bookmarkStart w:id="443" w:name="_Toc15779"/>
      <w:bookmarkStart w:id="444" w:name="_Toc32041"/>
      <w:bookmarkStart w:id="445" w:name="_Toc3365"/>
    </w:p>
    <w:p w14:paraId="4FBEEB83" w14:textId="77777777" w:rsidR="00E82AF4" w:rsidRDefault="005B2E6A">
      <w:pPr>
        <w:pStyle w:val="1"/>
        <w:spacing w:before="0" w:after="0"/>
        <w:jc w:val="center"/>
        <w:rPr>
          <w:rFonts w:ascii="Times New Roman"/>
          <w:color w:val="auto"/>
          <w:sz w:val="32"/>
        </w:rPr>
      </w:pPr>
      <w:bookmarkStart w:id="446" w:name="_Toc6493"/>
      <w:bookmarkStart w:id="447" w:name="_Toc32307772"/>
      <w:bookmarkStart w:id="448" w:name="_Toc3863"/>
      <w:bookmarkStart w:id="449" w:name="_Hlk163663978"/>
      <w:r>
        <w:rPr>
          <w:rFonts w:ascii="Times New Roman"/>
          <w:color w:val="auto"/>
          <w:sz w:val="32"/>
          <w:szCs w:val="32"/>
        </w:rPr>
        <w:lastRenderedPageBreak/>
        <w:t>第十</w:t>
      </w:r>
      <w:r>
        <w:rPr>
          <w:rFonts w:ascii="Times New Roman" w:hint="eastAsia"/>
          <w:color w:val="auto"/>
          <w:sz w:val="32"/>
          <w:szCs w:val="32"/>
        </w:rPr>
        <w:t>七</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基金费用与税收</w:t>
      </w:r>
      <w:bookmarkEnd w:id="406"/>
      <w:bookmarkEnd w:id="407"/>
      <w:bookmarkEnd w:id="408"/>
      <w:bookmarkEnd w:id="437"/>
      <w:bookmarkEnd w:id="438"/>
      <w:bookmarkEnd w:id="439"/>
      <w:bookmarkEnd w:id="440"/>
      <w:bookmarkEnd w:id="441"/>
      <w:bookmarkEnd w:id="442"/>
      <w:bookmarkEnd w:id="443"/>
      <w:bookmarkEnd w:id="444"/>
      <w:bookmarkEnd w:id="445"/>
      <w:bookmarkEnd w:id="446"/>
      <w:bookmarkEnd w:id="447"/>
      <w:bookmarkEnd w:id="448"/>
    </w:p>
    <w:p w14:paraId="0174CBAD" w14:textId="77777777" w:rsidR="00E82AF4" w:rsidRDefault="00E82AF4">
      <w:pPr>
        <w:spacing w:line="360" w:lineRule="auto"/>
        <w:ind w:firstLineChars="200" w:firstLine="480"/>
        <w:rPr>
          <w:bCs/>
          <w:sz w:val="24"/>
        </w:rPr>
      </w:pPr>
    </w:p>
    <w:p w14:paraId="3945428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一、基金费用的种类</w:t>
      </w:r>
    </w:p>
    <w:p w14:paraId="59A3F692"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1、基金管理人的管理费；</w:t>
      </w:r>
    </w:p>
    <w:p w14:paraId="1BDE2B9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2、基金托管人的托管费；</w:t>
      </w:r>
    </w:p>
    <w:p w14:paraId="25754C7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3</w:t>
      </w:r>
      <w:r>
        <w:rPr>
          <w:rFonts w:asciiTheme="minorEastAsia" w:eastAsiaTheme="minorEastAsia" w:hAnsiTheme="minorEastAsia" w:hint="eastAsia"/>
          <w:sz w:val="24"/>
          <w:szCs w:val="24"/>
        </w:rPr>
        <w:t>、基金合同生效后与基金相关的信息披露费用；</w:t>
      </w:r>
    </w:p>
    <w:p w14:paraId="317D476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4、基金合同生效后与基金相关的会计师费、审计费、律师费和诉讼费、仲裁费等费用；</w:t>
      </w:r>
    </w:p>
    <w:p w14:paraId="455A235C"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5、基金份额持有人大会费用；</w:t>
      </w:r>
    </w:p>
    <w:p w14:paraId="4A79015B"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6、基金的证券、期货、股票期权等投资标的交易结算费用；</w:t>
      </w:r>
    </w:p>
    <w:p w14:paraId="0EC486D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7、基金的银行汇划费用；</w:t>
      </w:r>
    </w:p>
    <w:p w14:paraId="093C5DC6" w14:textId="653538FA"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8、</w:t>
      </w:r>
      <w:r>
        <w:rPr>
          <w:rFonts w:asciiTheme="minorEastAsia" w:eastAsiaTheme="minorEastAsia" w:hAnsiTheme="minorEastAsia" w:cs="Arial" w:hint="eastAsia"/>
          <w:sz w:val="24"/>
          <w:szCs w:val="24"/>
        </w:rPr>
        <w:t>基金上市初费及年费、登记结算费用、IOPV计算与发布费用；</w:t>
      </w:r>
    </w:p>
    <w:p w14:paraId="54C8791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9、证券、期货账户开户费、银行账户维护费；</w:t>
      </w:r>
    </w:p>
    <w:p w14:paraId="0662C18F"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10、收益分配中发生的费用；</w:t>
      </w:r>
    </w:p>
    <w:p w14:paraId="52AE25C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11</w:t>
      </w:r>
      <w:r>
        <w:rPr>
          <w:rFonts w:asciiTheme="minorEastAsia" w:eastAsiaTheme="minorEastAsia" w:hAnsiTheme="minorEastAsia" w:hint="eastAsia"/>
          <w:sz w:val="24"/>
          <w:szCs w:val="24"/>
        </w:rPr>
        <w:t>、按照国家有关规定和《基金合同》约定，可以在基金财产中列支的其他费用。</w:t>
      </w:r>
    </w:p>
    <w:p w14:paraId="59BA8A3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本基金终止清算时所发生所有与清算相关的合理费用，按实际支出额从基金剩余财产中扣除。</w:t>
      </w:r>
    </w:p>
    <w:p w14:paraId="3AC82FF2"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二、基金费用计提方法、计提标准和支付方式</w:t>
      </w:r>
    </w:p>
    <w:p w14:paraId="1AC2D92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1、基金管理人的管理费</w:t>
      </w:r>
    </w:p>
    <w:p w14:paraId="0FAFC08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本基金的管理费按前一日基金资产净值的0</w:t>
      </w:r>
      <w:r>
        <w:rPr>
          <w:rFonts w:asciiTheme="minorEastAsia" w:eastAsiaTheme="minorEastAsia" w:hAnsiTheme="minorEastAsia"/>
          <w:sz w:val="24"/>
          <w:szCs w:val="24"/>
        </w:rPr>
        <w:t>.50%</w:t>
      </w:r>
      <w:r>
        <w:rPr>
          <w:rFonts w:asciiTheme="minorEastAsia" w:eastAsiaTheme="minorEastAsia" w:hAnsiTheme="minorEastAsia" w:hint="eastAsia"/>
          <w:sz w:val="24"/>
          <w:szCs w:val="24"/>
        </w:rPr>
        <w:t>年费率计提。管理费的计算方法如下：</w:t>
      </w:r>
    </w:p>
    <w:p w14:paraId="1B0A159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H＝E×0</w:t>
      </w:r>
      <w:r>
        <w:rPr>
          <w:rFonts w:asciiTheme="minorEastAsia" w:eastAsiaTheme="minorEastAsia" w:hAnsiTheme="minorEastAsia"/>
          <w:sz w:val="24"/>
          <w:szCs w:val="24"/>
        </w:rPr>
        <w:t>.50%</w:t>
      </w:r>
      <w:r>
        <w:rPr>
          <w:rFonts w:asciiTheme="minorEastAsia" w:eastAsiaTheme="minorEastAsia" w:hAnsiTheme="minorEastAsia" w:hint="eastAsia"/>
          <w:sz w:val="24"/>
          <w:szCs w:val="24"/>
        </w:rPr>
        <w:t>÷当年天数</w:t>
      </w:r>
    </w:p>
    <w:p w14:paraId="74C1E79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H为每日应计提的基金管理费</w:t>
      </w:r>
    </w:p>
    <w:p w14:paraId="71F9BF0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E为前一日的基金资产净值</w:t>
      </w:r>
    </w:p>
    <w:p w14:paraId="3B614573"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管理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w:t>
      </w:r>
      <w:r>
        <w:rPr>
          <w:rFonts w:ascii="宋体" w:hAnsi="宋体" w:cs="Arial" w:hint="eastAsia"/>
          <w:sz w:val="24"/>
        </w:rPr>
        <w:t>费用自动扣</w:t>
      </w:r>
      <w:r>
        <w:rPr>
          <w:rFonts w:ascii="宋体" w:hAnsi="宋体" w:cs="Arial" w:hint="eastAsia"/>
          <w:sz w:val="24"/>
        </w:rPr>
        <w:lastRenderedPageBreak/>
        <w:t>划后，基金管理人应进行核对，如发现数据不符，及时联系基金托管人协商解决。</w:t>
      </w:r>
    </w:p>
    <w:p w14:paraId="7F7A67AE"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2、基金托管人的托管费</w:t>
      </w:r>
    </w:p>
    <w:p w14:paraId="461D3873"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本基金的托管费按前一日基金资产净值的0</w:t>
      </w:r>
      <w:r>
        <w:rPr>
          <w:rFonts w:asciiTheme="minorEastAsia" w:eastAsiaTheme="minorEastAsia" w:hAnsiTheme="minorEastAsia"/>
          <w:sz w:val="24"/>
          <w:szCs w:val="24"/>
        </w:rPr>
        <w:t>.10%</w:t>
      </w:r>
      <w:r>
        <w:rPr>
          <w:rFonts w:asciiTheme="minorEastAsia" w:eastAsiaTheme="minorEastAsia" w:hAnsiTheme="minorEastAsia" w:hint="eastAsia"/>
          <w:sz w:val="24"/>
          <w:szCs w:val="24"/>
        </w:rPr>
        <w:t>年费率计提。托管费的计算方法如下：</w:t>
      </w:r>
    </w:p>
    <w:p w14:paraId="1297B92B"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H＝E×0</w:t>
      </w:r>
      <w:r>
        <w:rPr>
          <w:rFonts w:asciiTheme="minorEastAsia" w:eastAsiaTheme="minorEastAsia" w:hAnsiTheme="minorEastAsia"/>
          <w:sz w:val="24"/>
          <w:szCs w:val="24"/>
        </w:rPr>
        <w:t>.10%</w:t>
      </w:r>
      <w:r>
        <w:rPr>
          <w:rFonts w:asciiTheme="minorEastAsia" w:eastAsiaTheme="minorEastAsia" w:hAnsiTheme="minorEastAsia" w:hint="eastAsia"/>
          <w:sz w:val="24"/>
          <w:szCs w:val="24"/>
        </w:rPr>
        <w:t>÷当年天数</w:t>
      </w:r>
    </w:p>
    <w:p w14:paraId="52813EC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H为每日应计提的基金托管费</w:t>
      </w:r>
    </w:p>
    <w:p w14:paraId="6EAE3FB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E为前一日的基金资产净值</w:t>
      </w:r>
    </w:p>
    <w:p w14:paraId="203CD7D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托管费每日计提，逐日累计至每月月末，按月支付。由基金托管人根据与基金管理人核对一致的财务数据，自动在月初5个工作日内、按照指定的账户路径进行资金支取，基金管理人无需再出具资金划拨指令。若遇法定节假日、休息日或不可抗力等致使无法按时支取的，顺延至最近可支付日支取。</w:t>
      </w:r>
      <w:r>
        <w:rPr>
          <w:rFonts w:ascii="宋体" w:hAnsi="宋体" w:cs="Arial" w:hint="eastAsia"/>
          <w:sz w:val="24"/>
        </w:rPr>
        <w:t>费用自动扣划后，基金管理人应进行核对，如发现数据不符，及时联系基金托管人协商解决。</w:t>
      </w:r>
    </w:p>
    <w:p w14:paraId="2EAE3D8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上述“一、基金费用的种类</w:t>
      </w:r>
      <w:r>
        <w:rPr>
          <w:rFonts w:asciiTheme="minorEastAsia" w:eastAsiaTheme="minorEastAsia" w:hAnsiTheme="minorEastAsia"/>
          <w:bCs/>
          <w:sz w:val="24"/>
          <w:szCs w:val="24"/>
        </w:rPr>
        <w:t>”</w:t>
      </w:r>
      <w:r>
        <w:rPr>
          <w:rFonts w:asciiTheme="minorEastAsia" w:eastAsiaTheme="minorEastAsia" w:hAnsiTheme="minorEastAsia" w:hint="eastAsia"/>
          <w:sz w:val="24"/>
          <w:szCs w:val="24"/>
        </w:rPr>
        <w:t>中第</w:t>
      </w:r>
      <w:r>
        <w:rPr>
          <w:rFonts w:asciiTheme="minorEastAsia" w:eastAsiaTheme="minorEastAsia" w:hAnsiTheme="minorEastAsia"/>
          <w:bCs/>
          <w:sz w:val="24"/>
          <w:szCs w:val="24"/>
        </w:rPr>
        <w:t>3－</w:t>
      </w:r>
      <w:r>
        <w:rPr>
          <w:rFonts w:asciiTheme="minorEastAsia" w:eastAsiaTheme="minorEastAsia" w:hAnsiTheme="minorEastAsia" w:hint="eastAsia"/>
          <w:bCs/>
          <w:sz w:val="24"/>
          <w:szCs w:val="24"/>
        </w:rPr>
        <w:t>1</w:t>
      </w:r>
      <w:r>
        <w:rPr>
          <w:rFonts w:asciiTheme="minorEastAsia" w:eastAsiaTheme="minorEastAsia" w:hAnsiTheme="minorEastAsia"/>
          <w:bCs/>
          <w:sz w:val="24"/>
          <w:szCs w:val="24"/>
        </w:rPr>
        <w:t>1</w:t>
      </w:r>
      <w:r>
        <w:rPr>
          <w:rFonts w:asciiTheme="minorEastAsia" w:eastAsiaTheme="minorEastAsia" w:hAnsiTheme="minorEastAsia" w:hint="eastAsia"/>
          <w:sz w:val="24"/>
          <w:szCs w:val="24"/>
        </w:rPr>
        <w:t>项费用</w:t>
      </w:r>
      <w:r>
        <w:rPr>
          <w:rFonts w:asciiTheme="minorEastAsia" w:eastAsiaTheme="minorEastAsia" w:hAnsiTheme="minorEastAsia"/>
          <w:bCs/>
          <w:sz w:val="24"/>
          <w:szCs w:val="24"/>
        </w:rPr>
        <w:t>，</w:t>
      </w:r>
      <w:r>
        <w:rPr>
          <w:rFonts w:asciiTheme="minorEastAsia" w:eastAsiaTheme="minorEastAsia" w:hAnsiTheme="minorEastAsia" w:hint="eastAsia"/>
          <w:sz w:val="24"/>
          <w:szCs w:val="24"/>
        </w:rPr>
        <w:t>根据有关法规及相应协议规定，按费用实际支出金额列入当期费用，由基金托管人从基金财产中支付。基金综合费用水平请参见基金产品资料概要等文件。</w:t>
      </w:r>
    </w:p>
    <w:p w14:paraId="5C09B968"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三、不列入基金费用的项目</w:t>
      </w:r>
    </w:p>
    <w:p w14:paraId="1719AF23"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下列费用不列入基金费用：</w:t>
      </w:r>
    </w:p>
    <w:p w14:paraId="3B58854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1、基金管理人和基金托管人因未履行或未完全履行义务导致的费用支出或基金财产的损失；</w:t>
      </w:r>
    </w:p>
    <w:p w14:paraId="769AFDD0"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2、基金管理人和基金托管人处理与基金运作无关的事项发生的费用；</w:t>
      </w:r>
    </w:p>
    <w:p w14:paraId="0DC78C3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3、《基金合同》生效前的相关费用；</w:t>
      </w:r>
    </w:p>
    <w:p w14:paraId="7AB42721"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4、标的指数许可使用费；标的指数许可使用费由基金管理人承担，不从基金财产中列支；</w:t>
      </w:r>
    </w:p>
    <w:p w14:paraId="7D232937"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sz w:val="24"/>
          <w:szCs w:val="24"/>
        </w:rPr>
        <w:t>5</w:t>
      </w:r>
      <w:r>
        <w:rPr>
          <w:rFonts w:asciiTheme="minorEastAsia" w:eastAsiaTheme="minorEastAsia" w:hAnsiTheme="minorEastAsia" w:hint="eastAsia"/>
          <w:sz w:val="24"/>
          <w:szCs w:val="24"/>
        </w:rPr>
        <w:t>、其他根据相关法律法规及中国证监会的有关规定不得列入基金费用的项目。</w:t>
      </w:r>
      <w:bookmarkStart w:id="450" w:name="_Hlt88827255"/>
      <w:bookmarkEnd w:id="450"/>
    </w:p>
    <w:p w14:paraId="477A99D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四、基金税收</w:t>
      </w:r>
    </w:p>
    <w:p w14:paraId="271B6787" w14:textId="77777777" w:rsidR="00E82AF4" w:rsidRDefault="005B2E6A">
      <w:pPr>
        <w:pStyle w:val="HD0"/>
        <w:adjustRightInd w:val="0"/>
        <w:ind w:firstLine="480"/>
        <w:rPr>
          <w:rFonts w:ascii="宋体" w:hAnsi="宋体"/>
          <w:sz w:val="24"/>
        </w:rPr>
      </w:pPr>
      <w:r>
        <w:rPr>
          <w:rFonts w:asciiTheme="minorEastAsia" w:eastAsiaTheme="minorEastAsia" w:hAnsiTheme="minorEastAsia" w:hint="eastAsia"/>
          <w:sz w:val="24"/>
          <w:szCs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1F9D422F" w14:textId="77777777" w:rsidR="00E82AF4" w:rsidRDefault="005B2E6A">
      <w:pPr>
        <w:pStyle w:val="1"/>
        <w:spacing w:before="0" w:after="0"/>
        <w:jc w:val="center"/>
        <w:rPr>
          <w:rFonts w:ascii="Times New Roman"/>
          <w:color w:val="auto"/>
          <w:sz w:val="32"/>
        </w:rPr>
      </w:pPr>
      <w:bookmarkStart w:id="451" w:name="_Toc93226149"/>
      <w:bookmarkStart w:id="452" w:name="_Toc92662707"/>
      <w:bookmarkStart w:id="453" w:name="_Toc139991746"/>
      <w:bookmarkStart w:id="454" w:name="_Toc15351"/>
      <w:bookmarkStart w:id="455" w:name="_Toc22552"/>
      <w:bookmarkStart w:id="456" w:name="_Toc141703896"/>
      <w:bookmarkStart w:id="457" w:name="_Toc128310499"/>
      <w:r>
        <w:br w:type="page"/>
      </w:r>
      <w:bookmarkStart w:id="458" w:name="_Toc25883"/>
      <w:bookmarkStart w:id="459" w:name="_Toc20052"/>
      <w:bookmarkStart w:id="460" w:name="_Toc19558"/>
      <w:bookmarkStart w:id="461" w:name="_Toc21829"/>
      <w:bookmarkStart w:id="462" w:name="_Toc15525"/>
      <w:bookmarkStart w:id="463" w:name="_Toc3656"/>
      <w:bookmarkStart w:id="464" w:name="_Toc16989"/>
      <w:bookmarkStart w:id="465" w:name="_Toc178"/>
      <w:bookmarkStart w:id="466" w:name="_Toc32307773"/>
      <w:bookmarkStart w:id="467" w:name="_Toc1617"/>
      <w:bookmarkStart w:id="468" w:name="_Toc12761"/>
      <w:bookmarkStart w:id="469" w:name="_Hlk163663973"/>
      <w:bookmarkEnd w:id="449"/>
      <w:r>
        <w:rPr>
          <w:rFonts w:ascii="Times New Roman" w:hint="eastAsia"/>
          <w:color w:val="auto"/>
          <w:sz w:val="32"/>
        </w:rPr>
        <w:lastRenderedPageBreak/>
        <w:t>第十八部分</w:t>
      </w:r>
      <w:r>
        <w:rPr>
          <w:rFonts w:ascii="Times New Roman"/>
          <w:color w:val="auto"/>
          <w:sz w:val="32"/>
        </w:rPr>
        <w:t xml:space="preserve">  </w:t>
      </w:r>
      <w:r>
        <w:rPr>
          <w:rFonts w:ascii="Times New Roman" w:hint="eastAsia"/>
          <w:color w:val="auto"/>
          <w:sz w:val="32"/>
        </w:rPr>
        <w:t>基金</w:t>
      </w:r>
      <w:bookmarkEnd w:id="451"/>
      <w:bookmarkEnd w:id="452"/>
      <w:r>
        <w:rPr>
          <w:rFonts w:ascii="Times New Roman" w:hint="eastAsia"/>
          <w:color w:val="auto"/>
          <w:sz w:val="32"/>
        </w:rPr>
        <w:t>的收益与分配</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41CA3A56" w14:textId="77777777" w:rsidR="00E82AF4" w:rsidRDefault="00E82AF4">
      <w:pPr>
        <w:rPr>
          <w:bCs/>
        </w:rPr>
      </w:pPr>
    </w:p>
    <w:p w14:paraId="68E6EB2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一、基金利润的构成</w:t>
      </w:r>
    </w:p>
    <w:p w14:paraId="754EC2AE"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基金利润指基金利息收入、投资收益、公允价值变动收益和其他收入扣除相关费用后的余额，基金已实现收益指基金利润减去公允价值变动收益后的余额。</w:t>
      </w:r>
    </w:p>
    <w:p w14:paraId="02F8649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二、基金可供分配利润</w:t>
      </w:r>
    </w:p>
    <w:p w14:paraId="0841E9D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基金可供分配利润指截至收益分配基准日基金未分配利润与未分配利润中已实现收益的孰低数。</w:t>
      </w:r>
    </w:p>
    <w:p w14:paraId="5D67E808"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三、基金收益分配原则</w:t>
      </w:r>
    </w:p>
    <w:p w14:paraId="7A1C2824" w14:textId="77777777" w:rsidR="00E82AF4" w:rsidRDefault="005B2E6A">
      <w:pPr>
        <w:pStyle w:val="HD0"/>
        <w:adjustRightInd w:val="0"/>
        <w:ind w:firstLine="480"/>
        <w:rPr>
          <w:rFonts w:asciiTheme="minorEastAsia" w:eastAsiaTheme="minorEastAsia" w:hAnsiTheme="minorEastAsia"/>
          <w:sz w:val="24"/>
          <w:szCs w:val="24"/>
        </w:rPr>
      </w:pPr>
      <w:bookmarkStart w:id="470" w:name="OLE_LINK63"/>
      <w:bookmarkStart w:id="471" w:name="OLE_LINK62"/>
      <w:r>
        <w:rPr>
          <w:rFonts w:asciiTheme="minorEastAsia" w:eastAsiaTheme="minorEastAsia" w:hAnsiTheme="minorEastAsia" w:hint="eastAsia"/>
          <w:sz w:val="24"/>
          <w:szCs w:val="24"/>
        </w:rPr>
        <w:t>1、在符合有关基金分红条件的前提下，本基金管理人可以根据实际情况进行收益分配，具体分配方案以公告为准。若《基金合同》生效不满 3 个月可不进行收益分配；</w:t>
      </w:r>
    </w:p>
    <w:p w14:paraId="20D6BA9D"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2、本基金收益分配采取现金分红方式；</w:t>
      </w:r>
    </w:p>
    <w:p w14:paraId="25834BE4"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本基金在基金收益评价日核定的基金份额净值增长率超过标的指数同期增长率时，可进行收益分配。在收益评价日，基金管理人对基金份额净值增长率和标的指数同期增长率进行计算，计算方法详见《招募说明书》；</w:t>
      </w:r>
    </w:p>
    <w:p w14:paraId="5562E26D"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本基金可每个月对基金相对业绩比较基准的超额收益率以及基金的可供分配利润进行评价，在符合基金收益分配条件下，可安排收益分配。评估时间、分配时间、分配方案及每次基金收益分配数额等内容，基金管理人可以根据实际情况确定并按照有关规定公告；</w:t>
      </w:r>
    </w:p>
    <w:p w14:paraId="737E32BA"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5、本基金以使收益分配后基金份额净值增长率尽可能贴近标的指数同期增长率为原则进行收益分配。基于本基金的性质和特点，本基金收益分配不须以弥补浮动亏损为前提，收益分配后有可能使除息后的基金份额净值低于面值；</w:t>
      </w:r>
    </w:p>
    <w:p w14:paraId="2E51B44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6、每一基金份额享有同等分配权；</w:t>
      </w:r>
    </w:p>
    <w:p w14:paraId="33CBD268"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7、法律法规或监管机关、登记机构、深圳证券交易所另有规定的，从其规定。</w:t>
      </w:r>
    </w:p>
    <w:p w14:paraId="1BFAC689"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bCs/>
          <w:sz w:val="24"/>
          <w:szCs w:val="24"/>
        </w:rPr>
        <w:t>在不违反法律法规且对基金份额持有人利益无实质性不利影响的前提下，基金管理人经与基金托管人协商一致并</w:t>
      </w:r>
      <w:r>
        <w:rPr>
          <w:rFonts w:ascii="黑体" w:hAnsi="黑体" w:hint="eastAsia"/>
          <w:bCs/>
          <w:sz w:val="24"/>
          <w:szCs w:val="24"/>
        </w:rPr>
        <w:t>履行适当程序后，</w:t>
      </w:r>
      <w:r>
        <w:rPr>
          <w:rFonts w:asciiTheme="minorEastAsia" w:eastAsiaTheme="minorEastAsia" w:hAnsiTheme="minorEastAsia" w:hint="eastAsia"/>
          <w:bCs/>
          <w:sz w:val="24"/>
          <w:szCs w:val="24"/>
        </w:rPr>
        <w:t>可酌情调整以上基金收益分配原则和支付方式，并于变更实施日前按照《信息披露办法》的规定在规定媒介上公告。</w:t>
      </w:r>
      <w:bookmarkEnd w:id="470"/>
      <w:bookmarkEnd w:id="471"/>
    </w:p>
    <w:p w14:paraId="29A7C2D6"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四、收益分配方案</w:t>
      </w:r>
    </w:p>
    <w:p w14:paraId="0A05A096" w14:textId="77777777" w:rsidR="00E82AF4" w:rsidRDefault="005B2E6A">
      <w:pPr>
        <w:pStyle w:val="HD0"/>
        <w:adjustRightInd w:val="0"/>
        <w:ind w:firstLine="480"/>
        <w:rPr>
          <w:rFonts w:asciiTheme="minorEastAsia" w:eastAsiaTheme="minorEastAsia" w:hAnsiTheme="minorEastAsia"/>
          <w:sz w:val="24"/>
          <w:szCs w:val="24"/>
        </w:rPr>
      </w:pPr>
      <w:bookmarkStart w:id="472" w:name="OLE_LINK64"/>
      <w:bookmarkStart w:id="473" w:name="OLE_LINK65"/>
      <w:r>
        <w:rPr>
          <w:rFonts w:asciiTheme="minorEastAsia" w:eastAsiaTheme="minorEastAsia" w:hAnsiTheme="minorEastAsia" w:hint="eastAsia"/>
          <w:sz w:val="24"/>
          <w:szCs w:val="24"/>
        </w:rPr>
        <w:t>基金收益分配方案中应载明</w:t>
      </w:r>
      <w:r>
        <w:rPr>
          <w:rFonts w:asciiTheme="minorEastAsia" w:eastAsiaTheme="minorEastAsia" w:hAnsiTheme="minorEastAsia"/>
          <w:sz w:val="24"/>
          <w:szCs w:val="24"/>
        </w:rPr>
        <w:t>截</w:t>
      </w:r>
      <w:r>
        <w:rPr>
          <w:rFonts w:asciiTheme="minorEastAsia" w:eastAsiaTheme="minorEastAsia" w:hAnsiTheme="minorEastAsia" w:hint="eastAsia"/>
          <w:sz w:val="24"/>
          <w:szCs w:val="24"/>
        </w:rPr>
        <w:t>至收益分配基准日的基金收益分配对象、分配时间、分配数额及比例、分配方式等内容。</w:t>
      </w:r>
      <w:bookmarkEnd w:id="472"/>
      <w:bookmarkEnd w:id="473"/>
    </w:p>
    <w:p w14:paraId="24BEE715"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五、收益分配方案的确定、公告与实施</w:t>
      </w:r>
    </w:p>
    <w:p w14:paraId="75B7C72E"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本基金收益分配方案由基金管理人拟定，并由基金托管人复核，</w:t>
      </w:r>
      <w:r>
        <w:rPr>
          <w:rFonts w:asciiTheme="minorEastAsia" w:eastAsiaTheme="minorEastAsia" w:hAnsiTheme="minorEastAsia" w:hint="eastAsia"/>
          <w:bCs/>
          <w:sz w:val="24"/>
          <w:szCs w:val="24"/>
        </w:rPr>
        <w:t>基金管理人依照《信息披露办法》的有关规定</w:t>
      </w:r>
      <w:r>
        <w:rPr>
          <w:rFonts w:asciiTheme="minorEastAsia" w:eastAsiaTheme="minorEastAsia" w:hAnsiTheme="minorEastAsia" w:hint="eastAsia"/>
          <w:sz w:val="24"/>
          <w:szCs w:val="24"/>
        </w:rPr>
        <w:t>在规定媒介公告。</w:t>
      </w:r>
    </w:p>
    <w:p w14:paraId="1B71D56A" w14:textId="77777777" w:rsidR="00E82AF4" w:rsidRDefault="005B2E6A">
      <w:pPr>
        <w:pStyle w:val="HD0"/>
        <w:adjustRightInd w:val="0"/>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六、基金收益分配中发生的费用</w:t>
      </w:r>
    </w:p>
    <w:p w14:paraId="6D2EF2A6" w14:textId="77777777" w:rsidR="00E82AF4" w:rsidRDefault="005B2E6A">
      <w:pPr>
        <w:pStyle w:val="HD0"/>
        <w:adjustRightInd w:val="0"/>
        <w:ind w:firstLine="480"/>
        <w:rPr>
          <w:rFonts w:ascii="宋体" w:hAnsi="宋体"/>
          <w:sz w:val="24"/>
        </w:rPr>
      </w:pPr>
      <w:r>
        <w:rPr>
          <w:rFonts w:asciiTheme="minorEastAsia" w:eastAsiaTheme="minorEastAsia" w:hAnsiTheme="minorEastAsia" w:hint="eastAsia"/>
          <w:sz w:val="24"/>
          <w:szCs w:val="24"/>
        </w:rPr>
        <w:t>基金收益分配时所发</w:t>
      </w:r>
      <w:r>
        <w:rPr>
          <w:rFonts w:ascii="宋体" w:hAnsi="宋体" w:hint="eastAsia"/>
          <w:sz w:val="24"/>
        </w:rPr>
        <w:t>生的银行转账或其他手续费用由</w:t>
      </w:r>
      <w:r>
        <w:rPr>
          <w:rFonts w:ascii="宋体" w:hAnsi="宋体" w:hint="eastAsia"/>
          <w:sz w:val="24"/>
          <w:szCs w:val="24"/>
        </w:rPr>
        <w:t>投资人</w:t>
      </w:r>
      <w:r>
        <w:rPr>
          <w:rFonts w:ascii="宋体" w:hAnsi="宋体"/>
          <w:sz w:val="24"/>
          <w:szCs w:val="24"/>
        </w:rPr>
        <w:t>自行承担</w:t>
      </w:r>
      <w:r>
        <w:rPr>
          <w:rFonts w:ascii="宋体" w:hAnsi="宋体" w:hint="eastAsia"/>
          <w:sz w:val="24"/>
        </w:rPr>
        <w:t>。</w:t>
      </w:r>
    </w:p>
    <w:p w14:paraId="4497905E" w14:textId="77777777" w:rsidR="00E82AF4" w:rsidRDefault="005B2E6A">
      <w:pPr>
        <w:pStyle w:val="1"/>
        <w:spacing w:before="0" w:after="0"/>
        <w:jc w:val="center"/>
        <w:rPr>
          <w:rFonts w:ascii="Times New Roman"/>
          <w:color w:val="auto"/>
          <w:sz w:val="32"/>
        </w:rPr>
      </w:pPr>
      <w:r>
        <w:rPr>
          <w:kern w:val="44"/>
          <w:sz w:val="21"/>
        </w:rPr>
        <w:br w:type="page"/>
      </w:r>
      <w:bookmarkStart w:id="474" w:name="_Toc92662708"/>
      <w:bookmarkStart w:id="475" w:name="_Toc93226150"/>
      <w:bookmarkStart w:id="476" w:name="_Toc1043"/>
      <w:bookmarkStart w:id="477" w:name="_Toc18747"/>
      <w:bookmarkStart w:id="478" w:name="_Toc13255"/>
      <w:bookmarkStart w:id="479" w:name="_Toc10894"/>
      <w:bookmarkStart w:id="480" w:name="_Toc18007"/>
      <w:bookmarkStart w:id="481" w:name="_Toc23859"/>
      <w:bookmarkStart w:id="482" w:name="_Toc4924"/>
      <w:bookmarkStart w:id="483" w:name="_Toc32307774"/>
      <w:bookmarkStart w:id="484" w:name="_Toc17499"/>
      <w:bookmarkStart w:id="485" w:name="_Toc21206"/>
      <w:bookmarkStart w:id="486" w:name="_Toc29695"/>
      <w:bookmarkStart w:id="487" w:name="_Toc139991747"/>
      <w:bookmarkStart w:id="488" w:name="_Toc128310500"/>
      <w:bookmarkStart w:id="489" w:name="_Toc28961"/>
      <w:bookmarkStart w:id="490" w:name="_Toc141703897"/>
      <w:bookmarkStart w:id="491" w:name="_Toc31736"/>
      <w:bookmarkEnd w:id="469"/>
      <w:r>
        <w:rPr>
          <w:rFonts w:ascii="Times New Roman"/>
          <w:color w:val="auto"/>
          <w:sz w:val="32"/>
          <w:szCs w:val="32"/>
        </w:rPr>
        <w:lastRenderedPageBreak/>
        <w:t>第十</w:t>
      </w:r>
      <w:r>
        <w:rPr>
          <w:rFonts w:ascii="Times New Roman" w:hint="eastAsia"/>
          <w:color w:val="auto"/>
          <w:sz w:val="32"/>
          <w:szCs w:val="32"/>
        </w:rPr>
        <w:t>九</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w:t>
      </w:r>
      <w:bookmarkEnd w:id="474"/>
      <w:bookmarkEnd w:id="475"/>
      <w:r>
        <w:rPr>
          <w:rFonts w:ascii="Times New Roman" w:hint="eastAsia"/>
          <w:color w:val="auto"/>
          <w:sz w:val="32"/>
        </w:rPr>
        <w:t>的会计与审计</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14:paraId="167137BC" w14:textId="77777777" w:rsidR="00E82AF4" w:rsidRDefault="00E82AF4">
      <w:pPr>
        <w:spacing w:line="360" w:lineRule="auto"/>
        <w:ind w:firstLineChars="200" w:firstLine="480"/>
        <w:rPr>
          <w:bCs/>
          <w:sz w:val="24"/>
        </w:rPr>
      </w:pPr>
    </w:p>
    <w:p w14:paraId="1792BCCC" w14:textId="77777777" w:rsidR="00E82AF4" w:rsidRDefault="005B2E6A">
      <w:pPr>
        <w:pStyle w:val="HD0"/>
        <w:adjustRightInd w:val="0"/>
        <w:ind w:firstLine="480"/>
        <w:rPr>
          <w:rFonts w:ascii="宋体" w:hAnsi="宋体"/>
          <w:sz w:val="24"/>
        </w:rPr>
      </w:pPr>
      <w:r>
        <w:rPr>
          <w:rFonts w:ascii="宋体" w:hAnsi="宋体" w:hint="eastAsia"/>
          <w:sz w:val="24"/>
        </w:rPr>
        <w:t>一、基金会计政策</w:t>
      </w:r>
    </w:p>
    <w:p w14:paraId="366ED36D" w14:textId="77777777" w:rsidR="00E82AF4" w:rsidRDefault="005B2E6A">
      <w:pPr>
        <w:pStyle w:val="HD0"/>
        <w:adjustRightInd w:val="0"/>
        <w:ind w:firstLine="480"/>
        <w:rPr>
          <w:rFonts w:ascii="宋体" w:hAnsi="宋体"/>
          <w:sz w:val="24"/>
        </w:rPr>
      </w:pPr>
      <w:r>
        <w:rPr>
          <w:rFonts w:ascii="宋体" w:hAnsi="宋体" w:hint="eastAsia"/>
          <w:sz w:val="24"/>
        </w:rPr>
        <w:t>1、基金管理人为本基金的基金会计责任方；</w:t>
      </w:r>
    </w:p>
    <w:p w14:paraId="034DBC84" w14:textId="77777777" w:rsidR="00E82AF4" w:rsidRDefault="005B2E6A">
      <w:pPr>
        <w:pStyle w:val="HD0"/>
        <w:adjustRightInd w:val="0"/>
        <w:ind w:firstLine="480"/>
        <w:rPr>
          <w:rFonts w:ascii="宋体" w:hAnsi="宋体"/>
          <w:sz w:val="24"/>
        </w:rPr>
      </w:pPr>
      <w:r>
        <w:rPr>
          <w:rFonts w:ascii="宋体" w:hAnsi="宋体" w:hint="eastAsia"/>
          <w:sz w:val="24"/>
        </w:rPr>
        <w:t>2、基金的会计年度为公历年度的1月1日至12月31日；基金首次募集的会计年度按如下原则：如果</w:t>
      </w:r>
      <w:r>
        <w:rPr>
          <w:rFonts w:ascii="宋体" w:hAnsi="宋体" w:hint="eastAsia"/>
          <w:sz w:val="24"/>
          <w:szCs w:val="24"/>
        </w:rPr>
        <w:t>基金合同</w:t>
      </w:r>
      <w:r>
        <w:rPr>
          <w:rFonts w:ascii="宋体" w:hAnsi="宋体" w:hint="eastAsia"/>
          <w:sz w:val="24"/>
        </w:rPr>
        <w:t>生效少于2个月，可以并入下一个会计年度披露；</w:t>
      </w:r>
    </w:p>
    <w:p w14:paraId="1FB4F65C" w14:textId="77777777" w:rsidR="00E82AF4" w:rsidRDefault="005B2E6A">
      <w:pPr>
        <w:pStyle w:val="HD0"/>
        <w:adjustRightInd w:val="0"/>
        <w:ind w:firstLine="480"/>
        <w:rPr>
          <w:rFonts w:ascii="宋体" w:hAnsi="宋体"/>
          <w:sz w:val="24"/>
        </w:rPr>
      </w:pPr>
      <w:r>
        <w:rPr>
          <w:rFonts w:ascii="宋体" w:hAnsi="宋体" w:hint="eastAsia"/>
          <w:sz w:val="24"/>
        </w:rPr>
        <w:t>3、基金核算以人民币为记账本位币，以人民币元为记账单位；</w:t>
      </w:r>
    </w:p>
    <w:p w14:paraId="1D1493C3" w14:textId="77777777" w:rsidR="00E82AF4" w:rsidRDefault="005B2E6A">
      <w:pPr>
        <w:pStyle w:val="HD0"/>
        <w:adjustRightInd w:val="0"/>
        <w:ind w:firstLine="480"/>
        <w:rPr>
          <w:rFonts w:ascii="宋体" w:hAnsi="宋体"/>
          <w:sz w:val="24"/>
        </w:rPr>
      </w:pPr>
      <w:r>
        <w:rPr>
          <w:rFonts w:ascii="宋体" w:hAnsi="宋体" w:hint="eastAsia"/>
          <w:sz w:val="24"/>
        </w:rPr>
        <w:t>4、会计制度执行国家有关会计制度；</w:t>
      </w:r>
    </w:p>
    <w:p w14:paraId="22D42FDC" w14:textId="77777777" w:rsidR="00E82AF4" w:rsidRDefault="005B2E6A">
      <w:pPr>
        <w:pStyle w:val="HD0"/>
        <w:adjustRightInd w:val="0"/>
        <w:ind w:firstLine="480"/>
        <w:rPr>
          <w:rFonts w:ascii="宋体" w:hAnsi="宋体"/>
          <w:sz w:val="24"/>
        </w:rPr>
      </w:pPr>
      <w:r>
        <w:rPr>
          <w:rFonts w:ascii="宋体" w:hAnsi="宋体" w:hint="eastAsia"/>
          <w:sz w:val="24"/>
        </w:rPr>
        <w:t>5、本基金独立建账、独立核算；</w:t>
      </w:r>
    </w:p>
    <w:p w14:paraId="67B6B64E" w14:textId="77777777" w:rsidR="00E82AF4" w:rsidRDefault="005B2E6A">
      <w:pPr>
        <w:pStyle w:val="HD0"/>
        <w:adjustRightInd w:val="0"/>
        <w:ind w:firstLine="480"/>
        <w:rPr>
          <w:rFonts w:ascii="宋体" w:hAnsi="宋体"/>
          <w:sz w:val="24"/>
        </w:rPr>
      </w:pPr>
      <w:r>
        <w:rPr>
          <w:rFonts w:ascii="宋体" w:hAnsi="宋体" w:hint="eastAsia"/>
          <w:sz w:val="24"/>
        </w:rPr>
        <w:t>6、基金管理人及基金托管人各自保留完整的会计账目、凭证并进行日常的会计核算，按照有关规定编制基金会计报表；</w:t>
      </w:r>
    </w:p>
    <w:p w14:paraId="42C188D4" w14:textId="77777777" w:rsidR="00E82AF4" w:rsidRDefault="005B2E6A">
      <w:pPr>
        <w:pStyle w:val="HD0"/>
        <w:adjustRightInd w:val="0"/>
        <w:ind w:firstLine="480"/>
        <w:rPr>
          <w:rFonts w:ascii="宋体" w:hAnsi="宋体"/>
          <w:sz w:val="24"/>
        </w:rPr>
      </w:pPr>
      <w:r>
        <w:rPr>
          <w:rFonts w:ascii="宋体" w:hAnsi="宋体" w:hint="eastAsia"/>
          <w:sz w:val="24"/>
        </w:rPr>
        <w:t>7、基金托管人每月与基金管理人就基金的会计核算、报表编制等进行核对并以书面方式确认。</w:t>
      </w:r>
    </w:p>
    <w:p w14:paraId="43A79D03" w14:textId="77777777" w:rsidR="00E82AF4" w:rsidRDefault="005B2E6A">
      <w:pPr>
        <w:pStyle w:val="HD0"/>
        <w:adjustRightInd w:val="0"/>
        <w:ind w:firstLine="480"/>
        <w:rPr>
          <w:rFonts w:ascii="宋体" w:hAnsi="宋体"/>
          <w:sz w:val="24"/>
          <w:szCs w:val="24"/>
        </w:rPr>
      </w:pPr>
      <w:r>
        <w:rPr>
          <w:rFonts w:ascii="宋体" w:hAnsi="宋体" w:hint="eastAsia"/>
          <w:sz w:val="24"/>
          <w:szCs w:val="24"/>
        </w:rPr>
        <w:t>法律法规或监管部门对基金会计政策另有规定的，从其规定。</w:t>
      </w:r>
    </w:p>
    <w:p w14:paraId="79BCAD6B" w14:textId="77777777" w:rsidR="00E82AF4" w:rsidRDefault="005B2E6A">
      <w:pPr>
        <w:pStyle w:val="HD0"/>
        <w:adjustRightInd w:val="0"/>
        <w:ind w:firstLine="480"/>
        <w:rPr>
          <w:rFonts w:ascii="宋体" w:hAnsi="宋体"/>
          <w:sz w:val="24"/>
        </w:rPr>
      </w:pPr>
      <w:r>
        <w:rPr>
          <w:rFonts w:ascii="宋体" w:hAnsi="宋体" w:hint="eastAsia"/>
          <w:sz w:val="24"/>
        </w:rPr>
        <w:t>二、基金的年度审计</w:t>
      </w:r>
    </w:p>
    <w:p w14:paraId="32727843" w14:textId="77777777" w:rsidR="00E82AF4" w:rsidRDefault="005B2E6A">
      <w:pPr>
        <w:pStyle w:val="HD0"/>
        <w:adjustRightInd w:val="0"/>
        <w:ind w:firstLine="480"/>
        <w:rPr>
          <w:rFonts w:ascii="宋体" w:hAnsi="宋体"/>
          <w:sz w:val="24"/>
        </w:rPr>
      </w:pPr>
      <w:r>
        <w:rPr>
          <w:rFonts w:ascii="宋体" w:hAnsi="宋体" w:hint="eastAsia"/>
          <w:sz w:val="24"/>
        </w:rPr>
        <w:t>1、基金管理人聘请与基金管理人、基金托管人相互独立的符合《中华人民共和国证券法》规定的会计师事务所及其注册会计师对本基金的年度财务报表进行审计。</w:t>
      </w:r>
    </w:p>
    <w:p w14:paraId="2BD15EF8" w14:textId="77777777" w:rsidR="00E82AF4" w:rsidRDefault="005B2E6A">
      <w:pPr>
        <w:pStyle w:val="HD0"/>
        <w:adjustRightInd w:val="0"/>
        <w:ind w:firstLine="480"/>
        <w:rPr>
          <w:rFonts w:ascii="宋体" w:hAnsi="宋体"/>
          <w:sz w:val="24"/>
        </w:rPr>
      </w:pPr>
      <w:r>
        <w:rPr>
          <w:rFonts w:ascii="宋体" w:hAnsi="宋体" w:hint="eastAsia"/>
          <w:sz w:val="24"/>
        </w:rPr>
        <w:t>2、会计师事务所更换经办注册会计师，应事先征得基金管理人同意。</w:t>
      </w:r>
    </w:p>
    <w:p w14:paraId="57952EEB" w14:textId="77777777" w:rsidR="00E82AF4" w:rsidRDefault="005B2E6A">
      <w:pPr>
        <w:pStyle w:val="HD0"/>
        <w:adjustRightInd w:val="0"/>
        <w:ind w:firstLine="480"/>
      </w:pPr>
      <w:r>
        <w:rPr>
          <w:rFonts w:ascii="宋体" w:hAnsi="宋体" w:hint="eastAsia"/>
          <w:sz w:val="24"/>
        </w:rPr>
        <w:t>3、</w:t>
      </w:r>
      <w:bookmarkStart w:id="492" w:name="_Hlt4221115"/>
      <w:bookmarkEnd w:id="492"/>
      <w:r>
        <w:rPr>
          <w:rFonts w:ascii="宋体" w:hAnsi="宋体" w:hint="eastAsia"/>
          <w:sz w:val="24"/>
        </w:rPr>
        <w:t>基金管理人认为有充足理由更换会计师事务所，须通报基金托管人。更换会计师事务所需</w:t>
      </w:r>
      <w:r>
        <w:rPr>
          <w:rFonts w:ascii="宋体" w:hAnsi="宋体" w:hint="eastAsia"/>
          <w:sz w:val="24"/>
          <w:szCs w:val="24"/>
        </w:rPr>
        <w:t>按照《信息披露办法》的有关规定</w:t>
      </w:r>
      <w:r>
        <w:rPr>
          <w:rFonts w:ascii="宋体" w:hAnsi="宋体" w:hint="eastAsia"/>
          <w:sz w:val="24"/>
        </w:rPr>
        <w:t>在规定媒介公告。</w:t>
      </w:r>
    </w:p>
    <w:p w14:paraId="35099423" w14:textId="77777777" w:rsidR="00E82AF4" w:rsidRDefault="005B2E6A">
      <w:pPr>
        <w:pStyle w:val="1"/>
        <w:spacing w:before="0" w:after="0"/>
        <w:jc w:val="center"/>
        <w:rPr>
          <w:rFonts w:ascii="Times New Roman"/>
          <w:color w:val="auto"/>
          <w:sz w:val="32"/>
        </w:rPr>
      </w:pPr>
      <w:r>
        <w:br w:type="page"/>
      </w:r>
      <w:bookmarkStart w:id="493" w:name="_Toc93226151"/>
      <w:bookmarkStart w:id="494" w:name="_Toc92662709"/>
      <w:bookmarkStart w:id="495" w:name="_Toc141703898"/>
      <w:bookmarkStart w:id="496" w:name="_Toc1421"/>
      <w:bookmarkStart w:id="497" w:name="_Toc128310501"/>
      <w:bookmarkStart w:id="498" w:name="_Toc3056"/>
      <w:bookmarkStart w:id="499" w:name="_Toc1173"/>
      <w:bookmarkStart w:id="500" w:name="_Toc11049"/>
      <w:bookmarkStart w:id="501" w:name="_Toc29289"/>
      <w:bookmarkStart w:id="502" w:name="_Toc12028"/>
      <w:bookmarkStart w:id="503" w:name="_Toc11802"/>
      <w:bookmarkStart w:id="504" w:name="_Toc25084"/>
      <w:bookmarkStart w:id="505" w:name="_Toc31866"/>
      <w:bookmarkStart w:id="506" w:name="_Toc32307775"/>
      <w:bookmarkStart w:id="507" w:name="_Toc193"/>
      <w:bookmarkStart w:id="508" w:name="_Toc21351"/>
      <w:bookmarkStart w:id="509" w:name="_Toc139991748"/>
      <w:bookmarkStart w:id="510" w:name="_Toc8512"/>
      <w:r>
        <w:rPr>
          <w:rFonts w:ascii="Times New Roman"/>
          <w:color w:val="auto"/>
          <w:sz w:val="32"/>
          <w:szCs w:val="32"/>
        </w:rPr>
        <w:lastRenderedPageBreak/>
        <w:t>第</w:t>
      </w:r>
      <w:r>
        <w:rPr>
          <w:rFonts w:ascii="Times New Roman" w:hint="eastAsia"/>
          <w:color w:val="auto"/>
          <w:sz w:val="32"/>
          <w:szCs w:val="32"/>
        </w:rPr>
        <w:t>二十</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基金</w:t>
      </w:r>
      <w:bookmarkEnd w:id="493"/>
      <w:bookmarkEnd w:id="494"/>
      <w:r>
        <w:rPr>
          <w:rFonts w:ascii="Times New Roman" w:hint="eastAsia"/>
          <w:color w:val="auto"/>
          <w:sz w:val="32"/>
        </w:rPr>
        <w:t>的信息披露</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128846F6" w14:textId="77777777" w:rsidR="00E82AF4" w:rsidRDefault="00E82AF4">
      <w:pPr>
        <w:spacing w:line="360" w:lineRule="auto"/>
        <w:ind w:firstLineChars="200" w:firstLine="480"/>
        <w:rPr>
          <w:bCs/>
          <w:sz w:val="24"/>
        </w:rPr>
      </w:pPr>
    </w:p>
    <w:p w14:paraId="02EB1368" w14:textId="77777777" w:rsidR="00E82AF4" w:rsidRDefault="005B2E6A">
      <w:pPr>
        <w:pStyle w:val="HD0"/>
        <w:adjustRightInd w:val="0"/>
        <w:ind w:firstLine="480"/>
        <w:rPr>
          <w:rFonts w:ascii="宋体" w:hAnsi="宋体"/>
          <w:sz w:val="24"/>
        </w:rPr>
      </w:pPr>
      <w:r>
        <w:rPr>
          <w:rFonts w:ascii="宋体" w:hAnsi="宋体" w:hint="eastAsia"/>
          <w:sz w:val="24"/>
        </w:rPr>
        <w:t>一、本基金的信息披露应符合《基金法》、《运作办法》、《信息披露办法》、</w:t>
      </w:r>
      <w:r>
        <w:rPr>
          <w:rFonts w:ascii="宋体" w:hAnsi="宋体" w:hint="eastAsia"/>
          <w:sz w:val="24"/>
          <w:szCs w:val="24"/>
        </w:rPr>
        <w:t>《流动性风险管理规定》、基金合同及其他有关规定。相关法律法规关于信息披露的披露方式、登载媒介、报备方式等规定发生变化时，本基金从其最新</w:t>
      </w:r>
      <w:r>
        <w:rPr>
          <w:rFonts w:ascii="宋体" w:hAnsi="宋体" w:hint="eastAsia"/>
          <w:sz w:val="24"/>
        </w:rPr>
        <w:t>规定。</w:t>
      </w:r>
    </w:p>
    <w:p w14:paraId="254B2665" w14:textId="77777777" w:rsidR="00E82AF4" w:rsidRDefault="005B2E6A">
      <w:pPr>
        <w:pStyle w:val="HD0"/>
        <w:adjustRightInd w:val="0"/>
        <w:ind w:firstLine="480"/>
        <w:rPr>
          <w:rFonts w:ascii="宋体" w:hAnsi="宋体"/>
          <w:sz w:val="24"/>
        </w:rPr>
      </w:pPr>
      <w:r>
        <w:rPr>
          <w:rFonts w:ascii="宋体" w:hAnsi="宋体" w:hint="eastAsia"/>
          <w:sz w:val="24"/>
        </w:rPr>
        <w:t>二、信息披露义务人</w:t>
      </w:r>
    </w:p>
    <w:p w14:paraId="27DF4AE1" w14:textId="77777777" w:rsidR="00E82AF4" w:rsidRDefault="005B2E6A">
      <w:pPr>
        <w:pStyle w:val="HD0"/>
        <w:adjustRightInd w:val="0"/>
        <w:ind w:firstLine="480"/>
        <w:rPr>
          <w:rFonts w:ascii="宋体" w:hAnsi="宋体"/>
          <w:sz w:val="24"/>
        </w:rPr>
      </w:pPr>
      <w:r>
        <w:rPr>
          <w:rFonts w:ascii="宋体" w:hAnsi="宋体" w:hint="eastAsia"/>
          <w:sz w:val="24"/>
        </w:rPr>
        <w:t>本基金信息披露义务人包括基金管理人、基金托管人、召集基金份额持有人大会的基金份额持有人等法律</w:t>
      </w:r>
      <w:r>
        <w:rPr>
          <w:rFonts w:ascii="宋体" w:hAnsi="宋体" w:hint="eastAsia"/>
          <w:sz w:val="24"/>
          <w:szCs w:val="24"/>
        </w:rPr>
        <w:t>、行政</w:t>
      </w:r>
      <w:r>
        <w:rPr>
          <w:rFonts w:ascii="宋体" w:hAnsi="宋体" w:hint="eastAsia"/>
          <w:sz w:val="24"/>
        </w:rPr>
        <w:t>法规和中国证监会规定的自然人、法人和非法人组织。</w:t>
      </w:r>
    </w:p>
    <w:p w14:paraId="72AC9805" w14:textId="77777777" w:rsidR="00E82AF4" w:rsidRDefault="005B2E6A">
      <w:pPr>
        <w:pStyle w:val="HD0"/>
        <w:adjustRightInd w:val="0"/>
        <w:ind w:firstLine="480"/>
        <w:rPr>
          <w:rFonts w:ascii="宋体" w:hAnsi="宋体"/>
          <w:sz w:val="24"/>
        </w:rPr>
      </w:pPr>
      <w:r>
        <w:rPr>
          <w:rFonts w:ascii="宋体" w:hAnsi="宋体" w:hint="eastAsia"/>
          <w:sz w:val="24"/>
        </w:rPr>
        <w:t>本基金信息披露义务人</w:t>
      </w:r>
      <w:r>
        <w:rPr>
          <w:rFonts w:hint="eastAsia"/>
          <w:sz w:val="24"/>
        </w:rPr>
        <w:t>以保护基金份额持有人利益为根本出发点，</w:t>
      </w:r>
      <w:r>
        <w:rPr>
          <w:rFonts w:ascii="宋体" w:hAnsi="宋体" w:hint="eastAsia"/>
          <w:sz w:val="24"/>
        </w:rPr>
        <w:t>按照法律法规和中国证监会的规定披露基金信息，并保证所披露信息的真实性、准确性、完整性</w:t>
      </w:r>
      <w:r>
        <w:rPr>
          <w:rFonts w:hint="eastAsia"/>
          <w:sz w:val="24"/>
        </w:rPr>
        <w:t>、及时性、简明性和易得性</w:t>
      </w:r>
      <w:r>
        <w:rPr>
          <w:rFonts w:ascii="宋体" w:hAnsi="宋体" w:hint="eastAsia"/>
          <w:sz w:val="24"/>
        </w:rPr>
        <w:t>。</w:t>
      </w:r>
    </w:p>
    <w:p w14:paraId="00CF93C0" w14:textId="77777777" w:rsidR="00E82AF4" w:rsidRDefault="005B2E6A">
      <w:pPr>
        <w:pStyle w:val="HD0"/>
        <w:adjustRightInd w:val="0"/>
        <w:ind w:firstLine="480"/>
        <w:rPr>
          <w:rFonts w:ascii="宋体" w:hAnsi="宋体"/>
          <w:sz w:val="24"/>
        </w:rPr>
      </w:pPr>
      <w:r>
        <w:rPr>
          <w:rFonts w:ascii="宋体" w:hAnsi="宋体" w:hint="eastAsia"/>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人能够按照基金合同约定的时间和方式查阅或者复制公开披露的信息资料。</w:t>
      </w:r>
    </w:p>
    <w:p w14:paraId="69133541" w14:textId="77777777" w:rsidR="00E82AF4" w:rsidRDefault="005B2E6A">
      <w:pPr>
        <w:pStyle w:val="HD0"/>
        <w:adjustRightInd w:val="0"/>
        <w:ind w:firstLine="480"/>
        <w:rPr>
          <w:rFonts w:ascii="宋体" w:hAnsi="宋体"/>
          <w:sz w:val="24"/>
        </w:rPr>
      </w:pPr>
      <w:r>
        <w:rPr>
          <w:rFonts w:ascii="宋体" w:hAnsi="宋体" w:hint="eastAsia"/>
          <w:sz w:val="24"/>
        </w:rPr>
        <w:t>三、本基金信息披露义务人承诺公开披露的基金信息，不得有下列行为：</w:t>
      </w:r>
    </w:p>
    <w:p w14:paraId="2E2497B2" w14:textId="77777777" w:rsidR="00E82AF4" w:rsidRDefault="005B2E6A">
      <w:pPr>
        <w:pStyle w:val="HD0"/>
        <w:adjustRightInd w:val="0"/>
        <w:ind w:firstLine="480"/>
        <w:rPr>
          <w:rFonts w:ascii="宋体" w:hAnsi="宋体"/>
          <w:sz w:val="24"/>
        </w:rPr>
      </w:pPr>
      <w:r>
        <w:rPr>
          <w:rFonts w:ascii="宋体" w:hAnsi="宋体" w:hint="eastAsia"/>
          <w:sz w:val="24"/>
        </w:rPr>
        <w:t>1、虚假记载、误导性陈述或者重大遗漏；</w:t>
      </w:r>
    </w:p>
    <w:p w14:paraId="4D21500E" w14:textId="77777777" w:rsidR="00E82AF4" w:rsidRDefault="005B2E6A">
      <w:pPr>
        <w:pStyle w:val="HD0"/>
        <w:adjustRightInd w:val="0"/>
        <w:ind w:firstLine="480"/>
        <w:rPr>
          <w:rFonts w:ascii="宋体" w:hAnsi="宋体"/>
          <w:sz w:val="24"/>
        </w:rPr>
      </w:pPr>
      <w:r>
        <w:rPr>
          <w:rFonts w:ascii="宋体" w:hAnsi="宋体" w:hint="eastAsia"/>
          <w:sz w:val="24"/>
        </w:rPr>
        <w:t>2、对证券投资业绩进行预测；</w:t>
      </w:r>
    </w:p>
    <w:p w14:paraId="5D9E45FA" w14:textId="77777777" w:rsidR="00E82AF4" w:rsidRDefault="005B2E6A">
      <w:pPr>
        <w:pStyle w:val="HD0"/>
        <w:adjustRightInd w:val="0"/>
        <w:ind w:firstLine="480"/>
        <w:rPr>
          <w:rFonts w:ascii="宋体" w:hAnsi="宋体"/>
          <w:sz w:val="24"/>
        </w:rPr>
      </w:pPr>
      <w:r>
        <w:rPr>
          <w:rFonts w:ascii="宋体" w:hAnsi="宋体" w:hint="eastAsia"/>
          <w:sz w:val="24"/>
        </w:rPr>
        <w:t>3、违规承诺收益或者承担损失；</w:t>
      </w:r>
    </w:p>
    <w:p w14:paraId="7D5952C9" w14:textId="77777777" w:rsidR="00E82AF4" w:rsidRDefault="005B2E6A">
      <w:pPr>
        <w:pStyle w:val="HD0"/>
        <w:adjustRightInd w:val="0"/>
        <w:ind w:firstLine="480"/>
        <w:rPr>
          <w:rFonts w:ascii="宋体" w:hAnsi="宋体"/>
          <w:sz w:val="24"/>
        </w:rPr>
      </w:pPr>
      <w:r>
        <w:rPr>
          <w:rFonts w:ascii="宋体" w:hAnsi="宋体" w:hint="eastAsia"/>
          <w:sz w:val="24"/>
        </w:rPr>
        <w:t>4、诋毁其他基金管理人、基金托管人或者销售机构；</w:t>
      </w:r>
    </w:p>
    <w:p w14:paraId="73E05516" w14:textId="77777777" w:rsidR="00E82AF4" w:rsidRDefault="005B2E6A">
      <w:pPr>
        <w:pStyle w:val="HD0"/>
        <w:adjustRightInd w:val="0"/>
        <w:ind w:firstLine="480"/>
        <w:rPr>
          <w:rFonts w:ascii="宋体" w:hAnsi="宋体"/>
          <w:sz w:val="24"/>
        </w:rPr>
      </w:pPr>
      <w:r>
        <w:rPr>
          <w:rFonts w:ascii="宋体" w:hAnsi="宋体" w:hint="eastAsia"/>
          <w:sz w:val="24"/>
        </w:rPr>
        <w:t>5、登载任何自然人、法人和非法人组织的祝贺性、恭维性或推荐性的文字；</w:t>
      </w:r>
    </w:p>
    <w:p w14:paraId="7AC96996" w14:textId="77777777" w:rsidR="00E82AF4" w:rsidRDefault="005B2E6A">
      <w:pPr>
        <w:pStyle w:val="HD0"/>
        <w:adjustRightInd w:val="0"/>
        <w:ind w:firstLine="480"/>
        <w:rPr>
          <w:rFonts w:ascii="宋体" w:hAnsi="宋体"/>
          <w:sz w:val="24"/>
        </w:rPr>
      </w:pPr>
      <w:r>
        <w:rPr>
          <w:rFonts w:ascii="宋体" w:hAnsi="宋体" w:hint="eastAsia"/>
          <w:sz w:val="24"/>
        </w:rPr>
        <w:t>6、中国证监会禁止的其他行为。</w:t>
      </w:r>
    </w:p>
    <w:p w14:paraId="0C9E2001" w14:textId="77777777" w:rsidR="00E82AF4" w:rsidRDefault="005B2E6A">
      <w:pPr>
        <w:pStyle w:val="HD0"/>
        <w:adjustRightInd w:val="0"/>
        <w:ind w:firstLine="480"/>
        <w:rPr>
          <w:rFonts w:ascii="宋体" w:hAnsi="宋体"/>
          <w:sz w:val="24"/>
        </w:rPr>
      </w:pPr>
      <w:r>
        <w:rPr>
          <w:rFonts w:ascii="宋体" w:hAnsi="宋体" w:hint="eastAsia"/>
          <w:sz w:val="24"/>
        </w:rPr>
        <w:t>四、本基金公开披露的信息应采用中文文本。如同时采用外文文本的，基金信息披露义务人应保证不同文本的内容一致。不同文本之间发生歧义的，以中文文本为准。</w:t>
      </w:r>
    </w:p>
    <w:p w14:paraId="7C12BE30" w14:textId="77777777" w:rsidR="00E82AF4" w:rsidRDefault="005B2E6A">
      <w:pPr>
        <w:pStyle w:val="HD0"/>
        <w:adjustRightInd w:val="0"/>
        <w:ind w:firstLine="480"/>
        <w:rPr>
          <w:rFonts w:ascii="宋体" w:hAnsi="宋体"/>
          <w:sz w:val="24"/>
        </w:rPr>
      </w:pPr>
      <w:r>
        <w:rPr>
          <w:rFonts w:ascii="宋体" w:hAnsi="宋体" w:hint="eastAsia"/>
          <w:sz w:val="24"/>
        </w:rPr>
        <w:t>本基金公开披露的信息采用阿拉伯数字；除特别说明外，货币单位为人民币元。</w:t>
      </w:r>
    </w:p>
    <w:p w14:paraId="4A5FA020" w14:textId="77777777" w:rsidR="00E82AF4" w:rsidRDefault="005B2E6A">
      <w:pPr>
        <w:pStyle w:val="HD0"/>
        <w:adjustRightInd w:val="0"/>
        <w:ind w:firstLine="480"/>
        <w:rPr>
          <w:rFonts w:ascii="宋体" w:hAnsi="宋体"/>
          <w:sz w:val="24"/>
        </w:rPr>
      </w:pPr>
      <w:r>
        <w:rPr>
          <w:rFonts w:ascii="宋体" w:hAnsi="宋体" w:hint="eastAsia"/>
          <w:sz w:val="24"/>
        </w:rPr>
        <w:lastRenderedPageBreak/>
        <w:t>五、公开披露的基金信息</w:t>
      </w:r>
    </w:p>
    <w:p w14:paraId="0DCF4541" w14:textId="77777777" w:rsidR="00E82AF4" w:rsidRDefault="005B2E6A">
      <w:pPr>
        <w:pStyle w:val="HD0"/>
        <w:adjustRightInd w:val="0"/>
        <w:ind w:firstLine="480"/>
        <w:rPr>
          <w:rFonts w:ascii="宋体" w:hAnsi="宋体"/>
          <w:sz w:val="24"/>
        </w:rPr>
      </w:pPr>
      <w:r>
        <w:rPr>
          <w:rFonts w:ascii="宋体" w:hAnsi="宋体" w:hint="eastAsia"/>
          <w:sz w:val="24"/>
        </w:rPr>
        <w:t>公开披露的基金信息包括：</w:t>
      </w:r>
    </w:p>
    <w:p w14:paraId="06C53186"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（一）基金招募说明书、</w:t>
      </w:r>
      <w:r>
        <w:rPr>
          <w:rFonts w:ascii="宋体" w:hAnsi="宋体"/>
          <w:sz w:val="24"/>
          <w:szCs w:val="24"/>
        </w:rPr>
        <w:t>基金合同</w:t>
      </w:r>
      <w:r>
        <w:rPr>
          <w:rFonts w:ascii="宋体" w:hAnsi="宋体" w:hint="eastAsia"/>
          <w:sz w:val="24"/>
        </w:rPr>
        <w:t>、基金托管协议</w:t>
      </w:r>
      <w:r>
        <w:rPr>
          <w:rFonts w:hint="eastAsia"/>
          <w:sz w:val="24"/>
        </w:rPr>
        <w:t>、基金产品资料概要</w:t>
      </w:r>
    </w:p>
    <w:p w14:paraId="601AEB20"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szCs w:val="24"/>
        </w:rPr>
        <w:t>基金合同</w:t>
      </w:r>
      <w:r>
        <w:rPr>
          <w:rFonts w:ascii="宋体" w:hAnsi="宋体" w:hint="eastAsia"/>
          <w:sz w:val="24"/>
        </w:rPr>
        <w:t>是界定</w:t>
      </w:r>
      <w:r>
        <w:rPr>
          <w:rFonts w:ascii="宋体" w:hAnsi="宋体"/>
          <w:sz w:val="24"/>
          <w:szCs w:val="24"/>
        </w:rPr>
        <w:t>基金合同</w:t>
      </w:r>
      <w:r>
        <w:rPr>
          <w:rFonts w:ascii="宋体" w:hAnsi="宋体" w:hint="eastAsia"/>
          <w:sz w:val="24"/>
        </w:rPr>
        <w:t>当事人的各项权利、义务关系，明确基金份额持有人大会召开的规则及具体程序，说明基金产品的特性等涉及基金</w:t>
      </w:r>
      <w:r>
        <w:rPr>
          <w:rFonts w:ascii="宋体" w:hAnsi="宋体"/>
          <w:sz w:val="24"/>
          <w:szCs w:val="24"/>
        </w:rPr>
        <w:t>投资</w:t>
      </w:r>
      <w:r>
        <w:rPr>
          <w:rFonts w:ascii="宋体" w:hAnsi="宋体" w:hint="eastAsia"/>
          <w:sz w:val="24"/>
          <w:szCs w:val="24"/>
        </w:rPr>
        <w:t>人</w:t>
      </w:r>
      <w:r>
        <w:rPr>
          <w:rFonts w:ascii="宋体" w:hAnsi="宋体" w:hint="eastAsia"/>
          <w:sz w:val="24"/>
        </w:rPr>
        <w:t>重大利益的事项的法律文件。</w:t>
      </w:r>
    </w:p>
    <w:p w14:paraId="63EBECB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2、基金招募说明书应当最大限度地披露影响基金</w:t>
      </w:r>
      <w:r>
        <w:rPr>
          <w:rFonts w:ascii="宋体" w:hAnsi="宋体"/>
          <w:sz w:val="24"/>
          <w:szCs w:val="24"/>
        </w:rPr>
        <w:t>投资</w:t>
      </w:r>
      <w:r>
        <w:rPr>
          <w:rFonts w:ascii="宋体" w:hAnsi="宋体" w:hint="eastAsia"/>
          <w:sz w:val="24"/>
          <w:szCs w:val="24"/>
        </w:rPr>
        <w:t>人</w:t>
      </w:r>
      <w:r>
        <w:rPr>
          <w:rFonts w:ascii="宋体" w:hAnsi="宋体" w:hint="eastAsia"/>
          <w:sz w:val="24"/>
        </w:rPr>
        <w:t>决策的全部事项，说明基金认购、申购和赎回安排、基金投资、基金产品特性、风险揭示、信息披露及基金份额持有人服务等内容。</w:t>
      </w:r>
      <w:r>
        <w:rPr>
          <w:rFonts w:ascii="宋体" w:hAnsi="宋体"/>
          <w:sz w:val="24"/>
          <w:szCs w:val="24"/>
        </w:rPr>
        <w:t>基金合同</w:t>
      </w:r>
      <w:r>
        <w:rPr>
          <w:rFonts w:ascii="宋体" w:hAnsi="宋体" w:hint="eastAsia"/>
          <w:sz w:val="24"/>
        </w:rPr>
        <w:t>生效后，</w:t>
      </w:r>
      <w:r>
        <w:rPr>
          <w:rFonts w:ascii="宋体" w:hAnsi="宋体" w:hint="eastAsia"/>
          <w:bCs/>
          <w:sz w:val="24"/>
          <w:szCs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0275DA18"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3、基金托管协议是界定基金托管人和基金管理人在基金财产保管及基金运作监督等活动中的权利、义务关系的法律文件。</w:t>
      </w:r>
    </w:p>
    <w:p w14:paraId="5909130E" w14:textId="77777777" w:rsidR="00E82AF4" w:rsidRDefault="005B2E6A">
      <w:pPr>
        <w:adjustRightInd w:val="0"/>
        <w:snapToGrid w:val="0"/>
        <w:spacing w:line="360" w:lineRule="auto"/>
        <w:ind w:firstLineChars="200" w:firstLine="480"/>
        <w:rPr>
          <w:sz w:val="24"/>
        </w:rPr>
      </w:pPr>
      <w:r>
        <w:rPr>
          <w:rFonts w:ascii="宋体" w:hAnsi="宋体"/>
          <w:sz w:val="24"/>
        </w:rPr>
        <w:t>4</w:t>
      </w:r>
      <w:r>
        <w:rPr>
          <w:rFonts w:ascii="宋体" w:hAnsi="宋体" w:hint="eastAsia"/>
          <w:sz w:val="24"/>
        </w:rPr>
        <w:t>、</w:t>
      </w:r>
      <w:r>
        <w:rPr>
          <w:rFonts w:hint="eastAsia"/>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销售机构网站或营业网点；基金产品资料概要其他信息发生变更的，基金管理人至少每年更新一次。基金终止运作的，基金管理人不再更新基金产品资料概要。</w:t>
      </w:r>
    </w:p>
    <w:p w14:paraId="39C2336A" w14:textId="77777777" w:rsidR="00E82AF4" w:rsidRDefault="005B2E6A">
      <w:pPr>
        <w:adjustRightInd w:val="0"/>
        <w:snapToGrid w:val="0"/>
        <w:spacing w:line="360" w:lineRule="auto"/>
        <w:ind w:firstLineChars="200" w:firstLine="480"/>
        <w:rPr>
          <w:rFonts w:ascii="宋体" w:hAnsi="宋体"/>
          <w:sz w:val="24"/>
          <w:szCs w:val="24"/>
        </w:rPr>
      </w:pPr>
      <w:r>
        <w:rPr>
          <w:rFonts w:ascii="宋体" w:hAnsi="宋体" w:hint="eastAsia"/>
          <w:bCs/>
          <w:sz w:val="24"/>
          <w:szCs w:val="24"/>
        </w:rPr>
        <w:t>5、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销售机构网站或营业网点；基金托管人应当同时将基金合同、基金托管协议登载在规定网站上。</w:t>
      </w:r>
    </w:p>
    <w:p w14:paraId="0D709BE2"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sz w:val="24"/>
        </w:rPr>
        <w:t>（二）基金份额发售公告</w:t>
      </w:r>
    </w:p>
    <w:p w14:paraId="6A2557DE" w14:textId="77777777" w:rsidR="00E82AF4" w:rsidRDefault="005B2E6A">
      <w:pPr>
        <w:pStyle w:val="HD0"/>
        <w:adjustRightInd w:val="0"/>
        <w:ind w:firstLine="480"/>
        <w:rPr>
          <w:rFonts w:ascii="宋体" w:hAnsi="宋体"/>
          <w:sz w:val="24"/>
        </w:rPr>
      </w:pPr>
      <w:r>
        <w:rPr>
          <w:rFonts w:ascii="宋体" w:hAnsi="宋体" w:hint="eastAsia"/>
          <w:sz w:val="24"/>
        </w:rPr>
        <w:t>基金管理人应当就基金份额发售的具体事宜编制基金份额发售公告，并在披露招募说明书的当日登载于规定媒介上。</w:t>
      </w:r>
    </w:p>
    <w:p w14:paraId="7C48597A" w14:textId="77777777" w:rsidR="00E82AF4" w:rsidRDefault="005B2E6A">
      <w:pPr>
        <w:pStyle w:val="HD0"/>
        <w:adjustRightInd w:val="0"/>
        <w:ind w:firstLine="480"/>
        <w:rPr>
          <w:rFonts w:ascii="宋体" w:hAnsi="宋体"/>
          <w:sz w:val="24"/>
        </w:rPr>
      </w:pPr>
      <w:r>
        <w:rPr>
          <w:rFonts w:ascii="宋体" w:hAnsi="宋体" w:hint="eastAsia"/>
          <w:sz w:val="24"/>
        </w:rPr>
        <w:t>（三）</w:t>
      </w:r>
      <w:r>
        <w:rPr>
          <w:rFonts w:ascii="宋体" w:hAnsi="宋体" w:hint="eastAsia"/>
          <w:sz w:val="24"/>
          <w:szCs w:val="24"/>
        </w:rPr>
        <w:t>基金合同</w:t>
      </w:r>
      <w:r>
        <w:rPr>
          <w:rFonts w:ascii="宋体" w:hAnsi="宋体" w:hint="eastAsia"/>
          <w:sz w:val="24"/>
        </w:rPr>
        <w:t>生效公告</w:t>
      </w:r>
    </w:p>
    <w:p w14:paraId="79464083" w14:textId="77777777" w:rsidR="00E82AF4" w:rsidRDefault="005B2E6A">
      <w:pPr>
        <w:pStyle w:val="HD0"/>
        <w:adjustRightInd w:val="0"/>
        <w:ind w:firstLine="480"/>
        <w:rPr>
          <w:rFonts w:ascii="宋体" w:hAnsi="宋体"/>
          <w:sz w:val="24"/>
        </w:rPr>
      </w:pPr>
      <w:r>
        <w:rPr>
          <w:rFonts w:ascii="宋体" w:hAnsi="宋体" w:hint="eastAsia"/>
          <w:sz w:val="24"/>
        </w:rPr>
        <w:lastRenderedPageBreak/>
        <w:t>基金管理人应当在收到中国证监会确认文件的次日在规定媒介上登载《基金合同》生效公告。</w:t>
      </w:r>
    </w:p>
    <w:p w14:paraId="02564C02" w14:textId="77777777" w:rsidR="00E82AF4" w:rsidRDefault="005B2E6A">
      <w:pPr>
        <w:pStyle w:val="HD0"/>
        <w:adjustRightInd w:val="0"/>
        <w:ind w:firstLine="480"/>
        <w:rPr>
          <w:rFonts w:ascii="宋体" w:hAnsi="宋体"/>
          <w:sz w:val="24"/>
        </w:rPr>
      </w:pPr>
      <w:r>
        <w:rPr>
          <w:rFonts w:ascii="宋体" w:hAnsi="宋体" w:hint="eastAsia"/>
          <w:sz w:val="24"/>
        </w:rPr>
        <w:t>（四）基金净值信息</w:t>
      </w:r>
    </w:p>
    <w:p w14:paraId="261963EC" w14:textId="77777777" w:rsidR="00E82AF4" w:rsidRDefault="005B2E6A">
      <w:pPr>
        <w:pStyle w:val="HD0"/>
        <w:adjustRightInd w:val="0"/>
        <w:ind w:firstLine="480"/>
        <w:rPr>
          <w:rFonts w:ascii="宋体" w:hAnsi="宋体"/>
          <w:sz w:val="24"/>
        </w:rPr>
      </w:pPr>
      <w:r>
        <w:rPr>
          <w:rFonts w:ascii="宋体" w:hAnsi="宋体" w:hint="eastAsia"/>
          <w:sz w:val="24"/>
          <w:szCs w:val="24"/>
        </w:rPr>
        <w:t>基金合同</w:t>
      </w:r>
      <w:r>
        <w:rPr>
          <w:rFonts w:ascii="宋体" w:hAnsi="宋体" w:hint="eastAsia"/>
          <w:sz w:val="24"/>
        </w:rPr>
        <w:t>生效后，在开始办理基金份额申购或者赎回前</w:t>
      </w:r>
      <w:r>
        <w:rPr>
          <w:rFonts w:ascii="宋体" w:hAnsi="宋体" w:hint="eastAsia"/>
          <w:sz w:val="24"/>
          <w:szCs w:val="24"/>
        </w:rPr>
        <w:t>且本基金未上市交易的</w:t>
      </w:r>
      <w:r>
        <w:rPr>
          <w:rFonts w:ascii="宋体" w:hAnsi="宋体" w:hint="eastAsia"/>
          <w:sz w:val="24"/>
        </w:rPr>
        <w:t>，基金管理人应当至少每</w:t>
      </w:r>
      <w:r>
        <w:rPr>
          <w:rFonts w:ascii="宋体" w:hAnsi="宋体" w:hint="eastAsia"/>
          <w:sz w:val="24"/>
          <w:szCs w:val="24"/>
        </w:rPr>
        <w:t>周在规定网站披露</w:t>
      </w:r>
      <w:r>
        <w:rPr>
          <w:rFonts w:ascii="宋体" w:hAnsi="宋体" w:hint="eastAsia"/>
          <w:sz w:val="24"/>
        </w:rPr>
        <w:t>一次基金</w:t>
      </w:r>
      <w:r>
        <w:rPr>
          <w:rFonts w:ascii="宋体" w:hAnsi="宋体" w:hint="eastAsia"/>
          <w:sz w:val="24"/>
          <w:szCs w:val="24"/>
        </w:rPr>
        <w:t>份额</w:t>
      </w:r>
      <w:r>
        <w:rPr>
          <w:rFonts w:ascii="宋体" w:hAnsi="宋体" w:hint="eastAsia"/>
          <w:sz w:val="24"/>
        </w:rPr>
        <w:t>净值和基金份额</w:t>
      </w:r>
      <w:r>
        <w:rPr>
          <w:rFonts w:ascii="宋体" w:hAnsi="宋体" w:hint="eastAsia"/>
          <w:sz w:val="24"/>
          <w:szCs w:val="24"/>
        </w:rPr>
        <w:t>累计</w:t>
      </w:r>
      <w:r>
        <w:rPr>
          <w:rFonts w:ascii="宋体" w:hAnsi="宋体" w:hint="eastAsia"/>
          <w:sz w:val="24"/>
        </w:rPr>
        <w:t>净值。</w:t>
      </w:r>
    </w:p>
    <w:p w14:paraId="140E1DF9" w14:textId="77777777" w:rsidR="00E82AF4" w:rsidRDefault="005B2E6A">
      <w:pPr>
        <w:pStyle w:val="HD0"/>
        <w:adjustRightInd w:val="0"/>
        <w:ind w:firstLine="480"/>
        <w:rPr>
          <w:rFonts w:ascii="宋体" w:hAnsi="宋体"/>
          <w:sz w:val="24"/>
        </w:rPr>
      </w:pPr>
      <w:r>
        <w:rPr>
          <w:rFonts w:ascii="宋体" w:hAnsi="宋体" w:hint="eastAsia"/>
          <w:sz w:val="24"/>
          <w:szCs w:val="24"/>
        </w:rPr>
        <w:t>在本基金上市交易后或开始办理基金份额申购或者赎回后，基金管理人应当在不晚于每个交易/开放日的次日，通过规定网站、销售机构网站或者营业网点披露交易/开放日的基金份额净值和基金份额累计净值。</w:t>
      </w:r>
    </w:p>
    <w:p w14:paraId="4341BD16" w14:textId="77777777" w:rsidR="00E82AF4" w:rsidRDefault="005B2E6A">
      <w:pPr>
        <w:pStyle w:val="HD0"/>
        <w:adjustRightInd w:val="0"/>
        <w:ind w:firstLine="480"/>
        <w:rPr>
          <w:rFonts w:ascii="宋体" w:hAnsi="宋体"/>
          <w:bCs/>
          <w:sz w:val="24"/>
          <w:szCs w:val="24"/>
        </w:rPr>
      </w:pPr>
      <w:r>
        <w:rPr>
          <w:rFonts w:ascii="宋体" w:hAnsi="宋体" w:hint="eastAsia"/>
          <w:sz w:val="24"/>
          <w:szCs w:val="24"/>
        </w:rPr>
        <w:t>基金管理人应当在不晚于半年度和年度最后一日的次日，在规定网站披露半年度和年度最后一日的基金份额净值和基金份额累计净值。</w:t>
      </w:r>
    </w:p>
    <w:p w14:paraId="27A34BDD" w14:textId="77777777" w:rsidR="00E82AF4" w:rsidRDefault="005B2E6A">
      <w:pPr>
        <w:pStyle w:val="HD0"/>
        <w:adjustRightInd w:val="0"/>
        <w:ind w:firstLine="480"/>
        <w:rPr>
          <w:rFonts w:ascii="宋体" w:hAnsi="宋体"/>
          <w:sz w:val="24"/>
          <w:szCs w:val="24"/>
        </w:rPr>
      </w:pPr>
      <w:r>
        <w:rPr>
          <w:rFonts w:ascii="宋体" w:hAnsi="宋体" w:hint="eastAsia"/>
          <w:sz w:val="24"/>
        </w:rPr>
        <w:t>（五）基金份额</w:t>
      </w:r>
      <w:r>
        <w:rPr>
          <w:rFonts w:ascii="宋体" w:hAnsi="宋体" w:hint="eastAsia"/>
          <w:sz w:val="24"/>
          <w:szCs w:val="24"/>
        </w:rPr>
        <w:t>上市交易公告书及其提示性公告</w:t>
      </w:r>
    </w:p>
    <w:p w14:paraId="3861AC3F" w14:textId="77777777" w:rsidR="00E82AF4" w:rsidRDefault="005B2E6A">
      <w:pPr>
        <w:pStyle w:val="HD0"/>
        <w:adjustRightInd w:val="0"/>
        <w:ind w:firstLine="480"/>
        <w:rPr>
          <w:rFonts w:ascii="宋体" w:hAnsi="宋体" w:cs="Arial"/>
          <w:sz w:val="24"/>
          <w:szCs w:val="24"/>
        </w:rPr>
      </w:pPr>
      <w:r>
        <w:rPr>
          <w:rFonts w:ascii="宋体" w:hAnsi="宋体" w:cs="Arial" w:hint="eastAsia"/>
          <w:sz w:val="24"/>
          <w:szCs w:val="24"/>
        </w:rPr>
        <w:t>基金份额获准在证券交易所上市交易的，基金管理人应当在基金份额上市交易的三个工作日前将基金份额上市交易公告书登载在规定网站上，并将上市交易公告书提示性公告登载在规定报刊上。</w:t>
      </w:r>
    </w:p>
    <w:p w14:paraId="338516D5" w14:textId="77777777" w:rsidR="00E82AF4" w:rsidRDefault="005B2E6A">
      <w:pPr>
        <w:pStyle w:val="HD0"/>
        <w:adjustRightInd w:val="0"/>
        <w:ind w:firstLine="480"/>
        <w:rPr>
          <w:rFonts w:ascii="宋体" w:hAnsi="宋体"/>
          <w:sz w:val="24"/>
        </w:rPr>
      </w:pPr>
      <w:r>
        <w:rPr>
          <w:rFonts w:ascii="宋体" w:hAnsi="宋体" w:hint="eastAsia"/>
          <w:sz w:val="24"/>
          <w:szCs w:val="24"/>
        </w:rPr>
        <w:t>（六）基金份额</w:t>
      </w:r>
      <w:r>
        <w:rPr>
          <w:rFonts w:ascii="宋体" w:hAnsi="宋体" w:hint="eastAsia"/>
          <w:sz w:val="24"/>
        </w:rPr>
        <w:t>申购、赎回</w:t>
      </w:r>
      <w:r>
        <w:rPr>
          <w:rFonts w:ascii="宋体" w:hAnsi="宋体" w:hint="eastAsia"/>
          <w:sz w:val="24"/>
          <w:szCs w:val="24"/>
        </w:rPr>
        <w:t>对价公告</w:t>
      </w:r>
    </w:p>
    <w:p w14:paraId="1FF9C8D4" w14:textId="77777777" w:rsidR="00E82AF4" w:rsidRDefault="005B2E6A">
      <w:pPr>
        <w:pStyle w:val="HD0"/>
        <w:adjustRightInd w:val="0"/>
        <w:ind w:firstLine="480"/>
        <w:rPr>
          <w:rFonts w:ascii="宋体" w:hAnsi="宋体"/>
          <w:sz w:val="24"/>
        </w:rPr>
      </w:pPr>
      <w:r>
        <w:rPr>
          <w:rFonts w:ascii="宋体" w:hAnsi="宋体" w:hint="eastAsia"/>
          <w:sz w:val="24"/>
        </w:rPr>
        <w:t>基金管理人应当在本基金的</w:t>
      </w:r>
      <w:r>
        <w:rPr>
          <w:rFonts w:ascii="宋体" w:hAnsi="宋体" w:hint="eastAsia"/>
          <w:sz w:val="24"/>
          <w:szCs w:val="24"/>
        </w:rPr>
        <w:t>基金合同</w:t>
      </w:r>
      <w:r>
        <w:rPr>
          <w:rFonts w:ascii="宋体" w:hAnsi="宋体" w:hint="eastAsia"/>
          <w:sz w:val="24"/>
        </w:rPr>
        <w:t>、招募说明书等信息披露文件上载明基金份额申购、赎回</w:t>
      </w:r>
      <w:r>
        <w:rPr>
          <w:rFonts w:ascii="宋体" w:hAnsi="宋体" w:hint="eastAsia"/>
          <w:sz w:val="24"/>
          <w:szCs w:val="24"/>
        </w:rPr>
        <w:t>对价</w:t>
      </w:r>
      <w:r>
        <w:rPr>
          <w:rFonts w:ascii="宋体" w:hAnsi="宋体" w:hint="eastAsia"/>
          <w:sz w:val="24"/>
        </w:rPr>
        <w:t>的计算方式及有关申购、赎回费率，并保证</w:t>
      </w:r>
      <w:r>
        <w:rPr>
          <w:rFonts w:ascii="宋体" w:hAnsi="宋体" w:hint="eastAsia"/>
          <w:sz w:val="24"/>
          <w:szCs w:val="24"/>
        </w:rPr>
        <w:t>投资人</w:t>
      </w:r>
      <w:r>
        <w:rPr>
          <w:rFonts w:ascii="宋体" w:hAnsi="宋体" w:hint="eastAsia"/>
          <w:sz w:val="24"/>
        </w:rPr>
        <w:t>能够在</w:t>
      </w:r>
      <w:r>
        <w:rPr>
          <w:rFonts w:hint="eastAsia"/>
          <w:sz w:val="24"/>
        </w:rPr>
        <w:t>销售机构网站或营业网点</w:t>
      </w:r>
      <w:r>
        <w:rPr>
          <w:rFonts w:ascii="宋体" w:hAnsi="宋体" w:hint="eastAsia"/>
          <w:sz w:val="24"/>
        </w:rPr>
        <w:t>查阅或者复制前述信息资料。</w:t>
      </w:r>
    </w:p>
    <w:p w14:paraId="30234A4E" w14:textId="77777777" w:rsidR="00E82AF4" w:rsidRDefault="005B2E6A">
      <w:pPr>
        <w:pStyle w:val="HD0"/>
        <w:adjustRightInd w:val="0"/>
        <w:ind w:firstLine="480"/>
        <w:rPr>
          <w:rFonts w:ascii="宋体" w:hAnsi="宋体"/>
          <w:sz w:val="24"/>
          <w:szCs w:val="24"/>
        </w:rPr>
      </w:pPr>
      <w:r>
        <w:rPr>
          <w:rFonts w:ascii="宋体" w:hAnsi="宋体" w:hint="eastAsia"/>
          <w:sz w:val="24"/>
        </w:rPr>
        <w:t>（</w:t>
      </w:r>
      <w:r>
        <w:rPr>
          <w:rFonts w:ascii="宋体" w:hAnsi="宋体" w:hint="eastAsia"/>
          <w:sz w:val="24"/>
          <w:szCs w:val="24"/>
        </w:rPr>
        <w:t>七）申购赎回清单</w:t>
      </w:r>
    </w:p>
    <w:p w14:paraId="0C53CFAB" w14:textId="77777777" w:rsidR="00E82AF4" w:rsidRDefault="005B2E6A">
      <w:pPr>
        <w:pStyle w:val="HD0"/>
        <w:adjustRightInd w:val="0"/>
        <w:ind w:firstLine="480"/>
        <w:rPr>
          <w:rFonts w:ascii="宋体" w:hAnsi="宋体"/>
          <w:sz w:val="24"/>
          <w:szCs w:val="24"/>
        </w:rPr>
      </w:pPr>
      <w:r>
        <w:rPr>
          <w:rFonts w:ascii="宋体" w:hAnsi="宋体" w:hint="eastAsia"/>
          <w:sz w:val="24"/>
          <w:szCs w:val="24"/>
        </w:rPr>
        <w:t>在开始办理基金份额申购或者赎回之后，基金管理人应当在每个开放日，通过规定网站以及其他媒介公告当日的申购赎回清单。</w:t>
      </w:r>
    </w:p>
    <w:p w14:paraId="0F29D5E7" w14:textId="77777777" w:rsidR="00E82AF4" w:rsidRDefault="005B2E6A">
      <w:pPr>
        <w:pStyle w:val="HD0"/>
        <w:adjustRightInd w:val="0"/>
        <w:ind w:firstLine="480"/>
        <w:rPr>
          <w:rFonts w:ascii="宋体" w:hAnsi="宋体"/>
          <w:sz w:val="24"/>
        </w:rPr>
      </w:pPr>
      <w:r>
        <w:rPr>
          <w:rFonts w:ascii="宋体" w:hAnsi="宋体" w:hint="eastAsia"/>
          <w:sz w:val="24"/>
          <w:szCs w:val="24"/>
        </w:rPr>
        <w:t>（八</w:t>
      </w:r>
      <w:r>
        <w:rPr>
          <w:rFonts w:ascii="宋体" w:hAnsi="宋体" w:hint="eastAsia"/>
          <w:sz w:val="24"/>
        </w:rPr>
        <w:t>）基金定期报告，包括基金年度报告、基金中期报告和基金季度报告</w:t>
      </w:r>
    </w:p>
    <w:p w14:paraId="4093EE1B" w14:textId="77777777" w:rsidR="00E82AF4" w:rsidRDefault="005B2E6A">
      <w:pPr>
        <w:pStyle w:val="HD0"/>
        <w:adjustRightInd w:val="0"/>
        <w:ind w:firstLine="480"/>
        <w:rPr>
          <w:rFonts w:ascii="宋体" w:hAnsi="宋体"/>
          <w:sz w:val="24"/>
        </w:rPr>
      </w:pPr>
      <w:r>
        <w:rPr>
          <w:rFonts w:ascii="宋体" w:hAnsi="宋体" w:hint="eastAsia"/>
          <w:sz w:val="24"/>
        </w:rPr>
        <w:t>基金管理人应当在每年结束之日起三个月内，编制完成基金年度报告，将年度报告登载在规定网站上，并将年度报告提示性公告登载在规定报刊上。基金年度报告</w:t>
      </w:r>
      <w:r>
        <w:rPr>
          <w:rFonts w:ascii="宋体" w:hAnsi="宋体" w:hint="eastAsia"/>
          <w:sz w:val="24"/>
          <w:szCs w:val="24"/>
        </w:rPr>
        <w:t>中</w:t>
      </w:r>
      <w:r>
        <w:rPr>
          <w:rFonts w:ascii="宋体" w:hAnsi="宋体" w:hint="eastAsia"/>
          <w:sz w:val="24"/>
        </w:rPr>
        <w:t>的财务会计报告应当经符合《中华人民共和国证券法》规定的会计师事务所审计。</w:t>
      </w:r>
    </w:p>
    <w:p w14:paraId="29C822BC" w14:textId="77777777" w:rsidR="00E82AF4" w:rsidRDefault="005B2E6A">
      <w:pPr>
        <w:pStyle w:val="HD0"/>
        <w:adjustRightInd w:val="0"/>
        <w:ind w:firstLine="480"/>
        <w:rPr>
          <w:rFonts w:ascii="宋体" w:hAnsi="宋体"/>
          <w:sz w:val="24"/>
        </w:rPr>
      </w:pPr>
      <w:r>
        <w:rPr>
          <w:rFonts w:ascii="宋体" w:hAnsi="宋体" w:hint="eastAsia"/>
          <w:sz w:val="24"/>
        </w:rPr>
        <w:t>基金管理人应当在上半年结束之日起两个月内，编制完成基金中期报告，</w:t>
      </w:r>
      <w:r>
        <w:rPr>
          <w:rFonts w:hint="eastAsia"/>
          <w:bCs/>
          <w:sz w:val="24"/>
        </w:rPr>
        <w:t>将中期报告登载在规定网站上，并将中期报告提示性公告登载在规定报刊上</w:t>
      </w:r>
      <w:r>
        <w:rPr>
          <w:bCs/>
          <w:sz w:val="24"/>
        </w:rPr>
        <w:t>。</w:t>
      </w:r>
    </w:p>
    <w:p w14:paraId="5CDF4A38" w14:textId="77777777" w:rsidR="00E82AF4" w:rsidRDefault="005B2E6A">
      <w:pPr>
        <w:pStyle w:val="HD0"/>
        <w:adjustRightInd w:val="0"/>
        <w:ind w:firstLine="480"/>
        <w:rPr>
          <w:rFonts w:ascii="宋体" w:hAnsi="宋体"/>
          <w:sz w:val="24"/>
        </w:rPr>
      </w:pPr>
      <w:r>
        <w:rPr>
          <w:rFonts w:ascii="宋体" w:hAnsi="宋体" w:hint="eastAsia"/>
          <w:sz w:val="24"/>
        </w:rPr>
        <w:t>基金管理人应当在</w:t>
      </w:r>
      <w:r>
        <w:rPr>
          <w:rFonts w:ascii="宋体" w:hAnsi="宋体" w:hint="eastAsia"/>
          <w:sz w:val="24"/>
          <w:szCs w:val="24"/>
        </w:rPr>
        <w:t>季度</w:t>
      </w:r>
      <w:r>
        <w:rPr>
          <w:rFonts w:ascii="宋体" w:hAnsi="宋体" w:hint="eastAsia"/>
          <w:sz w:val="24"/>
        </w:rPr>
        <w:t>结束之日起15个工作日内，编制完成基金季度报告，</w:t>
      </w:r>
      <w:r>
        <w:rPr>
          <w:rFonts w:hint="eastAsia"/>
          <w:sz w:val="24"/>
        </w:rPr>
        <w:lastRenderedPageBreak/>
        <w:t>将季度报告登载在规定网站上，</w:t>
      </w:r>
      <w:r>
        <w:rPr>
          <w:sz w:val="24"/>
        </w:rPr>
        <w:t>并将季度报告</w:t>
      </w:r>
      <w:r>
        <w:rPr>
          <w:rFonts w:hint="eastAsia"/>
          <w:sz w:val="24"/>
        </w:rPr>
        <w:t>提示性公告</w:t>
      </w:r>
      <w:r>
        <w:rPr>
          <w:sz w:val="24"/>
        </w:rPr>
        <w:t>登载在</w:t>
      </w:r>
      <w:r>
        <w:rPr>
          <w:rFonts w:hint="eastAsia"/>
          <w:sz w:val="24"/>
        </w:rPr>
        <w:t>规定报刊</w:t>
      </w:r>
      <w:r>
        <w:rPr>
          <w:sz w:val="24"/>
        </w:rPr>
        <w:t>上。</w:t>
      </w:r>
    </w:p>
    <w:p w14:paraId="647D6AFE" w14:textId="77777777" w:rsidR="00E82AF4" w:rsidRDefault="005B2E6A">
      <w:pPr>
        <w:pStyle w:val="HD0"/>
        <w:adjustRightInd w:val="0"/>
        <w:ind w:firstLine="480"/>
        <w:rPr>
          <w:rFonts w:ascii="宋体" w:hAnsi="宋体"/>
          <w:sz w:val="24"/>
        </w:rPr>
      </w:pPr>
      <w:r>
        <w:rPr>
          <w:rFonts w:ascii="宋体" w:hAnsi="宋体" w:hint="eastAsia"/>
          <w:sz w:val="24"/>
          <w:szCs w:val="24"/>
        </w:rPr>
        <w:t>基金合同</w:t>
      </w:r>
      <w:r>
        <w:rPr>
          <w:rFonts w:ascii="宋体" w:hAnsi="宋体" w:hint="eastAsia"/>
          <w:sz w:val="24"/>
        </w:rPr>
        <w:t>生效不足2个月的，基金管理人可以不编制当期季度报告、中期报告或者年度报告。</w:t>
      </w:r>
    </w:p>
    <w:p w14:paraId="7C3FDD47" w14:textId="77777777" w:rsidR="00E82AF4" w:rsidRDefault="005B2E6A">
      <w:pPr>
        <w:pStyle w:val="HD0"/>
        <w:adjustRightInd w:val="0"/>
        <w:ind w:firstLine="480"/>
        <w:rPr>
          <w:rFonts w:ascii="宋体" w:hAnsi="宋体"/>
          <w:sz w:val="24"/>
        </w:rPr>
      </w:pPr>
      <w:r>
        <w:rPr>
          <w:rFonts w:ascii="宋体" w:hAnsi="宋体" w:hint="eastAsia"/>
          <w:sz w:val="24"/>
        </w:rPr>
        <w:t>如报告期内出现单一</w:t>
      </w:r>
      <w:r>
        <w:rPr>
          <w:rFonts w:ascii="宋体" w:hAnsi="宋体" w:hint="eastAsia"/>
          <w:sz w:val="24"/>
          <w:szCs w:val="24"/>
        </w:rPr>
        <w:t>投资人</w:t>
      </w:r>
      <w:r>
        <w:rPr>
          <w:rFonts w:ascii="宋体" w:hAnsi="宋体" w:hint="eastAsia"/>
          <w:sz w:val="24"/>
        </w:rPr>
        <w:t>持有基金份额达到或超过基金总份额20</w:t>
      </w:r>
      <w:r>
        <w:rPr>
          <w:sz w:val="24"/>
        </w:rPr>
        <w:t>%</w:t>
      </w:r>
      <w:r>
        <w:rPr>
          <w:rFonts w:ascii="宋体" w:hAnsi="宋体" w:hint="eastAsia"/>
          <w:sz w:val="24"/>
        </w:rPr>
        <w:t>的情形，为保障其他</w:t>
      </w:r>
      <w:r>
        <w:rPr>
          <w:rFonts w:ascii="宋体" w:hAnsi="宋体" w:hint="eastAsia"/>
          <w:sz w:val="24"/>
          <w:szCs w:val="24"/>
        </w:rPr>
        <w:t>投资人</w:t>
      </w:r>
      <w:r>
        <w:rPr>
          <w:rFonts w:ascii="宋体" w:hAnsi="宋体" w:hint="eastAsia"/>
          <w:sz w:val="24"/>
        </w:rPr>
        <w:t>的权益，基金管理人至少应当在定期报告“影响投资者决策的其他重要信息”项下披露该</w:t>
      </w:r>
      <w:r>
        <w:rPr>
          <w:rFonts w:ascii="宋体" w:hAnsi="宋体" w:hint="eastAsia"/>
          <w:sz w:val="24"/>
          <w:szCs w:val="24"/>
        </w:rPr>
        <w:t>投资人</w:t>
      </w:r>
      <w:r>
        <w:rPr>
          <w:rFonts w:ascii="宋体" w:hAnsi="宋体" w:hint="eastAsia"/>
          <w:sz w:val="24"/>
        </w:rPr>
        <w:t>的类别、报告期末持有份额及占比、报告期内持有份额变化情况及</w:t>
      </w:r>
      <w:r>
        <w:rPr>
          <w:rFonts w:ascii="宋体" w:hAnsi="宋体" w:hint="eastAsia"/>
          <w:sz w:val="24"/>
          <w:szCs w:val="24"/>
        </w:rPr>
        <w:t>本基金</w:t>
      </w:r>
      <w:r>
        <w:rPr>
          <w:rFonts w:ascii="宋体" w:hAnsi="宋体" w:hint="eastAsia"/>
          <w:sz w:val="24"/>
        </w:rPr>
        <w:t>的特有风险，中国证监会认定的特殊情形除外。</w:t>
      </w:r>
    </w:p>
    <w:p w14:paraId="1CCA9A11" w14:textId="77777777" w:rsidR="00E82AF4" w:rsidRDefault="005B2E6A">
      <w:pPr>
        <w:pStyle w:val="HD0"/>
        <w:adjustRightInd w:val="0"/>
        <w:ind w:firstLine="480"/>
        <w:rPr>
          <w:rFonts w:ascii="宋体" w:hAnsi="宋体"/>
          <w:sz w:val="24"/>
          <w:szCs w:val="24"/>
        </w:rPr>
      </w:pPr>
      <w:r>
        <w:rPr>
          <w:rFonts w:ascii="宋体" w:hAnsi="宋体" w:hint="eastAsia"/>
          <w:sz w:val="24"/>
          <w:szCs w:val="24"/>
        </w:rPr>
        <w:t>基金管理人应当在基金年度报告和中期报告中披露基金组合资产情况及其流动性风险分析等。</w:t>
      </w:r>
    </w:p>
    <w:p w14:paraId="698A89C7" w14:textId="77777777" w:rsidR="00E82AF4" w:rsidRDefault="005B2E6A">
      <w:pPr>
        <w:pStyle w:val="HD0"/>
        <w:adjustRightInd w:val="0"/>
        <w:ind w:firstLine="480"/>
        <w:rPr>
          <w:rFonts w:ascii="宋体" w:hAnsi="宋体"/>
          <w:sz w:val="24"/>
          <w:szCs w:val="24"/>
        </w:rPr>
      </w:pPr>
      <w:r>
        <w:rPr>
          <w:rFonts w:ascii="宋体" w:hAnsi="宋体" w:hint="eastAsia"/>
          <w:sz w:val="24"/>
          <w:szCs w:val="24"/>
        </w:rPr>
        <w:t>（九）基金份额折算日和折算结果公告</w:t>
      </w:r>
    </w:p>
    <w:p w14:paraId="174FFB59" w14:textId="77777777" w:rsidR="00E82AF4" w:rsidRDefault="005B2E6A">
      <w:pPr>
        <w:pStyle w:val="HD0"/>
        <w:adjustRightInd w:val="0"/>
        <w:ind w:firstLine="480"/>
        <w:rPr>
          <w:rFonts w:ascii="宋体" w:hAnsi="宋体"/>
          <w:sz w:val="24"/>
          <w:szCs w:val="24"/>
        </w:rPr>
      </w:pPr>
      <w:r>
        <w:rPr>
          <w:rFonts w:ascii="宋体" w:hAnsi="宋体" w:hint="eastAsia"/>
          <w:sz w:val="24"/>
          <w:szCs w:val="24"/>
        </w:rPr>
        <w:t>基金管理人确定基金份额折算日，并提前将基金份额折算日公告登载于规定媒介上。</w:t>
      </w:r>
    </w:p>
    <w:p w14:paraId="1F5DD4A1" w14:textId="77777777" w:rsidR="00E82AF4" w:rsidRDefault="005B2E6A">
      <w:pPr>
        <w:pStyle w:val="HD0"/>
        <w:adjustRightInd w:val="0"/>
        <w:ind w:firstLine="480"/>
        <w:rPr>
          <w:rFonts w:ascii="宋体" w:hAnsi="宋体"/>
          <w:sz w:val="24"/>
          <w:szCs w:val="24"/>
        </w:rPr>
      </w:pPr>
      <w:r>
        <w:rPr>
          <w:rFonts w:ascii="宋体" w:hAnsi="宋体" w:hint="eastAsia"/>
          <w:sz w:val="24"/>
          <w:szCs w:val="24"/>
        </w:rPr>
        <w:t>基金份额进行折算并由登记机构完成基金份额的变更登记后，基金管理人应当依照《信息披露办法》的有关规定将基金份额折算结果公告登载于规定媒介上。</w:t>
      </w:r>
    </w:p>
    <w:p w14:paraId="1DBBA042" w14:textId="77777777" w:rsidR="00E82AF4" w:rsidRDefault="005B2E6A">
      <w:pPr>
        <w:pStyle w:val="HD0"/>
        <w:adjustRightInd w:val="0"/>
        <w:ind w:firstLine="480"/>
        <w:rPr>
          <w:rFonts w:ascii="宋体" w:hAnsi="宋体"/>
          <w:sz w:val="24"/>
        </w:rPr>
      </w:pPr>
      <w:r>
        <w:rPr>
          <w:rFonts w:ascii="宋体" w:hAnsi="宋体" w:hint="eastAsia"/>
          <w:sz w:val="24"/>
          <w:szCs w:val="24"/>
        </w:rPr>
        <w:t>（十</w:t>
      </w:r>
      <w:r>
        <w:rPr>
          <w:rFonts w:ascii="宋体" w:hAnsi="宋体" w:hint="eastAsia"/>
          <w:sz w:val="24"/>
        </w:rPr>
        <w:t>）临时报告</w:t>
      </w:r>
    </w:p>
    <w:p w14:paraId="021D1E3A" w14:textId="77777777" w:rsidR="00E82AF4" w:rsidRDefault="005B2E6A">
      <w:pPr>
        <w:pStyle w:val="HD0"/>
        <w:adjustRightInd w:val="0"/>
        <w:ind w:firstLine="480"/>
        <w:rPr>
          <w:rFonts w:ascii="宋体" w:hAnsi="宋体"/>
          <w:sz w:val="24"/>
        </w:rPr>
      </w:pPr>
      <w:r>
        <w:rPr>
          <w:rFonts w:ascii="宋体" w:hAnsi="宋体" w:hint="eastAsia"/>
          <w:sz w:val="24"/>
        </w:rPr>
        <w:t>本基金发生重大事件，有关信息披露义务人</w:t>
      </w:r>
      <w:r>
        <w:rPr>
          <w:rFonts w:ascii="宋体" w:hAnsi="宋体" w:hint="eastAsia"/>
          <w:sz w:val="24"/>
          <w:szCs w:val="24"/>
        </w:rPr>
        <w:t>应</w:t>
      </w:r>
      <w:r>
        <w:rPr>
          <w:rFonts w:ascii="宋体" w:hAnsi="宋体" w:hint="eastAsia"/>
          <w:bCs/>
          <w:sz w:val="24"/>
        </w:rPr>
        <w:t>依照《信息披露办法》的有关规定</w:t>
      </w:r>
      <w:r>
        <w:rPr>
          <w:sz w:val="24"/>
        </w:rPr>
        <w:t>编制临时报告书，</w:t>
      </w:r>
      <w:r>
        <w:rPr>
          <w:rFonts w:hint="eastAsia"/>
          <w:sz w:val="24"/>
        </w:rPr>
        <w:t>并登载在规定报刊和规定网站上</w:t>
      </w:r>
      <w:r>
        <w:rPr>
          <w:sz w:val="24"/>
        </w:rPr>
        <w:t>。</w:t>
      </w:r>
    </w:p>
    <w:p w14:paraId="5EF5506B" w14:textId="77777777" w:rsidR="00E82AF4" w:rsidRDefault="005B2E6A">
      <w:pPr>
        <w:pStyle w:val="HD0"/>
        <w:adjustRightInd w:val="0"/>
        <w:ind w:firstLine="480"/>
        <w:rPr>
          <w:rFonts w:ascii="宋体" w:hAnsi="宋体"/>
          <w:sz w:val="24"/>
        </w:rPr>
      </w:pPr>
      <w:r>
        <w:rPr>
          <w:rFonts w:ascii="宋体" w:hAnsi="宋体" w:hint="eastAsia"/>
          <w:sz w:val="24"/>
        </w:rPr>
        <w:t>前款所称重大事件，是指可能对基金份额持有人权益或者基金份额的价格产生重大影响的下列事件：</w:t>
      </w:r>
    </w:p>
    <w:p w14:paraId="7C9BEDE9" w14:textId="77777777" w:rsidR="00E82AF4" w:rsidRDefault="005B2E6A">
      <w:pPr>
        <w:pStyle w:val="HD0"/>
        <w:adjustRightInd w:val="0"/>
        <w:ind w:firstLine="480"/>
        <w:rPr>
          <w:rFonts w:ascii="宋体" w:hAnsi="宋体"/>
          <w:sz w:val="24"/>
        </w:rPr>
      </w:pPr>
      <w:r>
        <w:rPr>
          <w:rFonts w:ascii="宋体" w:hAnsi="宋体" w:hint="eastAsia"/>
          <w:sz w:val="24"/>
        </w:rPr>
        <w:t>1、基金份额持有人大会的召开</w:t>
      </w:r>
      <w:r>
        <w:rPr>
          <w:rFonts w:hint="eastAsia"/>
          <w:sz w:val="24"/>
        </w:rPr>
        <w:t>及决定的事项</w:t>
      </w:r>
      <w:r>
        <w:rPr>
          <w:rFonts w:ascii="宋体" w:hAnsi="宋体" w:hint="eastAsia"/>
          <w:sz w:val="24"/>
        </w:rPr>
        <w:t>；</w:t>
      </w:r>
    </w:p>
    <w:p w14:paraId="5C5C6BCF" w14:textId="77777777" w:rsidR="00E82AF4" w:rsidRDefault="005B2E6A">
      <w:pPr>
        <w:pStyle w:val="HD0"/>
        <w:adjustRightInd w:val="0"/>
        <w:ind w:firstLine="480"/>
        <w:rPr>
          <w:rFonts w:ascii="宋体" w:hAnsi="宋体"/>
          <w:sz w:val="24"/>
        </w:rPr>
      </w:pPr>
      <w:r>
        <w:rPr>
          <w:rFonts w:ascii="宋体" w:hAnsi="宋体" w:hint="eastAsia"/>
          <w:sz w:val="24"/>
        </w:rPr>
        <w:t>2、</w:t>
      </w:r>
      <w:r>
        <w:rPr>
          <w:rFonts w:ascii="宋体" w:hAnsi="宋体" w:hint="eastAsia"/>
          <w:sz w:val="24"/>
          <w:szCs w:val="24"/>
        </w:rPr>
        <w:t>基金合同</w:t>
      </w:r>
      <w:r>
        <w:rPr>
          <w:rFonts w:hint="eastAsia"/>
          <w:bCs/>
          <w:sz w:val="24"/>
        </w:rPr>
        <w:t>终止、基金清算</w:t>
      </w:r>
      <w:r>
        <w:rPr>
          <w:rFonts w:ascii="宋体" w:hAnsi="宋体" w:hint="eastAsia"/>
          <w:sz w:val="24"/>
        </w:rPr>
        <w:t>；</w:t>
      </w:r>
    </w:p>
    <w:p w14:paraId="29977E79" w14:textId="77777777" w:rsidR="00E82AF4" w:rsidRDefault="005B2E6A">
      <w:pPr>
        <w:pStyle w:val="HD0"/>
        <w:adjustRightInd w:val="0"/>
        <w:ind w:firstLine="480"/>
        <w:rPr>
          <w:rFonts w:ascii="宋体" w:hAnsi="宋体"/>
          <w:sz w:val="24"/>
        </w:rPr>
      </w:pPr>
      <w:r>
        <w:rPr>
          <w:rFonts w:ascii="宋体" w:hAnsi="宋体" w:hint="eastAsia"/>
          <w:sz w:val="24"/>
        </w:rPr>
        <w:t>3、转换基金运作方式、基金合并；</w:t>
      </w:r>
    </w:p>
    <w:p w14:paraId="7EB332CE" w14:textId="77777777" w:rsidR="00E82AF4" w:rsidRDefault="005B2E6A">
      <w:pPr>
        <w:pStyle w:val="HD0"/>
        <w:adjustRightInd w:val="0"/>
        <w:ind w:firstLine="480"/>
        <w:rPr>
          <w:rFonts w:ascii="宋体" w:hAnsi="宋体"/>
          <w:sz w:val="24"/>
        </w:rPr>
      </w:pPr>
      <w:r>
        <w:rPr>
          <w:rFonts w:ascii="宋体" w:hAnsi="宋体" w:hint="eastAsia"/>
          <w:sz w:val="24"/>
        </w:rPr>
        <w:t>4、更换基金管理人、基金托管人</w:t>
      </w:r>
      <w:r>
        <w:rPr>
          <w:rFonts w:hint="eastAsia"/>
          <w:bCs/>
          <w:sz w:val="24"/>
        </w:rPr>
        <w:t>、基金份额登记机构，基金改聘会计师事务所</w:t>
      </w:r>
      <w:r>
        <w:rPr>
          <w:rFonts w:ascii="宋体" w:hAnsi="宋体" w:hint="eastAsia"/>
          <w:sz w:val="24"/>
        </w:rPr>
        <w:t>；</w:t>
      </w:r>
    </w:p>
    <w:p w14:paraId="068C3E90" w14:textId="77777777" w:rsidR="00E82AF4" w:rsidRDefault="005B2E6A">
      <w:pPr>
        <w:pStyle w:val="HD0"/>
        <w:adjustRightInd w:val="0"/>
        <w:ind w:firstLine="480"/>
        <w:rPr>
          <w:rFonts w:ascii="宋体" w:hAnsi="宋体"/>
          <w:sz w:val="24"/>
        </w:rPr>
      </w:pPr>
      <w:r>
        <w:rPr>
          <w:rFonts w:ascii="宋体" w:hAnsi="宋体" w:hint="eastAsia"/>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37E2F460" w14:textId="77777777" w:rsidR="00E82AF4" w:rsidRDefault="005B2E6A">
      <w:pPr>
        <w:pStyle w:val="HD0"/>
        <w:adjustRightInd w:val="0"/>
        <w:ind w:firstLine="480"/>
        <w:rPr>
          <w:rFonts w:ascii="宋体" w:hAnsi="宋体"/>
          <w:sz w:val="24"/>
        </w:rPr>
      </w:pPr>
      <w:r>
        <w:rPr>
          <w:rFonts w:ascii="宋体" w:hAnsi="宋体"/>
          <w:sz w:val="24"/>
        </w:rPr>
        <w:t>6</w:t>
      </w:r>
      <w:r>
        <w:rPr>
          <w:rFonts w:ascii="宋体" w:hAnsi="宋体" w:hint="eastAsia"/>
          <w:sz w:val="24"/>
        </w:rPr>
        <w:t>、基金管理人、基金托管人的法定名称、住所发生变更；</w:t>
      </w:r>
    </w:p>
    <w:p w14:paraId="179F3F16" w14:textId="77777777" w:rsidR="00E82AF4" w:rsidRDefault="005B2E6A">
      <w:pPr>
        <w:pStyle w:val="HD0"/>
        <w:adjustRightInd w:val="0"/>
        <w:ind w:firstLine="480"/>
        <w:rPr>
          <w:rFonts w:ascii="宋体" w:hAnsi="宋体"/>
          <w:sz w:val="24"/>
        </w:rPr>
      </w:pPr>
      <w:r>
        <w:rPr>
          <w:rFonts w:ascii="宋体" w:hAnsi="宋体"/>
          <w:sz w:val="24"/>
        </w:rPr>
        <w:t>7</w:t>
      </w:r>
      <w:r>
        <w:rPr>
          <w:rFonts w:ascii="宋体" w:hAnsi="宋体" w:hint="eastAsia"/>
          <w:sz w:val="24"/>
        </w:rPr>
        <w:t>、基金管理人变更持有百分之五以上股权的股东、变更基金管理人的实际控制人；</w:t>
      </w:r>
    </w:p>
    <w:p w14:paraId="2F878EC8" w14:textId="77777777" w:rsidR="00E82AF4" w:rsidRDefault="005B2E6A">
      <w:pPr>
        <w:pStyle w:val="HD0"/>
        <w:adjustRightInd w:val="0"/>
        <w:ind w:firstLine="480"/>
        <w:rPr>
          <w:rFonts w:ascii="宋体" w:hAnsi="宋体"/>
          <w:sz w:val="24"/>
        </w:rPr>
      </w:pPr>
      <w:r>
        <w:rPr>
          <w:rFonts w:ascii="宋体" w:hAnsi="宋体" w:hint="eastAsia"/>
          <w:sz w:val="24"/>
        </w:rPr>
        <w:t>8、基金募集期延长或提前结束募集；</w:t>
      </w:r>
    </w:p>
    <w:p w14:paraId="6900C279" w14:textId="77777777" w:rsidR="00E82AF4" w:rsidRDefault="005B2E6A">
      <w:pPr>
        <w:pStyle w:val="HD0"/>
        <w:adjustRightInd w:val="0"/>
        <w:ind w:firstLine="480"/>
        <w:rPr>
          <w:rFonts w:ascii="宋体" w:hAnsi="宋体"/>
          <w:sz w:val="24"/>
        </w:rPr>
      </w:pPr>
      <w:r>
        <w:rPr>
          <w:rFonts w:ascii="宋体" w:hAnsi="宋体" w:hint="eastAsia"/>
          <w:sz w:val="24"/>
        </w:rPr>
        <w:lastRenderedPageBreak/>
        <w:t>9、基金管理人</w:t>
      </w:r>
      <w:r>
        <w:rPr>
          <w:rFonts w:ascii="宋体" w:hAnsi="宋体" w:hint="eastAsia"/>
          <w:sz w:val="24"/>
          <w:szCs w:val="24"/>
        </w:rPr>
        <w:t>的</w:t>
      </w:r>
      <w:r>
        <w:rPr>
          <w:rFonts w:hint="eastAsia"/>
          <w:bCs/>
          <w:sz w:val="24"/>
        </w:rPr>
        <w:t>高级管理人员、基金经理和基金托管人专门基金托管部门负责人发生变动</w:t>
      </w:r>
      <w:r>
        <w:rPr>
          <w:rFonts w:ascii="宋体" w:hAnsi="宋体" w:hint="eastAsia"/>
          <w:sz w:val="24"/>
        </w:rPr>
        <w:t>；</w:t>
      </w:r>
    </w:p>
    <w:p w14:paraId="4ADDE81B" w14:textId="77777777" w:rsidR="00E82AF4" w:rsidRDefault="005B2E6A">
      <w:pPr>
        <w:pStyle w:val="HD0"/>
        <w:adjustRightInd w:val="0"/>
        <w:ind w:firstLine="480"/>
        <w:rPr>
          <w:rFonts w:ascii="宋体" w:hAnsi="宋体"/>
          <w:sz w:val="24"/>
        </w:rPr>
      </w:pPr>
      <w:r>
        <w:rPr>
          <w:rFonts w:ascii="宋体" w:hAnsi="宋体" w:hint="eastAsia"/>
          <w:sz w:val="24"/>
        </w:rPr>
        <w:t>10、基金管理人的董事在最近12个月内变更超过百分之五十</w:t>
      </w:r>
      <w:r>
        <w:rPr>
          <w:rFonts w:ascii="宋体" w:hAnsi="宋体"/>
          <w:sz w:val="24"/>
          <w:szCs w:val="24"/>
        </w:rPr>
        <w:t>，</w:t>
      </w:r>
      <w:r>
        <w:rPr>
          <w:rFonts w:ascii="宋体" w:hAnsi="宋体" w:hint="eastAsia"/>
          <w:sz w:val="24"/>
        </w:rPr>
        <w:t>基金管理人、基金托管人专门基金托管部门的主要业务人员在最近</w:t>
      </w:r>
      <w:r>
        <w:rPr>
          <w:rFonts w:ascii="宋体" w:hAnsi="宋体" w:hint="eastAsia"/>
          <w:sz w:val="24"/>
          <w:szCs w:val="24"/>
        </w:rPr>
        <w:t>12个月内</w:t>
      </w:r>
      <w:r>
        <w:rPr>
          <w:rFonts w:ascii="宋体" w:hAnsi="宋体" w:hint="eastAsia"/>
          <w:sz w:val="24"/>
        </w:rPr>
        <w:t>变动超过百分之三十；</w:t>
      </w:r>
    </w:p>
    <w:p w14:paraId="71DFC9B3" w14:textId="77777777" w:rsidR="00E82AF4" w:rsidRDefault="005B2E6A">
      <w:pPr>
        <w:pStyle w:val="HD0"/>
        <w:adjustRightInd w:val="0"/>
        <w:ind w:firstLine="480"/>
        <w:rPr>
          <w:rFonts w:ascii="宋体" w:hAnsi="宋体"/>
          <w:sz w:val="24"/>
        </w:rPr>
      </w:pPr>
      <w:r>
        <w:rPr>
          <w:rFonts w:ascii="宋体" w:hAnsi="宋体" w:hint="eastAsia"/>
          <w:sz w:val="24"/>
        </w:rPr>
        <w:t>11、涉及基金</w:t>
      </w:r>
      <w:r>
        <w:rPr>
          <w:rFonts w:ascii="宋体" w:hAnsi="宋体" w:hint="eastAsia"/>
          <w:sz w:val="24"/>
          <w:szCs w:val="24"/>
        </w:rPr>
        <w:t>财产、基金</w:t>
      </w:r>
      <w:r>
        <w:rPr>
          <w:rFonts w:ascii="宋体" w:hAnsi="宋体" w:hint="eastAsia"/>
          <w:sz w:val="24"/>
        </w:rPr>
        <w:t>管理业务、基金托管业务的诉讼或仲裁；</w:t>
      </w:r>
    </w:p>
    <w:p w14:paraId="48BD3F74"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2、基金管理人或其高级管理人员、基金经理因基金管理业务相关行为受到重大行政处罚、刑事处罚，基金托管人或其专门基金托管部门负责人因基金托管业务相关行为受到重大行政处罚、刑事处罚；</w:t>
      </w:r>
    </w:p>
    <w:p w14:paraId="39F1FA12"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3、</w:t>
      </w:r>
      <w:r>
        <w:rPr>
          <w:rFonts w:hint="eastAsia"/>
          <w:sz w:val="24"/>
        </w:rPr>
        <w:t>基金管理人运用基金财产买卖基金管理人、基金托管人及其控股股东、实际控制人或者与其有重大利害关系的公司发行的证券或者承销期内承销的证券，或者从事其他</w:t>
      </w:r>
      <w:r>
        <w:rPr>
          <w:rFonts w:ascii="宋体" w:hAnsi="宋体" w:hint="eastAsia"/>
          <w:sz w:val="24"/>
          <w:szCs w:val="24"/>
        </w:rPr>
        <w:t>重大关联交易事项</w:t>
      </w:r>
      <w:r>
        <w:rPr>
          <w:rFonts w:hint="eastAsia"/>
          <w:sz w:val="24"/>
        </w:rPr>
        <w:t>，但中国证监会另有规定的除外</w:t>
      </w:r>
      <w:r>
        <w:rPr>
          <w:rFonts w:ascii="宋体" w:hAnsi="宋体" w:hint="eastAsia"/>
          <w:sz w:val="24"/>
        </w:rPr>
        <w:t>；</w:t>
      </w:r>
    </w:p>
    <w:p w14:paraId="7ADE7455"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4、基金收益分配事项；</w:t>
      </w:r>
    </w:p>
    <w:p w14:paraId="0800C205"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5、管理费、托管费、申购费、赎回费等费用计提标准、计提方式和费率发生变更；</w:t>
      </w:r>
    </w:p>
    <w:p w14:paraId="5D1A0A9B" w14:textId="77777777" w:rsidR="00E82AF4" w:rsidRDefault="005B2E6A">
      <w:pPr>
        <w:pStyle w:val="HD0"/>
        <w:adjustRightInd w:val="0"/>
        <w:ind w:firstLine="480"/>
        <w:rPr>
          <w:rFonts w:ascii="宋体" w:hAnsi="宋体"/>
          <w:sz w:val="24"/>
        </w:rPr>
      </w:pPr>
      <w:r>
        <w:rPr>
          <w:rFonts w:ascii="宋体" w:hAnsi="宋体" w:hint="eastAsia"/>
          <w:sz w:val="24"/>
        </w:rPr>
        <w:t>16、基金份额净值估值错误达基金份额净值百分之零点五；</w:t>
      </w:r>
    </w:p>
    <w:p w14:paraId="628D3D5B"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7、本基金开始办理申购、赎回；</w:t>
      </w:r>
    </w:p>
    <w:p w14:paraId="030B1F6A" w14:textId="77777777" w:rsidR="00E82AF4" w:rsidRDefault="005B2E6A">
      <w:pPr>
        <w:pStyle w:val="HD0"/>
        <w:adjustRightInd w:val="0"/>
        <w:ind w:firstLine="480"/>
        <w:rPr>
          <w:rFonts w:ascii="宋体" w:hAnsi="宋体"/>
          <w:sz w:val="24"/>
        </w:rPr>
      </w:pPr>
      <w:r>
        <w:rPr>
          <w:rFonts w:ascii="宋体" w:hAnsi="宋体"/>
          <w:sz w:val="24"/>
        </w:rPr>
        <w:t>1</w:t>
      </w:r>
      <w:r>
        <w:rPr>
          <w:rFonts w:ascii="宋体" w:hAnsi="宋体" w:hint="eastAsia"/>
          <w:sz w:val="24"/>
        </w:rPr>
        <w:t>8、本基金暂停接受申购、赎回申请或重新接受申购、赎回申请；</w:t>
      </w:r>
    </w:p>
    <w:p w14:paraId="7D4A17B8" w14:textId="77777777" w:rsidR="00E82AF4" w:rsidRDefault="005B2E6A">
      <w:pPr>
        <w:pStyle w:val="HD0"/>
        <w:adjustRightInd w:val="0"/>
        <w:ind w:firstLine="480"/>
        <w:rPr>
          <w:rFonts w:ascii="宋体" w:hAnsi="宋体"/>
          <w:bCs/>
          <w:sz w:val="24"/>
          <w:szCs w:val="24"/>
        </w:rPr>
      </w:pPr>
      <w:r>
        <w:rPr>
          <w:rFonts w:ascii="宋体" w:hAnsi="宋体"/>
          <w:sz w:val="24"/>
          <w:szCs w:val="24"/>
        </w:rPr>
        <w:t>1</w:t>
      </w:r>
      <w:r>
        <w:rPr>
          <w:rFonts w:ascii="宋体" w:hAnsi="宋体" w:hint="eastAsia"/>
          <w:sz w:val="24"/>
          <w:szCs w:val="24"/>
        </w:rPr>
        <w:t>9、</w:t>
      </w:r>
      <w:r>
        <w:rPr>
          <w:rFonts w:ascii="宋体" w:hAnsi="宋体"/>
          <w:bCs/>
          <w:sz w:val="24"/>
          <w:szCs w:val="24"/>
        </w:rPr>
        <w:t>基金变更标的指数；</w:t>
      </w:r>
    </w:p>
    <w:p w14:paraId="7F6D35ED"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20、</w:t>
      </w:r>
      <w:r>
        <w:rPr>
          <w:rFonts w:ascii="宋体" w:hAnsi="宋体"/>
          <w:bCs/>
          <w:sz w:val="24"/>
          <w:szCs w:val="24"/>
        </w:rPr>
        <w:t>基金份额</w:t>
      </w:r>
      <w:r>
        <w:rPr>
          <w:rFonts w:ascii="宋体" w:hAnsi="宋体" w:hint="eastAsia"/>
          <w:bCs/>
          <w:sz w:val="24"/>
          <w:szCs w:val="24"/>
        </w:rPr>
        <w:t>停牌、</w:t>
      </w:r>
      <w:r>
        <w:rPr>
          <w:rFonts w:ascii="宋体" w:hAnsi="宋体"/>
          <w:bCs/>
          <w:sz w:val="24"/>
          <w:szCs w:val="24"/>
        </w:rPr>
        <w:t>复牌、</w:t>
      </w:r>
      <w:r>
        <w:rPr>
          <w:rFonts w:ascii="宋体" w:hAnsi="宋体" w:hint="eastAsia"/>
          <w:bCs/>
          <w:sz w:val="24"/>
          <w:szCs w:val="24"/>
        </w:rPr>
        <w:t>暂停上市</w:t>
      </w:r>
      <w:r>
        <w:rPr>
          <w:rFonts w:ascii="宋体" w:hAnsi="宋体"/>
          <w:bCs/>
          <w:sz w:val="24"/>
          <w:szCs w:val="24"/>
        </w:rPr>
        <w:t>、恢复上市</w:t>
      </w:r>
      <w:r>
        <w:rPr>
          <w:rFonts w:ascii="宋体" w:hAnsi="宋体" w:hint="eastAsia"/>
          <w:bCs/>
          <w:sz w:val="24"/>
          <w:szCs w:val="24"/>
        </w:rPr>
        <w:t>或</w:t>
      </w:r>
      <w:r>
        <w:rPr>
          <w:rFonts w:ascii="宋体" w:hAnsi="宋体"/>
          <w:bCs/>
          <w:sz w:val="24"/>
          <w:szCs w:val="24"/>
        </w:rPr>
        <w:t>终止上市；</w:t>
      </w:r>
    </w:p>
    <w:p w14:paraId="3A5914CC" w14:textId="77777777" w:rsidR="00E82AF4" w:rsidRDefault="005B2E6A">
      <w:pPr>
        <w:pStyle w:val="HD0"/>
        <w:adjustRightInd w:val="0"/>
        <w:ind w:firstLine="480"/>
        <w:rPr>
          <w:rFonts w:ascii="宋体" w:hAnsi="宋体"/>
          <w:bCs/>
          <w:sz w:val="24"/>
          <w:szCs w:val="24"/>
        </w:rPr>
      </w:pPr>
      <w:r>
        <w:rPr>
          <w:rFonts w:ascii="宋体" w:hAnsi="宋体"/>
          <w:sz w:val="24"/>
        </w:rPr>
        <w:t>2</w:t>
      </w:r>
      <w:r>
        <w:rPr>
          <w:rFonts w:ascii="宋体" w:hAnsi="宋体" w:hint="eastAsia"/>
          <w:sz w:val="24"/>
        </w:rPr>
        <w:t>1、</w:t>
      </w:r>
      <w:r>
        <w:rPr>
          <w:rFonts w:ascii="宋体" w:hAnsi="宋体"/>
          <w:bCs/>
          <w:sz w:val="24"/>
          <w:szCs w:val="24"/>
        </w:rPr>
        <w:t>调整最小申购赎回单位、申购赎回方式及申购对价、赎回对价组成；</w:t>
      </w:r>
    </w:p>
    <w:p w14:paraId="5CCA9FFC" w14:textId="77777777" w:rsidR="00E82AF4" w:rsidRDefault="005B2E6A">
      <w:pPr>
        <w:pStyle w:val="HD0"/>
        <w:adjustRightInd w:val="0"/>
        <w:ind w:firstLine="480"/>
        <w:rPr>
          <w:rFonts w:ascii="宋体" w:hAnsi="宋体"/>
          <w:sz w:val="24"/>
          <w:szCs w:val="24"/>
        </w:rPr>
      </w:pPr>
      <w:r>
        <w:rPr>
          <w:rFonts w:ascii="宋体" w:hAnsi="宋体"/>
          <w:sz w:val="24"/>
          <w:szCs w:val="24"/>
        </w:rPr>
        <w:t>2</w:t>
      </w:r>
      <w:r>
        <w:rPr>
          <w:rFonts w:ascii="宋体" w:hAnsi="宋体" w:hint="eastAsia"/>
          <w:sz w:val="24"/>
          <w:szCs w:val="24"/>
        </w:rPr>
        <w:t>2、调整</w:t>
      </w:r>
      <w:r>
        <w:rPr>
          <w:rFonts w:ascii="宋体" w:hAnsi="宋体" w:hint="eastAsia"/>
          <w:sz w:val="24"/>
        </w:rPr>
        <w:t>基金</w:t>
      </w:r>
      <w:r>
        <w:rPr>
          <w:rFonts w:ascii="宋体" w:hAnsi="宋体" w:hint="eastAsia"/>
          <w:sz w:val="24"/>
          <w:szCs w:val="24"/>
        </w:rPr>
        <w:t>份额类别的设置；</w:t>
      </w:r>
    </w:p>
    <w:p w14:paraId="1E633C27" w14:textId="77777777" w:rsidR="00E82AF4" w:rsidRDefault="005B2E6A">
      <w:pPr>
        <w:pStyle w:val="HD0"/>
        <w:adjustRightInd w:val="0"/>
        <w:ind w:firstLine="480"/>
        <w:rPr>
          <w:rFonts w:ascii="宋体" w:hAnsi="宋体"/>
          <w:sz w:val="24"/>
          <w:szCs w:val="24"/>
        </w:rPr>
      </w:pPr>
      <w:r>
        <w:rPr>
          <w:rFonts w:ascii="宋体" w:hAnsi="宋体"/>
          <w:sz w:val="24"/>
          <w:szCs w:val="24"/>
        </w:rPr>
        <w:t>2</w:t>
      </w:r>
      <w:r>
        <w:rPr>
          <w:rFonts w:ascii="宋体" w:hAnsi="宋体" w:hint="eastAsia"/>
          <w:sz w:val="24"/>
          <w:szCs w:val="24"/>
        </w:rPr>
        <w:t>3、基金推出新业务或服务；</w:t>
      </w:r>
    </w:p>
    <w:p w14:paraId="70C1BC9B" w14:textId="77777777" w:rsidR="00E82AF4" w:rsidRDefault="005B2E6A">
      <w:pPr>
        <w:pStyle w:val="HD0"/>
        <w:adjustRightInd w:val="0"/>
        <w:ind w:firstLine="480"/>
        <w:rPr>
          <w:rFonts w:ascii="宋体" w:hAnsi="宋体"/>
          <w:sz w:val="24"/>
        </w:rPr>
      </w:pPr>
      <w:r>
        <w:rPr>
          <w:rFonts w:ascii="宋体" w:hAnsi="宋体"/>
          <w:sz w:val="24"/>
          <w:szCs w:val="24"/>
        </w:rPr>
        <w:t>2</w:t>
      </w:r>
      <w:r>
        <w:rPr>
          <w:rFonts w:ascii="宋体" w:hAnsi="宋体" w:hint="eastAsia"/>
          <w:sz w:val="24"/>
          <w:szCs w:val="24"/>
        </w:rPr>
        <w:t>4、</w:t>
      </w:r>
      <w:r>
        <w:rPr>
          <w:rFonts w:ascii="宋体" w:hAnsi="宋体" w:hint="eastAsia"/>
          <w:sz w:val="24"/>
        </w:rPr>
        <w:t>发生涉及基金申购、赎回事项调整或潜在影响投资人赎回等重大事项时；</w:t>
      </w:r>
    </w:p>
    <w:p w14:paraId="0AD2A89C" w14:textId="77777777" w:rsidR="00E82AF4" w:rsidRDefault="005B2E6A">
      <w:pPr>
        <w:pStyle w:val="HD0"/>
        <w:adjustRightInd w:val="0"/>
        <w:ind w:firstLine="480"/>
        <w:rPr>
          <w:rFonts w:ascii="宋体" w:hAnsi="宋体"/>
          <w:sz w:val="24"/>
        </w:rPr>
      </w:pPr>
      <w:r>
        <w:rPr>
          <w:rFonts w:ascii="宋体" w:hAnsi="宋体" w:hint="eastAsia"/>
          <w:sz w:val="24"/>
          <w:szCs w:val="24"/>
        </w:rPr>
        <w:t>25、</w:t>
      </w:r>
      <w:r>
        <w:rPr>
          <w:rFonts w:hint="eastAsia"/>
          <w:sz w:val="24"/>
        </w:rPr>
        <w:t>基金信息披露义务人认为可能对基金份额持有人权益或者基金份额的价格产生重大影响的其他事项或</w:t>
      </w:r>
      <w:r>
        <w:rPr>
          <w:rFonts w:ascii="宋体" w:hAnsi="宋体" w:hint="eastAsia"/>
          <w:sz w:val="24"/>
          <w:szCs w:val="24"/>
        </w:rPr>
        <w:t>中国证监会规定或基金合同约定的其他事项。</w:t>
      </w:r>
    </w:p>
    <w:p w14:paraId="133BB868"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hint="eastAsia"/>
          <w:sz w:val="24"/>
          <w:szCs w:val="24"/>
        </w:rPr>
        <w:t>十一</w:t>
      </w:r>
      <w:r>
        <w:rPr>
          <w:rFonts w:ascii="宋体" w:hAnsi="宋体" w:hint="eastAsia"/>
          <w:sz w:val="24"/>
        </w:rPr>
        <w:t>）澄清公告</w:t>
      </w:r>
    </w:p>
    <w:p w14:paraId="2473486D" w14:textId="77777777" w:rsidR="00E82AF4" w:rsidRDefault="005B2E6A">
      <w:pPr>
        <w:pStyle w:val="HD0"/>
        <w:adjustRightInd w:val="0"/>
        <w:ind w:firstLine="480"/>
        <w:rPr>
          <w:rFonts w:ascii="宋体" w:hAnsi="宋体"/>
          <w:sz w:val="24"/>
        </w:rPr>
      </w:pPr>
      <w:r>
        <w:rPr>
          <w:rFonts w:ascii="宋体" w:hAnsi="宋体" w:hint="eastAsia"/>
          <w:sz w:val="24"/>
        </w:rPr>
        <w:t>在</w:t>
      </w:r>
      <w:r>
        <w:rPr>
          <w:rFonts w:ascii="宋体" w:hAnsi="宋体"/>
          <w:bCs/>
          <w:sz w:val="24"/>
          <w:szCs w:val="24"/>
        </w:rPr>
        <w:t>基金合同</w:t>
      </w:r>
      <w:r>
        <w:rPr>
          <w:rFonts w:ascii="宋体" w:hAnsi="宋体" w:hint="eastAsia"/>
          <w:sz w:val="24"/>
        </w:rPr>
        <w:t>存续期限内，任何公共媒介中出现的或者在市场上流传的消息可能对基金份额价格产生误导性影响或者引起较大波动</w:t>
      </w:r>
      <w:r>
        <w:rPr>
          <w:rFonts w:hint="eastAsia"/>
          <w:bCs/>
          <w:sz w:val="24"/>
        </w:rPr>
        <w:t>，以及可能损害基金份额持有人权益</w:t>
      </w:r>
      <w:r>
        <w:rPr>
          <w:rFonts w:ascii="宋体" w:hAnsi="宋体" w:hint="eastAsia"/>
          <w:sz w:val="24"/>
        </w:rPr>
        <w:t>的，相关信息披露义务人知悉后应当立即对该消息进行公开澄清，并将</w:t>
      </w:r>
      <w:r>
        <w:rPr>
          <w:rFonts w:ascii="宋体" w:hAnsi="宋体" w:hint="eastAsia"/>
          <w:sz w:val="24"/>
        </w:rPr>
        <w:lastRenderedPageBreak/>
        <w:t>有关情况立即报告</w:t>
      </w:r>
      <w:r>
        <w:rPr>
          <w:rFonts w:ascii="宋体" w:hAnsi="宋体" w:hint="eastAsia"/>
          <w:bCs/>
          <w:sz w:val="24"/>
          <w:szCs w:val="24"/>
        </w:rPr>
        <w:t>深圳证券交易所</w:t>
      </w:r>
      <w:r>
        <w:rPr>
          <w:rFonts w:ascii="宋体" w:hAnsi="宋体" w:hint="eastAsia"/>
          <w:sz w:val="24"/>
        </w:rPr>
        <w:t>。</w:t>
      </w:r>
    </w:p>
    <w:p w14:paraId="0C346944" w14:textId="77777777" w:rsidR="00E82AF4" w:rsidRDefault="005B2E6A">
      <w:pPr>
        <w:pStyle w:val="HD0"/>
        <w:adjustRightInd w:val="0"/>
        <w:ind w:firstLine="480"/>
        <w:rPr>
          <w:rFonts w:ascii="宋体" w:hAnsi="宋体"/>
          <w:sz w:val="24"/>
        </w:rPr>
      </w:pPr>
      <w:r>
        <w:rPr>
          <w:rFonts w:ascii="宋体" w:hAnsi="宋体" w:hint="eastAsia"/>
          <w:sz w:val="24"/>
        </w:rPr>
        <w:t>（</w:t>
      </w:r>
      <w:r>
        <w:rPr>
          <w:rFonts w:ascii="宋体" w:hAnsi="宋体" w:hint="eastAsia"/>
          <w:sz w:val="24"/>
          <w:szCs w:val="24"/>
        </w:rPr>
        <w:t>十二</w:t>
      </w:r>
      <w:r>
        <w:rPr>
          <w:rFonts w:ascii="宋体" w:hAnsi="宋体" w:hint="eastAsia"/>
          <w:sz w:val="24"/>
        </w:rPr>
        <w:t>）基金份额持有人大会决议</w:t>
      </w:r>
    </w:p>
    <w:p w14:paraId="6A6B9262" w14:textId="77777777" w:rsidR="00E82AF4" w:rsidRDefault="005B2E6A">
      <w:pPr>
        <w:pStyle w:val="HD0"/>
        <w:adjustRightInd w:val="0"/>
        <w:ind w:firstLine="480"/>
        <w:rPr>
          <w:rFonts w:ascii="宋体" w:hAnsi="宋体"/>
          <w:sz w:val="24"/>
        </w:rPr>
      </w:pPr>
      <w:r>
        <w:rPr>
          <w:rFonts w:ascii="宋体" w:hAnsi="宋体" w:hint="eastAsia"/>
          <w:sz w:val="24"/>
        </w:rPr>
        <w:t>基金份额持有人大会决定的事项，应当依法报中国证监会备案，并予以公告。</w:t>
      </w:r>
    </w:p>
    <w:p w14:paraId="774AD885" w14:textId="77777777" w:rsidR="00E82AF4" w:rsidRDefault="005B2E6A">
      <w:pPr>
        <w:pStyle w:val="HD0"/>
        <w:adjustRightInd w:val="0"/>
        <w:ind w:firstLine="480"/>
        <w:rPr>
          <w:rFonts w:ascii="宋体" w:hAnsi="宋体"/>
          <w:sz w:val="24"/>
          <w:szCs w:val="24"/>
        </w:rPr>
      </w:pPr>
      <w:r>
        <w:rPr>
          <w:rFonts w:ascii="宋体" w:hAnsi="宋体" w:hint="eastAsia"/>
          <w:sz w:val="24"/>
        </w:rPr>
        <w:t>（</w:t>
      </w:r>
      <w:r>
        <w:rPr>
          <w:rFonts w:ascii="宋体" w:hAnsi="宋体" w:hint="eastAsia"/>
          <w:sz w:val="24"/>
          <w:szCs w:val="24"/>
        </w:rPr>
        <w:t>十三）清算报告</w:t>
      </w:r>
    </w:p>
    <w:p w14:paraId="6B0A8B58" w14:textId="77777777" w:rsidR="00E82AF4" w:rsidRDefault="005B2E6A">
      <w:pPr>
        <w:pStyle w:val="HD0"/>
        <w:adjustRightInd w:val="0"/>
        <w:ind w:firstLine="480"/>
        <w:rPr>
          <w:rFonts w:ascii="宋体" w:hAnsi="宋体"/>
          <w:sz w:val="24"/>
          <w:szCs w:val="24"/>
        </w:rPr>
      </w:pPr>
      <w:r>
        <w:rPr>
          <w:rFonts w:ascii="宋体" w:hAnsi="宋体" w:hint="eastAsia"/>
          <w:sz w:val="24"/>
          <w:szCs w:val="24"/>
        </w:rPr>
        <w:t>基金合同终止的，</w:t>
      </w:r>
      <w:r>
        <w:rPr>
          <w:rFonts w:ascii="宋体" w:hAnsi="宋体" w:hint="eastAsia"/>
          <w:sz w:val="24"/>
        </w:rPr>
        <w:t>基金管理人应当</w:t>
      </w:r>
      <w:r>
        <w:rPr>
          <w:rFonts w:ascii="宋体" w:hAnsi="宋体" w:hint="eastAsia"/>
          <w:sz w:val="24"/>
          <w:szCs w:val="24"/>
        </w:rPr>
        <w:t>依法组织</w:t>
      </w:r>
      <w:r>
        <w:rPr>
          <w:rFonts w:ascii="宋体" w:hAnsi="宋体" w:hint="eastAsia"/>
          <w:sz w:val="24"/>
        </w:rPr>
        <w:t>基金</w:t>
      </w:r>
      <w:r>
        <w:rPr>
          <w:rFonts w:ascii="宋体" w:hAnsi="宋体" w:hint="eastAsia"/>
          <w:sz w:val="24"/>
          <w:szCs w:val="24"/>
        </w:rPr>
        <w:t>财产清算小组对</w:t>
      </w:r>
      <w:r>
        <w:rPr>
          <w:rFonts w:ascii="宋体" w:hAnsi="宋体" w:hint="eastAsia"/>
          <w:sz w:val="24"/>
        </w:rPr>
        <w:t>基金</w:t>
      </w:r>
      <w:r>
        <w:rPr>
          <w:rFonts w:ascii="宋体" w:hAnsi="宋体" w:hint="eastAsia"/>
          <w:sz w:val="24"/>
          <w:szCs w:val="24"/>
        </w:rPr>
        <w:t>财产进行清算并作出清算</w:t>
      </w:r>
      <w:r>
        <w:rPr>
          <w:rFonts w:ascii="宋体" w:hAnsi="宋体" w:hint="eastAsia"/>
          <w:sz w:val="24"/>
        </w:rPr>
        <w:t>报告</w:t>
      </w:r>
      <w:r>
        <w:rPr>
          <w:rFonts w:ascii="宋体" w:hAnsi="宋体" w:hint="eastAsia"/>
          <w:sz w:val="24"/>
          <w:szCs w:val="24"/>
        </w:rPr>
        <w:t>。</w:t>
      </w:r>
      <w:r>
        <w:rPr>
          <w:rFonts w:ascii="宋体" w:hAnsi="宋体" w:hint="eastAsia"/>
          <w:sz w:val="24"/>
        </w:rPr>
        <w:t>基金</w:t>
      </w:r>
      <w:r>
        <w:rPr>
          <w:rFonts w:ascii="宋体" w:hAnsi="宋体" w:hint="eastAsia"/>
          <w:sz w:val="24"/>
          <w:szCs w:val="24"/>
        </w:rPr>
        <w:t>财产清算小组应当将清算</w:t>
      </w:r>
      <w:r>
        <w:rPr>
          <w:rFonts w:ascii="宋体" w:hAnsi="宋体" w:hint="eastAsia"/>
          <w:sz w:val="24"/>
        </w:rPr>
        <w:t>报告</w:t>
      </w:r>
      <w:r>
        <w:rPr>
          <w:rFonts w:ascii="宋体" w:hAnsi="宋体" w:hint="eastAsia"/>
          <w:sz w:val="24"/>
          <w:szCs w:val="24"/>
        </w:rPr>
        <w:t>登载在规定网站上，并将清算</w:t>
      </w:r>
      <w:r>
        <w:rPr>
          <w:rFonts w:ascii="宋体" w:hAnsi="宋体" w:hint="eastAsia"/>
          <w:sz w:val="24"/>
        </w:rPr>
        <w:t>报告</w:t>
      </w:r>
      <w:r>
        <w:rPr>
          <w:rFonts w:ascii="宋体" w:hAnsi="宋体" w:hint="eastAsia"/>
          <w:sz w:val="24"/>
          <w:szCs w:val="24"/>
        </w:rPr>
        <w:t>提示性公告登载在规定报刊上。</w:t>
      </w:r>
    </w:p>
    <w:p w14:paraId="55B0BBE7" w14:textId="77777777" w:rsidR="00E82AF4" w:rsidRDefault="005B2E6A">
      <w:pPr>
        <w:pStyle w:val="HD0"/>
        <w:adjustRightInd w:val="0"/>
        <w:ind w:firstLine="480"/>
        <w:rPr>
          <w:rFonts w:ascii="宋体" w:hAnsi="宋体"/>
          <w:bCs/>
          <w:sz w:val="24"/>
          <w:szCs w:val="24"/>
        </w:rPr>
      </w:pPr>
      <w:r>
        <w:rPr>
          <w:rFonts w:ascii="宋体" w:hAnsi="宋体" w:hint="eastAsia"/>
          <w:sz w:val="24"/>
          <w:szCs w:val="24"/>
        </w:rPr>
        <w:t>（十四）</w:t>
      </w:r>
      <w:r>
        <w:rPr>
          <w:rFonts w:ascii="宋体" w:hAnsi="宋体" w:hint="eastAsia"/>
          <w:bCs/>
          <w:sz w:val="24"/>
          <w:szCs w:val="24"/>
        </w:rPr>
        <w:t>投资股指期货相关公告</w:t>
      </w:r>
    </w:p>
    <w:p w14:paraId="5FA31A98" w14:textId="77777777" w:rsidR="00E82AF4" w:rsidRDefault="005B2E6A">
      <w:pPr>
        <w:pStyle w:val="HD0"/>
        <w:adjustRightInd w:val="0"/>
        <w:ind w:firstLine="480"/>
        <w:rPr>
          <w:rFonts w:ascii="宋体" w:hAnsi="宋体"/>
          <w:sz w:val="24"/>
        </w:rPr>
      </w:pPr>
      <w:r>
        <w:rPr>
          <w:rFonts w:ascii="宋体" w:hAnsi="宋体" w:hint="eastAsia"/>
          <w:bCs/>
          <w:sz w:val="24"/>
          <w:szCs w:val="24"/>
        </w:rPr>
        <w:t>本基金投资股指期货</w:t>
      </w:r>
      <w:r>
        <w:rPr>
          <w:rFonts w:ascii="宋体" w:hAnsi="宋体" w:hint="eastAsia"/>
          <w:sz w:val="24"/>
        </w:rPr>
        <w:t>的</w:t>
      </w:r>
      <w:r>
        <w:rPr>
          <w:rFonts w:ascii="宋体" w:hAnsi="宋体" w:hint="eastAsia"/>
          <w:bCs/>
          <w:sz w:val="24"/>
          <w:szCs w:val="24"/>
        </w:rPr>
        <w:t>，</w:t>
      </w:r>
      <w:r>
        <w:rPr>
          <w:rFonts w:ascii="宋体" w:hAnsi="宋体" w:hint="eastAsia"/>
          <w:sz w:val="24"/>
        </w:rPr>
        <w:t>基金管理人应</w:t>
      </w:r>
      <w:r>
        <w:rPr>
          <w:rFonts w:ascii="宋体" w:hAnsi="宋体" w:hint="eastAsia"/>
          <w:bCs/>
          <w:sz w:val="24"/>
          <w:szCs w:val="24"/>
        </w:rPr>
        <w:t>在</w:t>
      </w:r>
      <w:r>
        <w:rPr>
          <w:rFonts w:ascii="宋体" w:hAnsi="宋体" w:hint="eastAsia"/>
          <w:sz w:val="24"/>
        </w:rPr>
        <w:t>季度报告、中期报告、年度报告等定期报告和招募说明书（更新）等文件中披露股指期货交易情况，包括交易政策、持仓情况、损益情况、风险指标等，并充分揭示股指期货交易对基金总体风险的影响以及是否符合既定的交易政策和交易目标等。</w:t>
      </w:r>
    </w:p>
    <w:p w14:paraId="7F00E30A"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（十五）投资国债期货相关公告</w:t>
      </w:r>
    </w:p>
    <w:p w14:paraId="03E85C79"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本基金投资国债期货的，在季度报告、中期报告、年度报告等定期报告和招募说明书（更新）等文件中披露国债期货交易情况，包括交易政策、持仓情况、损益情况、风险指标等，并充分揭示国债期货交易对基金总体风险的影响以及是否符合既定的交易政策和交易目标等。</w:t>
      </w:r>
    </w:p>
    <w:p w14:paraId="0F679B67"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（十六）投资资产支持证券相关公告</w:t>
      </w:r>
    </w:p>
    <w:p w14:paraId="5FDB2404"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本基金投资资产支持证券的</w:t>
      </w:r>
      <w:r>
        <w:rPr>
          <w:rFonts w:ascii="宋体" w:hAnsi="宋体" w:hint="eastAsia"/>
          <w:sz w:val="24"/>
        </w:rPr>
        <w:t>，基金管理人应在基金年度报告及中期报告中披露其持有的资产支持证券总额、资产支持证券市值占基金净资产的比例和报告期内所有的资产支持证券明细。</w:t>
      </w:r>
    </w:p>
    <w:p w14:paraId="0A9A9864" w14:textId="77777777" w:rsidR="00E82AF4" w:rsidRDefault="005B2E6A">
      <w:pPr>
        <w:pStyle w:val="HD0"/>
        <w:adjustRightInd w:val="0"/>
        <w:ind w:firstLine="480"/>
        <w:rPr>
          <w:rFonts w:ascii="宋体" w:hAnsi="宋体"/>
          <w:sz w:val="24"/>
        </w:rPr>
      </w:pPr>
      <w:r>
        <w:rPr>
          <w:rFonts w:ascii="宋体" w:hAnsi="宋体" w:hint="eastAsia"/>
          <w:sz w:val="24"/>
        </w:rPr>
        <w:t>基金管理人应在基金季度报告中披露其持有的资产支持证券总额、资产支持证券市值占基金净资产的比例和报告期末按市值占基金净资产比例大小排序的前10名资产支持证券明细。</w:t>
      </w:r>
    </w:p>
    <w:p w14:paraId="234DECF9" w14:textId="77777777" w:rsidR="00E82AF4" w:rsidRDefault="005B2E6A">
      <w:pPr>
        <w:pStyle w:val="HD0"/>
        <w:adjustRightInd w:val="0"/>
        <w:ind w:firstLine="480"/>
        <w:rPr>
          <w:rFonts w:ascii="宋体" w:hAnsi="宋体"/>
          <w:bCs/>
          <w:sz w:val="24"/>
          <w:szCs w:val="24"/>
        </w:rPr>
      </w:pPr>
      <w:r>
        <w:rPr>
          <w:rFonts w:ascii="宋体" w:hAnsi="宋体" w:hint="eastAsia"/>
          <w:sz w:val="24"/>
        </w:rPr>
        <w:t>（</w:t>
      </w:r>
      <w:r>
        <w:rPr>
          <w:rFonts w:ascii="宋体" w:hAnsi="宋体" w:hint="eastAsia"/>
          <w:bCs/>
          <w:sz w:val="24"/>
          <w:szCs w:val="24"/>
        </w:rPr>
        <w:t>十七）投资股票期权相关公告</w:t>
      </w:r>
    </w:p>
    <w:p w14:paraId="2D346142" w14:textId="77777777" w:rsidR="00E82AF4" w:rsidRDefault="005B2E6A">
      <w:pPr>
        <w:pStyle w:val="HD0"/>
        <w:adjustRightInd w:val="0"/>
        <w:ind w:firstLine="480"/>
        <w:rPr>
          <w:rFonts w:ascii="宋体" w:hAnsi="宋体"/>
          <w:bCs/>
          <w:sz w:val="24"/>
          <w:szCs w:val="24"/>
        </w:rPr>
      </w:pPr>
      <w:r>
        <w:rPr>
          <w:rFonts w:ascii="宋体" w:hAnsi="宋体" w:hint="eastAsia"/>
          <w:sz w:val="24"/>
        </w:rPr>
        <w:t>本基金投资股票期权的，基金</w:t>
      </w:r>
      <w:r>
        <w:rPr>
          <w:rFonts w:ascii="宋体" w:hAnsi="宋体"/>
          <w:bCs/>
          <w:sz w:val="24"/>
          <w:szCs w:val="24"/>
        </w:rPr>
        <w:t>管理人应在定期信息披露文件中披露参与</w:t>
      </w:r>
      <w:r>
        <w:rPr>
          <w:rFonts w:ascii="宋体" w:hAnsi="宋体" w:hint="eastAsia"/>
          <w:bCs/>
          <w:sz w:val="24"/>
          <w:szCs w:val="24"/>
        </w:rPr>
        <w:t>股票</w:t>
      </w:r>
      <w:r>
        <w:rPr>
          <w:rFonts w:ascii="宋体" w:hAnsi="宋体"/>
          <w:bCs/>
          <w:sz w:val="24"/>
          <w:szCs w:val="24"/>
        </w:rPr>
        <w:t>期权交易的有关情况，包括投资政策、持仓情况、损益情况、风险指标、估值方法等，并充分揭示</w:t>
      </w:r>
      <w:r>
        <w:rPr>
          <w:rFonts w:ascii="宋体" w:hAnsi="宋体" w:hint="eastAsia"/>
          <w:bCs/>
          <w:sz w:val="24"/>
          <w:szCs w:val="24"/>
        </w:rPr>
        <w:t>股票</w:t>
      </w:r>
      <w:r>
        <w:rPr>
          <w:rFonts w:ascii="宋体" w:hAnsi="宋体"/>
          <w:bCs/>
          <w:sz w:val="24"/>
          <w:szCs w:val="24"/>
        </w:rPr>
        <w:t>期权交易对基金总体风险的影响以及是否符合既定的投资政策和投资目标。</w:t>
      </w:r>
    </w:p>
    <w:p w14:paraId="6E530C39" w14:textId="77777777" w:rsidR="00E82AF4" w:rsidRDefault="005B2E6A">
      <w:pPr>
        <w:pStyle w:val="HD0"/>
        <w:adjustRightInd w:val="0"/>
        <w:ind w:firstLine="480"/>
        <w:rPr>
          <w:rFonts w:ascii="宋体" w:hAnsi="宋体"/>
          <w:bCs/>
          <w:sz w:val="24"/>
          <w:szCs w:val="24"/>
        </w:rPr>
      </w:pPr>
      <w:r>
        <w:rPr>
          <w:rFonts w:ascii="宋体" w:hAnsi="宋体" w:hint="eastAsia"/>
          <w:bCs/>
          <w:sz w:val="24"/>
          <w:szCs w:val="24"/>
        </w:rPr>
        <w:t>（十八）</w:t>
      </w:r>
      <w:r>
        <w:rPr>
          <w:rFonts w:ascii="宋体" w:hAnsi="宋体"/>
          <w:bCs/>
          <w:sz w:val="24"/>
          <w:szCs w:val="24"/>
        </w:rPr>
        <w:t>参与融资</w:t>
      </w:r>
      <w:r>
        <w:rPr>
          <w:rFonts w:ascii="宋体" w:hAnsi="宋体" w:hint="eastAsia"/>
          <w:bCs/>
          <w:sz w:val="24"/>
          <w:szCs w:val="24"/>
        </w:rPr>
        <w:t>、</w:t>
      </w:r>
      <w:r>
        <w:rPr>
          <w:rFonts w:ascii="宋体" w:hAnsi="宋体"/>
          <w:bCs/>
          <w:sz w:val="24"/>
          <w:szCs w:val="24"/>
        </w:rPr>
        <w:t>转融通证券出借</w:t>
      </w:r>
      <w:r>
        <w:rPr>
          <w:rFonts w:ascii="宋体" w:hAnsi="宋体" w:hint="eastAsia"/>
          <w:bCs/>
          <w:sz w:val="24"/>
          <w:szCs w:val="24"/>
        </w:rPr>
        <w:t>业务的</w:t>
      </w:r>
      <w:r>
        <w:rPr>
          <w:rFonts w:ascii="宋体" w:hAnsi="宋体"/>
          <w:bCs/>
          <w:sz w:val="24"/>
          <w:szCs w:val="24"/>
        </w:rPr>
        <w:t>信息披露</w:t>
      </w:r>
    </w:p>
    <w:p w14:paraId="5DE26DE9" w14:textId="77777777" w:rsidR="00E82AF4" w:rsidRDefault="005B2E6A">
      <w:pPr>
        <w:pStyle w:val="HD0"/>
        <w:adjustRightInd w:val="0"/>
        <w:ind w:firstLine="480"/>
        <w:rPr>
          <w:rFonts w:ascii="宋体" w:hAnsi="宋体"/>
          <w:sz w:val="24"/>
        </w:rPr>
      </w:pPr>
      <w:r>
        <w:rPr>
          <w:rFonts w:ascii="宋体" w:hAnsi="宋体" w:hint="eastAsia"/>
          <w:bCs/>
          <w:sz w:val="24"/>
          <w:szCs w:val="24"/>
        </w:rPr>
        <w:lastRenderedPageBreak/>
        <w:t>本基金参与融资及转融通证券出借业务的，基金管理人</w:t>
      </w:r>
      <w:r>
        <w:rPr>
          <w:rFonts w:ascii="宋体" w:hAnsi="宋体" w:hint="eastAsia"/>
          <w:sz w:val="24"/>
        </w:rPr>
        <w:t>应当在季度报告、中期报告</w:t>
      </w:r>
      <w:r>
        <w:rPr>
          <w:rFonts w:ascii="宋体" w:hAnsi="宋体" w:hint="eastAsia"/>
          <w:bCs/>
          <w:sz w:val="24"/>
          <w:szCs w:val="24"/>
        </w:rPr>
        <w:t>和</w:t>
      </w:r>
      <w:r>
        <w:rPr>
          <w:rFonts w:ascii="宋体" w:hAnsi="宋体" w:hint="eastAsia"/>
          <w:sz w:val="24"/>
        </w:rPr>
        <w:t>年度报告等定期报告和招募说明书（更新）等文件中披露</w:t>
      </w:r>
      <w:r>
        <w:rPr>
          <w:rFonts w:ascii="宋体" w:hAnsi="宋体" w:hint="eastAsia"/>
          <w:bCs/>
          <w:sz w:val="24"/>
          <w:szCs w:val="24"/>
        </w:rPr>
        <w:t>参与融资及转融通证券出借交易情况，并就报告期内本基金参与转融通证券出借业务发生的重大关联交易事项做详细说明。</w:t>
      </w:r>
    </w:p>
    <w:p w14:paraId="71009560" w14:textId="45D7B912" w:rsidR="00E82AF4" w:rsidRDefault="005B2E6A">
      <w:pPr>
        <w:pStyle w:val="HD0"/>
        <w:ind w:firstLine="480"/>
        <w:rPr>
          <w:rFonts w:ascii="宋体" w:hAnsi="宋体"/>
          <w:bCs/>
          <w:sz w:val="24"/>
          <w:szCs w:val="24"/>
        </w:rPr>
      </w:pPr>
      <w:r>
        <w:rPr>
          <w:rFonts w:ascii="宋体" w:hAnsi="宋体" w:hint="eastAsia"/>
          <w:sz w:val="24"/>
        </w:rPr>
        <w:t>（</w:t>
      </w:r>
      <w:r>
        <w:rPr>
          <w:rFonts w:ascii="宋体" w:hAnsi="宋体" w:hint="eastAsia"/>
          <w:bCs/>
          <w:sz w:val="24"/>
          <w:szCs w:val="24"/>
        </w:rPr>
        <w:t>十九</w:t>
      </w:r>
      <w:r>
        <w:rPr>
          <w:rFonts w:ascii="宋体" w:hAnsi="宋体" w:hint="eastAsia"/>
          <w:sz w:val="24"/>
        </w:rPr>
        <w:t>）</w:t>
      </w:r>
      <w:r>
        <w:rPr>
          <w:rFonts w:ascii="宋体" w:hAnsi="宋体"/>
          <w:bCs/>
          <w:sz w:val="24"/>
          <w:szCs w:val="24"/>
        </w:rPr>
        <w:t>投资</w:t>
      </w:r>
      <w:r>
        <w:rPr>
          <w:rFonts w:ascii="宋体" w:hAnsi="宋体" w:hint="eastAsia"/>
          <w:bCs/>
          <w:sz w:val="24"/>
          <w:szCs w:val="24"/>
        </w:rPr>
        <w:t>非公开发行股票</w:t>
      </w:r>
      <w:r>
        <w:rPr>
          <w:rFonts w:ascii="宋体" w:hAnsi="宋体"/>
          <w:bCs/>
          <w:sz w:val="24"/>
          <w:szCs w:val="24"/>
        </w:rPr>
        <w:t>的相关公告</w:t>
      </w:r>
    </w:p>
    <w:p w14:paraId="1A9D6066" w14:textId="77777777" w:rsidR="00E82AF4" w:rsidRDefault="005B2E6A">
      <w:pPr>
        <w:pStyle w:val="HD0"/>
        <w:ind w:firstLine="480"/>
        <w:rPr>
          <w:rFonts w:ascii="宋体" w:hAnsi="宋体"/>
          <w:bCs/>
          <w:sz w:val="24"/>
          <w:szCs w:val="24"/>
        </w:rPr>
      </w:pPr>
      <w:r>
        <w:rPr>
          <w:rFonts w:ascii="宋体" w:hAnsi="宋体" w:hint="eastAsia"/>
          <w:bCs/>
          <w:sz w:val="24"/>
          <w:szCs w:val="24"/>
        </w:rPr>
        <w:t>本基金</w:t>
      </w:r>
      <w:r>
        <w:rPr>
          <w:rFonts w:ascii="宋体" w:hAnsi="宋体"/>
          <w:bCs/>
          <w:sz w:val="24"/>
          <w:szCs w:val="24"/>
        </w:rPr>
        <w:t>投资流通受限证券的，基金管理</w:t>
      </w:r>
      <w:r>
        <w:rPr>
          <w:rFonts w:ascii="宋体" w:hAnsi="宋体" w:hint="eastAsia"/>
          <w:bCs/>
          <w:sz w:val="24"/>
          <w:szCs w:val="24"/>
        </w:rPr>
        <w:t>人</w:t>
      </w:r>
      <w:r>
        <w:rPr>
          <w:rFonts w:ascii="宋体" w:hAnsi="宋体"/>
          <w:bCs/>
          <w:sz w:val="24"/>
          <w:szCs w:val="24"/>
        </w:rPr>
        <w:t>应在本基金投资非公开发行股票后两个交易日内，在中国证监会规定媒介披露所投资非公开发行股票的名称、数量、总成本、账面价值，以及总成本和账面价值占基金资产净值的比例、锁定期等信息。</w:t>
      </w:r>
    </w:p>
    <w:p w14:paraId="52DB9B5A" w14:textId="77777777" w:rsidR="00E82AF4" w:rsidRDefault="005B2E6A">
      <w:pPr>
        <w:pStyle w:val="HD0"/>
        <w:adjustRightInd w:val="0"/>
        <w:ind w:firstLine="480"/>
        <w:rPr>
          <w:rFonts w:ascii="宋体" w:hAnsi="宋体"/>
          <w:sz w:val="24"/>
        </w:rPr>
      </w:pPr>
      <w:r>
        <w:rPr>
          <w:rFonts w:ascii="宋体" w:hAnsi="宋体" w:hint="eastAsia"/>
          <w:bCs/>
          <w:sz w:val="24"/>
          <w:szCs w:val="24"/>
        </w:rPr>
        <w:t>（二十）</w:t>
      </w:r>
      <w:r>
        <w:rPr>
          <w:rFonts w:ascii="宋体" w:hAnsi="宋体" w:hint="eastAsia"/>
          <w:sz w:val="24"/>
        </w:rPr>
        <w:t>中国证监会规定的其他信息。</w:t>
      </w:r>
    </w:p>
    <w:p w14:paraId="1CEC9C79" w14:textId="77777777" w:rsidR="00E82AF4" w:rsidRDefault="005B2E6A">
      <w:pPr>
        <w:pStyle w:val="HD0"/>
        <w:adjustRightInd w:val="0"/>
        <w:ind w:firstLine="480"/>
        <w:rPr>
          <w:rFonts w:ascii="宋体" w:hAnsi="宋体"/>
          <w:sz w:val="24"/>
        </w:rPr>
      </w:pPr>
      <w:r>
        <w:rPr>
          <w:rFonts w:ascii="宋体" w:hAnsi="宋体" w:hint="eastAsia"/>
          <w:sz w:val="24"/>
        </w:rPr>
        <w:t>六、信息披露事务管理</w:t>
      </w:r>
    </w:p>
    <w:p w14:paraId="5D21E415" w14:textId="77777777" w:rsidR="00E82AF4" w:rsidRDefault="005B2E6A">
      <w:pPr>
        <w:pStyle w:val="HD0"/>
        <w:adjustRightInd w:val="0"/>
        <w:ind w:firstLine="480"/>
        <w:rPr>
          <w:rFonts w:ascii="宋体" w:hAnsi="宋体"/>
          <w:sz w:val="24"/>
        </w:rPr>
      </w:pPr>
      <w:r>
        <w:rPr>
          <w:rFonts w:ascii="宋体" w:hAnsi="宋体" w:hint="eastAsia"/>
          <w:sz w:val="24"/>
        </w:rPr>
        <w:t>基金管理人、基金托管人应当建立健全信息披露管理制度，指定</w:t>
      </w:r>
      <w:r>
        <w:rPr>
          <w:rFonts w:hint="eastAsia"/>
          <w:bCs/>
          <w:sz w:val="24"/>
        </w:rPr>
        <w:t>专门部门及高级管理人员</w:t>
      </w:r>
      <w:r>
        <w:rPr>
          <w:rFonts w:ascii="宋体" w:hAnsi="宋体" w:hint="eastAsia"/>
          <w:sz w:val="24"/>
        </w:rPr>
        <w:t>负责管理信息披露事务。</w:t>
      </w:r>
    </w:p>
    <w:p w14:paraId="49CA7DBB" w14:textId="77777777" w:rsidR="00E82AF4" w:rsidRDefault="005B2E6A">
      <w:pPr>
        <w:pStyle w:val="HD0"/>
        <w:adjustRightInd w:val="0"/>
        <w:ind w:firstLine="480"/>
        <w:rPr>
          <w:rFonts w:ascii="宋体" w:hAnsi="宋体"/>
          <w:sz w:val="24"/>
        </w:rPr>
      </w:pPr>
      <w:r>
        <w:rPr>
          <w:rFonts w:ascii="宋体" w:hAnsi="宋体" w:hint="eastAsia"/>
          <w:sz w:val="24"/>
        </w:rPr>
        <w:t>基金信息披露义务人公开披露基金信息，应当符合中国证监会相关基金信息披露内容与格式准则</w:t>
      </w:r>
      <w:r>
        <w:rPr>
          <w:rFonts w:ascii="宋体" w:hAnsi="宋体" w:hint="eastAsia"/>
          <w:bCs/>
          <w:sz w:val="24"/>
          <w:szCs w:val="24"/>
        </w:rPr>
        <w:t>等法律</w:t>
      </w:r>
      <w:r>
        <w:rPr>
          <w:rFonts w:ascii="宋体" w:hAnsi="宋体"/>
          <w:bCs/>
          <w:sz w:val="24"/>
          <w:szCs w:val="24"/>
        </w:rPr>
        <w:t>法规</w:t>
      </w:r>
      <w:r>
        <w:rPr>
          <w:rFonts w:ascii="宋体" w:hAnsi="宋体" w:hint="eastAsia"/>
          <w:bCs/>
          <w:sz w:val="24"/>
          <w:szCs w:val="24"/>
        </w:rPr>
        <w:t>及证券交易所的自律管理规则</w:t>
      </w:r>
      <w:r>
        <w:rPr>
          <w:rFonts w:ascii="宋体" w:hAnsi="宋体" w:hint="eastAsia"/>
          <w:sz w:val="24"/>
        </w:rPr>
        <w:t>的规定。</w:t>
      </w:r>
    </w:p>
    <w:p w14:paraId="311C95CF" w14:textId="77777777" w:rsidR="00E82AF4" w:rsidRDefault="005B2E6A">
      <w:pPr>
        <w:pStyle w:val="HD0"/>
        <w:adjustRightInd w:val="0"/>
        <w:ind w:firstLine="480"/>
        <w:rPr>
          <w:rFonts w:ascii="宋体" w:hAnsi="宋体"/>
          <w:sz w:val="24"/>
        </w:rPr>
      </w:pPr>
      <w:r>
        <w:rPr>
          <w:rFonts w:ascii="宋体" w:hAnsi="宋体" w:hint="eastAsia"/>
          <w:sz w:val="24"/>
        </w:rPr>
        <w:t>基金托管人应当按照相关法律法规、中国证监会的规定和基金合同的约定，对基金管理人编制的基金净值信息、基金定期报告、更新的招募说明书、基金产品资料概要、基金清算报告等公开披露的相关基金信息进行复核、审查，并向基金管理人进行书面或电子确认。</w:t>
      </w:r>
    </w:p>
    <w:p w14:paraId="6479A5FF" w14:textId="3D791395" w:rsidR="00E82AF4" w:rsidRDefault="005B2E6A" w:rsidP="00727337">
      <w:pPr>
        <w:pStyle w:val="HD0"/>
        <w:adjustRightInd w:val="0"/>
        <w:ind w:firstLine="480"/>
        <w:rPr>
          <w:rFonts w:ascii="宋体" w:hAnsi="宋体"/>
          <w:sz w:val="24"/>
        </w:rPr>
      </w:pPr>
      <w:r>
        <w:rPr>
          <w:rFonts w:ascii="宋体" w:hAnsi="宋体" w:hint="eastAsia"/>
          <w:sz w:val="24"/>
        </w:rPr>
        <w:t>基金管理人在信息披露时，应说明基金托管人所复核的数据和信息。对于基金托管人复核结果与基金管理人无法达成一致的，基金管理人应按照有关法律法规进行信息披露。</w:t>
      </w:r>
    </w:p>
    <w:p w14:paraId="6B6B3281" w14:textId="77777777" w:rsidR="00E82AF4" w:rsidRDefault="005B2E6A">
      <w:pPr>
        <w:pStyle w:val="HD0"/>
        <w:adjustRightInd w:val="0"/>
        <w:ind w:firstLine="480"/>
        <w:rPr>
          <w:bCs/>
          <w:sz w:val="24"/>
        </w:rPr>
      </w:pPr>
      <w:r>
        <w:rPr>
          <w:rFonts w:ascii="宋体" w:hAnsi="宋体" w:hint="eastAsia"/>
          <w:sz w:val="24"/>
        </w:rPr>
        <w:t>基金管理人、基金托管人应当在规定报刊中选择一家报刊披露本基金信息。</w:t>
      </w:r>
      <w:r>
        <w:rPr>
          <w:rFonts w:hint="eastAsia"/>
          <w:bCs/>
          <w:sz w:val="24"/>
        </w:rPr>
        <w:t>基金管理人、基金托管人应当向中国证监会基金电子披露网站报送拟披露的基金信息，并保证相关报送信息的真实、准确、完整、及时。</w:t>
      </w:r>
    </w:p>
    <w:p w14:paraId="33647F96" w14:textId="77777777" w:rsidR="00E82AF4" w:rsidRDefault="005B2E6A">
      <w:pPr>
        <w:pStyle w:val="HD0"/>
        <w:adjustRightInd w:val="0"/>
        <w:ind w:firstLine="480"/>
        <w:rPr>
          <w:rFonts w:ascii="宋体" w:hAnsi="宋体"/>
          <w:sz w:val="24"/>
        </w:rPr>
      </w:pPr>
      <w:r>
        <w:rPr>
          <w:rFonts w:ascii="宋体" w:hAnsi="宋体" w:hint="eastAsia"/>
          <w:sz w:val="24"/>
        </w:rPr>
        <w:t>基金管理人、基金托管人除依法在规定媒介上披露信息外，还可以根据需要在其他公共媒介披露信息，但是其他公共媒介不得早于规定媒介和深圳证券交易所网站披露信息，并且在不同媒介上披露同一信息的内容应当一致。</w:t>
      </w:r>
    </w:p>
    <w:p w14:paraId="5712A1C9" w14:textId="77777777" w:rsidR="00E82AF4" w:rsidRDefault="005B2E6A">
      <w:pPr>
        <w:pStyle w:val="HD0"/>
        <w:adjustRightInd w:val="0"/>
        <w:ind w:firstLine="480"/>
        <w:rPr>
          <w:rFonts w:ascii="宋体" w:hAnsi="宋体"/>
          <w:sz w:val="24"/>
        </w:rPr>
      </w:pPr>
      <w:r>
        <w:rPr>
          <w:rFonts w:ascii="宋体" w:hAnsi="宋体" w:hint="eastAsia"/>
          <w:sz w:val="24"/>
        </w:rPr>
        <w:t>基金管理人、基金托管人除按法律法规要求披露信息外，也可着眼于为投资者决策提供有用信息的角度，在保证公平对待投资者、不误导投资者、不影响基</w:t>
      </w:r>
      <w:r>
        <w:rPr>
          <w:rFonts w:ascii="宋体" w:hAnsi="宋体" w:hint="eastAsia"/>
          <w:sz w:val="24"/>
        </w:rPr>
        <w:lastRenderedPageBreak/>
        <w:t>金正常投资操作的前提下，自主提升信息披露服务的质量。具体要求应当符合中国证监会及自律规则的相关规定。前述自主披露如产生信息披露费用，该费用不得从基金财产中列支。</w:t>
      </w:r>
    </w:p>
    <w:p w14:paraId="0B224616" w14:textId="77777777" w:rsidR="00E82AF4" w:rsidRDefault="005B2E6A">
      <w:pPr>
        <w:pStyle w:val="HD0"/>
        <w:adjustRightInd w:val="0"/>
        <w:ind w:firstLine="480"/>
        <w:rPr>
          <w:rFonts w:ascii="宋体" w:hAnsi="宋体"/>
          <w:sz w:val="24"/>
        </w:rPr>
      </w:pPr>
      <w:r>
        <w:rPr>
          <w:rFonts w:ascii="宋体" w:hAnsi="宋体" w:hint="eastAsia"/>
          <w:sz w:val="24"/>
        </w:rPr>
        <w:t>为基金信息披露义务人公开披露的基金信息出具审计报告、法律意见书的专业机构，应当制作工作底稿，并将相关档案至少保存到</w:t>
      </w:r>
      <w:r>
        <w:rPr>
          <w:rFonts w:ascii="宋体" w:hAnsi="宋体" w:hint="eastAsia"/>
          <w:sz w:val="24"/>
          <w:szCs w:val="24"/>
        </w:rPr>
        <w:t>基金合同</w:t>
      </w:r>
      <w:r>
        <w:rPr>
          <w:rFonts w:ascii="宋体" w:hAnsi="宋体" w:hint="eastAsia"/>
          <w:sz w:val="24"/>
        </w:rPr>
        <w:t>终止</w:t>
      </w:r>
      <w:r>
        <w:rPr>
          <w:rFonts w:ascii="宋体" w:hAnsi="宋体" w:hint="eastAsia"/>
          <w:sz w:val="24"/>
          <w:szCs w:val="24"/>
        </w:rPr>
        <w:t>后10年</w:t>
      </w:r>
      <w:r>
        <w:rPr>
          <w:rFonts w:ascii="宋体" w:hAnsi="宋体" w:hint="eastAsia"/>
          <w:sz w:val="24"/>
        </w:rPr>
        <w:t>。</w:t>
      </w:r>
    </w:p>
    <w:p w14:paraId="58D17C1D" w14:textId="77777777" w:rsidR="00E82AF4" w:rsidRDefault="005B2E6A">
      <w:pPr>
        <w:pStyle w:val="HD0"/>
        <w:adjustRightInd w:val="0"/>
        <w:ind w:firstLine="480"/>
        <w:rPr>
          <w:rFonts w:ascii="宋体" w:hAnsi="宋体"/>
          <w:sz w:val="24"/>
        </w:rPr>
      </w:pPr>
      <w:r>
        <w:rPr>
          <w:rFonts w:ascii="宋体" w:hAnsi="宋体" w:hint="eastAsia"/>
          <w:sz w:val="24"/>
        </w:rPr>
        <w:t>七、信息披露文件的存放与查阅</w:t>
      </w:r>
    </w:p>
    <w:p w14:paraId="7BA37986" w14:textId="77777777" w:rsidR="00E82AF4" w:rsidRDefault="005B2E6A">
      <w:pPr>
        <w:pStyle w:val="HD0"/>
        <w:adjustRightInd w:val="0"/>
        <w:ind w:firstLine="480"/>
        <w:rPr>
          <w:rFonts w:ascii="宋体" w:hAnsi="宋体"/>
          <w:sz w:val="24"/>
        </w:rPr>
      </w:pPr>
      <w:r>
        <w:rPr>
          <w:rFonts w:hint="eastAsia"/>
          <w:bCs/>
          <w:sz w:val="24"/>
        </w:rPr>
        <w:t>依法必须披露的信息发布后，基金管理人、基金托管人应当按照相关法律法规规定将信息置备于</w:t>
      </w:r>
      <w:r>
        <w:rPr>
          <w:rFonts w:hint="eastAsia"/>
          <w:sz w:val="24"/>
        </w:rPr>
        <w:t>各自</w:t>
      </w:r>
      <w:r>
        <w:rPr>
          <w:rFonts w:hint="eastAsia"/>
          <w:bCs/>
          <w:sz w:val="24"/>
        </w:rPr>
        <w:t>住所和深圳</w:t>
      </w:r>
      <w:r>
        <w:rPr>
          <w:rFonts w:ascii="宋体" w:hAnsi="宋体" w:hint="eastAsia"/>
          <w:bCs/>
          <w:sz w:val="24"/>
          <w:szCs w:val="24"/>
        </w:rPr>
        <w:t>证券</w:t>
      </w:r>
      <w:r>
        <w:rPr>
          <w:rFonts w:hint="eastAsia"/>
          <w:bCs/>
          <w:sz w:val="24"/>
        </w:rPr>
        <w:t>交易所，供社会公众查阅、复制。</w:t>
      </w:r>
    </w:p>
    <w:p w14:paraId="28A574D5" w14:textId="77777777" w:rsidR="00E82AF4" w:rsidRDefault="005B2E6A">
      <w:pPr>
        <w:pStyle w:val="HD0"/>
        <w:adjustRightInd w:val="0"/>
        <w:ind w:firstLine="480"/>
        <w:rPr>
          <w:rFonts w:ascii="宋体" w:hAnsi="宋体"/>
          <w:sz w:val="24"/>
          <w:szCs w:val="24"/>
        </w:rPr>
      </w:pPr>
      <w:r>
        <w:rPr>
          <w:rFonts w:ascii="宋体" w:hAnsi="宋体" w:hint="eastAsia"/>
          <w:sz w:val="24"/>
          <w:szCs w:val="24"/>
        </w:rPr>
        <w:t>八、暂停或延迟信息披露的情形</w:t>
      </w:r>
    </w:p>
    <w:p w14:paraId="4DD259DB" w14:textId="77777777" w:rsidR="00E82AF4" w:rsidRDefault="005B2E6A">
      <w:pPr>
        <w:pStyle w:val="HD0"/>
        <w:adjustRightInd w:val="0"/>
        <w:ind w:firstLine="480"/>
        <w:rPr>
          <w:rFonts w:ascii="宋体" w:hAnsi="宋体"/>
          <w:sz w:val="24"/>
          <w:szCs w:val="24"/>
        </w:rPr>
      </w:pPr>
      <w:r>
        <w:rPr>
          <w:rFonts w:ascii="宋体" w:hAnsi="宋体" w:hint="eastAsia"/>
          <w:sz w:val="24"/>
          <w:szCs w:val="24"/>
        </w:rPr>
        <w:t>当出现下述情况时，基金管理人和基金托管人可暂停或延迟披露基金信息：</w:t>
      </w:r>
    </w:p>
    <w:p w14:paraId="3738FC46" w14:textId="77777777" w:rsidR="00E82AF4" w:rsidRDefault="005B2E6A">
      <w:pPr>
        <w:pStyle w:val="HD0"/>
        <w:adjustRightInd w:val="0"/>
        <w:ind w:firstLine="480"/>
        <w:rPr>
          <w:rFonts w:ascii="宋体" w:hAnsi="宋体"/>
          <w:sz w:val="24"/>
          <w:szCs w:val="24"/>
        </w:rPr>
      </w:pPr>
      <w:r>
        <w:rPr>
          <w:rFonts w:ascii="宋体" w:hAnsi="宋体" w:hint="eastAsia"/>
          <w:sz w:val="24"/>
          <w:szCs w:val="24"/>
        </w:rPr>
        <w:t>（一）基金投资所涉及的证券</w:t>
      </w:r>
      <w:r>
        <w:rPr>
          <w:rFonts w:ascii="宋体" w:hAnsi="宋体" w:hint="eastAsia"/>
          <w:bCs/>
          <w:sz w:val="24"/>
          <w:szCs w:val="24"/>
        </w:rPr>
        <w:t>、</w:t>
      </w:r>
      <w:r>
        <w:rPr>
          <w:rFonts w:ascii="宋体" w:hAnsi="宋体" w:hint="eastAsia"/>
          <w:sz w:val="24"/>
          <w:szCs w:val="24"/>
        </w:rPr>
        <w:t>期货交易市场遇法定节假日或因其他原因暂停营业时；</w:t>
      </w:r>
    </w:p>
    <w:p w14:paraId="18D4287F" w14:textId="77777777" w:rsidR="00E82AF4" w:rsidRDefault="005B2E6A">
      <w:pPr>
        <w:pStyle w:val="HD0"/>
        <w:adjustRightInd w:val="0"/>
        <w:ind w:firstLine="480"/>
        <w:rPr>
          <w:rFonts w:ascii="宋体" w:hAnsi="宋体"/>
          <w:sz w:val="24"/>
          <w:szCs w:val="24"/>
        </w:rPr>
      </w:pPr>
      <w:r>
        <w:rPr>
          <w:rFonts w:ascii="宋体" w:hAnsi="宋体" w:hint="eastAsia"/>
          <w:sz w:val="24"/>
          <w:szCs w:val="24"/>
        </w:rPr>
        <w:t>（二）不可抗力；</w:t>
      </w:r>
    </w:p>
    <w:p w14:paraId="3D98A253" w14:textId="77777777" w:rsidR="00E82AF4" w:rsidRDefault="005B2E6A">
      <w:pPr>
        <w:pStyle w:val="HD0"/>
        <w:adjustRightInd w:val="0"/>
        <w:ind w:firstLine="480"/>
        <w:rPr>
          <w:rFonts w:ascii="宋体" w:hAnsi="宋体"/>
          <w:sz w:val="24"/>
          <w:szCs w:val="24"/>
        </w:rPr>
      </w:pPr>
      <w:r>
        <w:rPr>
          <w:rFonts w:ascii="宋体" w:hAnsi="宋体" w:hint="eastAsia"/>
          <w:sz w:val="24"/>
          <w:szCs w:val="24"/>
        </w:rPr>
        <w:t>（三）发生暂停估值的情形；</w:t>
      </w:r>
    </w:p>
    <w:p w14:paraId="3D773420" w14:textId="77777777" w:rsidR="00E82AF4" w:rsidRDefault="005B2E6A">
      <w:pPr>
        <w:pStyle w:val="HD0"/>
        <w:adjustRightInd w:val="0"/>
        <w:ind w:firstLine="480"/>
      </w:pPr>
      <w:r>
        <w:rPr>
          <w:rFonts w:ascii="宋体" w:hAnsi="宋体" w:hint="eastAsia"/>
          <w:sz w:val="24"/>
          <w:szCs w:val="24"/>
        </w:rPr>
        <w:t>（四）法律法规规定、中国证监会或基金合同认定的其他情形。</w:t>
      </w:r>
    </w:p>
    <w:p w14:paraId="13D60D06" w14:textId="77777777" w:rsidR="00E82AF4" w:rsidRDefault="005B2E6A">
      <w:pPr>
        <w:pStyle w:val="1"/>
        <w:spacing w:before="0" w:after="0"/>
        <w:jc w:val="center"/>
        <w:rPr>
          <w:rFonts w:ascii="Times New Roman"/>
          <w:color w:val="auto"/>
          <w:sz w:val="32"/>
        </w:rPr>
      </w:pPr>
      <w:r>
        <w:rPr>
          <w:kern w:val="44"/>
          <w:sz w:val="21"/>
        </w:rPr>
        <w:br w:type="page"/>
      </w:r>
      <w:bookmarkStart w:id="511" w:name="_Toc9005"/>
      <w:bookmarkStart w:id="512" w:name="_Toc139991749"/>
      <w:bookmarkStart w:id="513" w:name="_Toc22978"/>
      <w:bookmarkStart w:id="514" w:name="_Toc29891"/>
      <w:bookmarkStart w:id="515" w:name="_Toc8049"/>
      <w:bookmarkStart w:id="516" w:name="_Toc25647"/>
      <w:bookmarkStart w:id="517" w:name="_Toc123051465"/>
      <w:bookmarkStart w:id="518" w:name="_Toc141703899"/>
      <w:bookmarkStart w:id="519" w:name="_Toc123102466"/>
      <w:bookmarkStart w:id="520" w:name="_Toc27464"/>
      <w:bookmarkStart w:id="521" w:name="_Toc8059"/>
      <w:bookmarkStart w:id="522" w:name="_Toc32307776"/>
      <w:bookmarkStart w:id="523" w:name="_Toc6237"/>
      <w:bookmarkStart w:id="524" w:name="_Toc123112247"/>
      <w:bookmarkStart w:id="525" w:name="_Toc7170"/>
      <w:bookmarkStart w:id="526" w:name="_Toc98560364"/>
      <w:bookmarkStart w:id="527" w:name="_Toc27994"/>
      <w:bookmarkStart w:id="528" w:name="_Toc10006"/>
      <w:bookmarkStart w:id="529" w:name="_Hlk163664002"/>
      <w:r>
        <w:rPr>
          <w:rFonts w:ascii="Times New Roman" w:hint="eastAsia"/>
          <w:color w:val="auto"/>
          <w:sz w:val="32"/>
        </w:rPr>
        <w:lastRenderedPageBreak/>
        <w:t>第二十</w:t>
      </w:r>
      <w:bookmarkStart w:id="530" w:name="_Toc11113"/>
      <w:r>
        <w:rPr>
          <w:rFonts w:ascii="Times New Roman" w:hint="eastAsia"/>
          <w:color w:val="auto"/>
          <w:sz w:val="32"/>
          <w:szCs w:val="32"/>
        </w:rPr>
        <w:t>一</w:t>
      </w:r>
      <w:r>
        <w:rPr>
          <w:rFonts w:ascii="Times New Roman"/>
          <w:color w:val="auto"/>
          <w:sz w:val="32"/>
          <w:szCs w:val="32"/>
        </w:rPr>
        <w:t>部分</w:t>
      </w:r>
      <w:r>
        <w:rPr>
          <w:rFonts w:ascii="Times New Roman"/>
          <w:color w:val="auto"/>
          <w:sz w:val="32"/>
        </w:rPr>
        <w:t xml:space="preserve">  </w:t>
      </w:r>
      <w:bookmarkStart w:id="531" w:name="_Hlt88828593"/>
      <w:r>
        <w:rPr>
          <w:rFonts w:ascii="Times New Roman" w:hint="eastAsia"/>
          <w:color w:val="auto"/>
          <w:sz w:val="32"/>
        </w:rPr>
        <w:t>基金合同</w:t>
      </w:r>
      <w:bookmarkEnd w:id="531"/>
      <w:r>
        <w:rPr>
          <w:rFonts w:ascii="Times New Roman" w:hint="eastAsia"/>
          <w:color w:val="auto"/>
          <w:sz w:val="32"/>
        </w:rPr>
        <w:t>的变更、终止与基金财产的清算</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30"/>
    </w:p>
    <w:p w14:paraId="01F8D361" w14:textId="77777777" w:rsidR="00E82AF4" w:rsidRDefault="00E82AF4">
      <w:pPr>
        <w:spacing w:line="360" w:lineRule="auto"/>
        <w:ind w:firstLineChars="200" w:firstLine="480"/>
        <w:rPr>
          <w:bCs/>
          <w:sz w:val="24"/>
        </w:rPr>
      </w:pPr>
    </w:p>
    <w:p w14:paraId="54A7C9E5" w14:textId="77777777" w:rsidR="00E82AF4" w:rsidRDefault="005B2E6A">
      <w:pPr>
        <w:pStyle w:val="HD0"/>
        <w:adjustRightInd w:val="0"/>
        <w:ind w:firstLine="480"/>
        <w:rPr>
          <w:rFonts w:ascii="宋体" w:hAnsi="宋体"/>
          <w:sz w:val="24"/>
        </w:rPr>
      </w:pPr>
      <w:bookmarkStart w:id="532" w:name="_Toc79392639"/>
      <w:r>
        <w:rPr>
          <w:rFonts w:ascii="宋体" w:hAnsi="宋体" w:hint="eastAsia"/>
          <w:sz w:val="24"/>
        </w:rPr>
        <w:t>一、</w:t>
      </w:r>
      <w:r>
        <w:rPr>
          <w:rFonts w:ascii="宋体" w:hAnsi="宋体" w:hint="eastAsia"/>
          <w:sz w:val="24"/>
          <w:szCs w:val="24"/>
        </w:rPr>
        <w:t>基金合同</w:t>
      </w:r>
      <w:r>
        <w:rPr>
          <w:rFonts w:ascii="宋体" w:hAnsi="宋体" w:hint="eastAsia"/>
          <w:sz w:val="24"/>
        </w:rPr>
        <w:t>的变更</w:t>
      </w:r>
    </w:p>
    <w:p w14:paraId="744C8844" w14:textId="77777777" w:rsidR="00E82AF4" w:rsidRDefault="005B2E6A">
      <w:pPr>
        <w:pStyle w:val="HD0"/>
        <w:adjustRightInd w:val="0"/>
        <w:ind w:firstLine="480"/>
        <w:rPr>
          <w:rFonts w:ascii="宋体" w:hAnsi="宋体"/>
          <w:sz w:val="24"/>
        </w:rPr>
      </w:pPr>
      <w:r>
        <w:rPr>
          <w:rFonts w:ascii="宋体" w:hAnsi="宋体" w:hint="eastAsia"/>
          <w:sz w:val="24"/>
        </w:rPr>
        <w:t>1、变更基金合同涉及法律法规规定或本</w:t>
      </w:r>
      <w:r>
        <w:rPr>
          <w:rFonts w:ascii="宋体" w:hAnsi="宋体" w:hint="eastAsia"/>
          <w:sz w:val="24"/>
          <w:szCs w:val="24"/>
        </w:rPr>
        <w:t>基金</w:t>
      </w:r>
      <w:r>
        <w:rPr>
          <w:rFonts w:ascii="宋体" w:hAnsi="宋体" w:hint="eastAsia"/>
          <w:sz w:val="24"/>
        </w:rPr>
        <w:t>合同约定应经基金份额持有人大会决议通过的事项的，应召开基金份额持有人大会决议通过。对于</w:t>
      </w:r>
      <w:r>
        <w:rPr>
          <w:rFonts w:ascii="宋体" w:hAnsi="宋体" w:hint="eastAsia"/>
          <w:sz w:val="24"/>
          <w:szCs w:val="24"/>
        </w:rPr>
        <w:t>法律法规规定和基金合同约定</w:t>
      </w:r>
      <w:r>
        <w:rPr>
          <w:rFonts w:ascii="宋体" w:hAnsi="宋体" w:hint="eastAsia"/>
          <w:sz w:val="24"/>
        </w:rPr>
        <w:t>可不经基金份额持有人大会决议通过的事项，由基金管理人和基金托管人同意后变更并公告。</w:t>
      </w:r>
    </w:p>
    <w:p w14:paraId="7DFA7085" w14:textId="77777777" w:rsidR="00E82AF4" w:rsidRDefault="005B2E6A">
      <w:pPr>
        <w:pStyle w:val="HD0"/>
        <w:adjustRightInd w:val="0"/>
        <w:ind w:firstLine="480"/>
        <w:rPr>
          <w:rFonts w:ascii="宋体" w:hAnsi="宋体"/>
          <w:sz w:val="24"/>
        </w:rPr>
      </w:pPr>
      <w:r>
        <w:rPr>
          <w:rFonts w:ascii="宋体" w:hAnsi="宋体" w:hint="eastAsia"/>
          <w:sz w:val="24"/>
        </w:rPr>
        <w:t>2、关于</w:t>
      </w:r>
      <w:r>
        <w:rPr>
          <w:rFonts w:ascii="宋体" w:hAnsi="宋体" w:hint="eastAsia"/>
          <w:sz w:val="24"/>
          <w:szCs w:val="24"/>
        </w:rPr>
        <w:t>基金合同</w:t>
      </w:r>
      <w:r>
        <w:rPr>
          <w:rFonts w:ascii="宋体" w:hAnsi="宋体" w:hint="eastAsia"/>
          <w:sz w:val="24"/>
        </w:rPr>
        <w:t>变更的基金份额持有人大会决议自生效</w:t>
      </w:r>
      <w:r>
        <w:rPr>
          <w:rFonts w:ascii="宋体" w:hAnsi="宋体" w:hint="eastAsia"/>
          <w:sz w:val="24"/>
          <w:szCs w:val="24"/>
        </w:rPr>
        <w:t>后方可执行</w:t>
      </w:r>
      <w:r>
        <w:rPr>
          <w:rFonts w:ascii="宋体" w:hAnsi="宋体" w:hint="eastAsia"/>
          <w:sz w:val="24"/>
        </w:rPr>
        <w:t>，自决议生效后</w:t>
      </w:r>
      <w:r>
        <w:rPr>
          <w:rFonts w:ascii="宋体" w:hAnsi="宋体" w:hint="eastAsia"/>
          <w:sz w:val="24"/>
          <w:szCs w:val="24"/>
        </w:rPr>
        <w:t>依照《信息披露办法》的有关规定</w:t>
      </w:r>
      <w:r>
        <w:rPr>
          <w:rFonts w:ascii="宋体" w:hAnsi="宋体" w:hint="eastAsia"/>
          <w:sz w:val="24"/>
        </w:rPr>
        <w:t>在规定媒介公告。</w:t>
      </w:r>
      <w:r>
        <w:rPr>
          <w:rFonts w:ascii="宋体" w:hAnsi="宋体" w:hint="eastAsia"/>
          <w:sz w:val="24"/>
          <w:szCs w:val="24"/>
        </w:rPr>
        <w:t>若法律法规发生变化，则以变化后的规定为准。</w:t>
      </w:r>
    </w:p>
    <w:p w14:paraId="40B65AB8" w14:textId="77777777" w:rsidR="00E82AF4" w:rsidRDefault="005B2E6A">
      <w:pPr>
        <w:pStyle w:val="HD0"/>
        <w:adjustRightInd w:val="0"/>
        <w:ind w:firstLine="480"/>
        <w:rPr>
          <w:rFonts w:ascii="宋体" w:hAnsi="宋体"/>
          <w:sz w:val="24"/>
        </w:rPr>
      </w:pPr>
      <w:r>
        <w:rPr>
          <w:rFonts w:ascii="宋体" w:hAnsi="宋体" w:hint="eastAsia"/>
          <w:sz w:val="24"/>
        </w:rPr>
        <w:t>二、</w:t>
      </w:r>
      <w:r>
        <w:rPr>
          <w:rFonts w:ascii="宋体" w:hAnsi="宋体" w:hint="eastAsia"/>
          <w:sz w:val="24"/>
          <w:szCs w:val="24"/>
        </w:rPr>
        <w:t>基金合同</w:t>
      </w:r>
      <w:r>
        <w:rPr>
          <w:rFonts w:ascii="宋体" w:hAnsi="宋体" w:hint="eastAsia"/>
          <w:sz w:val="24"/>
        </w:rPr>
        <w:t>的终止事由</w:t>
      </w:r>
    </w:p>
    <w:p w14:paraId="1FA1C65B" w14:textId="77777777" w:rsidR="00E82AF4" w:rsidRDefault="005B2E6A">
      <w:pPr>
        <w:pStyle w:val="HD0"/>
        <w:adjustRightInd w:val="0"/>
        <w:ind w:firstLine="480"/>
        <w:rPr>
          <w:rFonts w:ascii="宋体" w:hAnsi="宋体"/>
          <w:sz w:val="24"/>
        </w:rPr>
      </w:pPr>
      <w:r>
        <w:rPr>
          <w:rFonts w:ascii="宋体" w:hAnsi="宋体" w:hint="eastAsia"/>
          <w:sz w:val="24"/>
        </w:rPr>
        <w:t>有下列情形之一的，</w:t>
      </w:r>
      <w:r>
        <w:rPr>
          <w:rFonts w:ascii="宋体" w:hAnsi="宋体" w:hint="eastAsia"/>
          <w:sz w:val="24"/>
          <w:szCs w:val="24"/>
        </w:rPr>
        <w:t>经履行相关程序后，基金合同</w:t>
      </w:r>
      <w:r>
        <w:rPr>
          <w:rFonts w:ascii="宋体" w:hAnsi="宋体" w:hint="eastAsia"/>
          <w:sz w:val="24"/>
        </w:rPr>
        <w:t>应当终止：</w:t>
      </w:r>
    </w:p>
    <w:p w14:paraId="747F7350" w14:textId="77777777" w:rsidR="00E82AF4" w:rsidRDefault="005B2E6A">
      <w:pPr>
        <w:pStyle w:val="HD0"/>
        <w:adjustRightInd w:val="0"/>
        <w:ind w:firstLine="480"/>
        <w:rPr>
          <w:rFonts w:ascii="宋体" w:hAnsi="宋体"/>
          <w:sz w:val="24"/>
        </w:rPr>
      </w:pPr>
      <w:r>
        <w:rPr>
          <w:rFonts w:ascii="宋体" w:hAnsi="宋体" w:hint="eastAsia"/>
          <w:sz w:val="24"/>
        </w:rPr>
        <w:t>1、基金份额持有人大会决定终止的；</w:t>
      </w:r>
    </w:p>
    <w:p w14:paraId="08449A48" w14:textId="77777777" w:rsidR="00E82AF4" w:rsidRDefault="005B2E6A">
      <w:pPr>
        <w:pStyle w:val="HD0"/>
        <w:adjustRightInd w:val="0"/>
        <w:ind w:firstLine="480"/>
        <w:rPr>
          <w:rFonts w:ascii="宋体" w:hAnsi="宋体"/>
          <w:sz w:val="24"/>
        </w:rPr>
      </w:pPr>
      <w:r>
        <w:rPr>
          <w:rFonts w:ascii="宋体" w:hAnsi="宋体" w:hint="eastAsia"/>
          <w:sz w:val="24"/>
        </w:rPr>
        <w:t>2、基金管理人、基金托管人职责终止，在6个月内没有新基金管理人、新基金托管人承接的；</w:t>
      </w:r>
    </w:p>
    <w:p w14:paraId="418F8FFD" w14:textId="77777777" w:rsidR="00E82AF4" w:rsidRDefault="005B2E6A">
      <w:pPr>
        <w:pStyle w:val="HD0"/>
        <w:adjustRightInd w:val="0"/>
        <w:ind w:firstLine="480"/>
        <w:rPr>
          <w:rFonts w:ascii="宋体" w:hAnsi="宋体"/>
          <w:sz w:val="24"/>
        </w:rPr>
      </w:pPr>
      <w:r>
        <w:rPr>
          <w:rFonts w:ascii="宋体" w:hAnsi="宋体" w:hint="eastAsia"/>
          <w:sz w:val="24"/>
        </w:rPr>
        <w:t>3、基金合同约定的其他情形；</w:t>
      </w:r>
    </w:p>
    <w:p w14:paraId="59B24670" w14:textId="77777777" w:rsidR="00E82AF4" w:rsidRDefault="005B2E6A">
      <w:pPr>
        <w:pStyle w:val="HD0"/>
        <w:adjustRightInd w:val="0"/>
        <w:ind w:firstLine="480"/>
        <w:rPr>
          <w:rFonts w:ascii="宋体" w:hAnsi="宋体"/>
          <w:sz w:val="24"/>
        </w:rPr>
      </w:pPr>
      <w:r>
        <w:rPr>
          <w:rFonts w:ascii="宋体" w:hAnsi="宋体"/>
          <w:sz w:val="24"/>
        </w:rPr>
        <w:t>4</w:t>
      </w:r>
      <w:r>
        <w:rPr>
          <w:rFonts w:ascii="宋体" w:hAnsi="宋体" w:hint="eastAsia"/>
          <w:sz w:val="24"/>
        </w:rPr>
        <w:t>、相关法律法规和中国证监会规定的其他情况。</w:t>
      </w:r>
    </w:p>
    <w:p w14:paraId="295AEE9D" w14:textId="77777777" w:rsidR="00E82AF4" w:rsidRDefault="005B2E6A">
      <w:pPr>
        <w:pStyle w:val="HD0"/>
        <w:adjustRightInd w:val="0"/>
        <w:ind w:firstLine="480"/>
        <w:rPr>
          <w:rFonts w:ascii="宋体" w:hAnsi="宋体"/>
          <w:sz w:val="24"/>
        </w:rPr>
      </w:pPr>
      <w:r>
        <w:rPr>
          <w:rFonts w:ascii="宋体" w:hAnsi="宋体" w:hint="eastAsia"/>
          <w:sz w:val="24"/>
        </w:rPr>
        <w:t>三、基金财产的清算</w:t>
      </w:r>
    </w:p>
    <w:p w14:paraId="74CF9496" w14:textId="77777777" w:rsidR="00E82AF4" w:rsidRDefault="005B2E6A">
      <w:pPr>
        <w:pStyle w:val="HD0"/>
        <w:adjustRightInd w:val="0"/>
        <w:ind w:firstLine="480"/>
        <w:rPr>
          <w:rFonts w:ascii="宋体" w:hAnsi="宋体"/>
          <w:sz w:val="24"/>
        </w:rPr>
      </w:pPr>
      <w:r>
        <w:rPr>
          <w:rFonts w:ascii="宋体" w:hAnsi="宋体" w:hint="eastAsia"/>
          <w:sz w:val="24"/>
        </w:rPr>
        <w:t>1、基金财产清算小组：</w:t>
      </w:r>
      <w:r>
        <w:rPr>
          <w:rFonts w:ascii="宋体" w:hAnsi="宋体" w:hint="eastAsia"/>
          <w:sz w:val="24"/>
          <w:szCs w:val="24"/>
        </w:rPr>
        <w:t>基金合同</w:t>
      </w:r>
      <w:r>
        <w:rPr>
          <w:rFonts w:ascii="宋体" w:hAnsi="宋体" w:hint="eastAsia"/>
          <w:sz w:val="24"/>
        </w:rPr>
        <w:t>终止事由</w:t>
      </w:r>
      <w:r>
        <w:rPr>
          <w:rFonts w:ascii="宋体" w:hAnsi="宋体" w:hint="eastAsia"/>
          <w:sz w:val="24"/>
          <w:szCs w:val="24"/>
        </w:rPr>
        <w:t>出现后</w:t>
      </w:r>
      <w:r>
        <w:rPr>
          <w:rFonts w:ascii="宋体" w:hAnsi="宋体" w:hint="eastAsia"/>
          <w:sz w:val="24"/>
        </w:rPr>
        <w:t>，基金管理人组织基金财产清算小组并在中国证监会的监督下进行基金清算。</w:t>
      </w:r>
    </w:p>
    <w:p w14:paraId="46C03FD7" w14:textId="77777777" w:rsidR="00E82AF4" w:rsidRDefault="005B2E6A">
      <w:pPr>
        <w:pStyle w:val="HD0"/>
        <w:adjustRightInd w:val="0"/>
        <w:ind w:firstLine="480"/>
        <w:rPr>
          <w:rFonts w:ascii="宋体" w:hAnsi="宋体"/>
          <w:sz w:val="24"/>
        </w:rPr>
      </w:pPr>
      <w:r>
        <w:rPr>
          <w:rFonts w:ascii="宋体" w:hAnsi="宋体" w:hint="eastAsia"/>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3A52A631" w14:textId="77777777" w:rsidR="00E82AF4" w:rsidRDefault="005B2E6A">
      <w:pPr>
        <w:pStyle w:val="HD0"/>
        <w:adjustRightInd w:val="0"/>
        <w:ind w:firstLine="480"/>
        <w:rPr>
          <w:rFonts w:ascii="宋体" w:hAnsi="宋体"/>
          <w:sz w:val="24"/>
        </w:rPr>
      </w:pPr>
      <w:r>
        <w:rPr>
          <w:rFonts w:ascii="宋体" w:hAnsi="宋体"/>
          <w:sz w:val="24"/>
        </w:rPr>
        <w:t>3</w:t>
      </w:r>
      <w:r>
        <w:rPr>
          <w:rFonts w:ascii="宋体" w:hAnsi="宋体" w:hint="eastAsia"/>
          <w:sz w:val="24"/>
        </w:rPr>
        <w:t>、基金财产清算小组职责：基金财产清算小组负责基金财产的保管、清理、估价、变现和分配。基金财产清算小组可以依法进行必要的民事活动。</w:t>
      </w:r>
    </w:p>
    <w:p w14:paraId="0D3D7173" w14:textId="77777777" w:rsidR="00E82AF4" w:rsidRDefault="005B2E6A">
      <w:pPr>
        <w:pStyle w:val="HD0"/>
        <w:adjustRightInd w:val="0"/>
        <w:ind w:firstLine="480"/>
        <w:rPr>
          <w:rFonts w:ascii="宋体" w:hAnsi="宋体"/>
          <w:sz w:val="24"/>
        </w:rPr>
      </w:pPr>
      <w:r>
        <w:rPr>
          <w:rFonts w:ascii="宋体" w:hAnsi="宋体"/>
          <w:sz w:val="24"/>
        </w:rPr>
        <w:t>4</w:t>
      </w:r>
      <w:r>
        <w:rPr>
          <w:rFonts w:ascii="宋体" w:hAnsi="宋体" w:hint="eastAsia"/>
          <w:sz w:val="24"/>
        </w:rPr>
        <w:t>、基金财产清算程序：</w:t>
      </w:r>
    </w:p>
    <w:p w14:paraId="4BCB46AE" w14:textId="77777777" w:rsidR="00E82AF4" w:rsidRDefault="005B2E6A">
      <w:pPr>
        <w:pStyle w:val="HD0"/>
        <w:adjustRightInd w:val="0"/>
        <w:ind w:firstLine="480"/>
        <w:rPr>
          <w:rFonts w:ascii="宋体" w:hAnsi="宋体"/>
          <w:sz w:val="24"/>
        </w:rPr>
      </w:pPr>
      <w:r>
        <w:rPr>
          <w:rFonts w:ascii="宋体" w:hAnsi="宋体" w:hint="eastAsia"/>
          <w:sz w:val="24"/>
        </w:rPr>
        <w:t>（1）</w:t>
      </w:r>
      <w:r>
        <w:rPr>
          <w:rFonts w:ascii="宋体" w:hAnsi="宋体" w:hint="eastAsia"/>
          <w:sz w:val="24"/>
          <w:szCs w:val="24"/>
        </w:rPr>
        <w:t>基金合同</w:t>
      </w:r>
      <w:r>
        <w:rPr>
          <w:rFonts w:ascii="宋体" w:hAnsi="宋体" w:hint="eastAsia"/>
          <w:sz w:val="24"/>
        </w:rPr>
        <w:t>终止情形出现时，由基金财产清算小组统一接管基金；</w:t>
      </w:r>
    </w:p>
    <w:p w14:paraId="1FEF9061" w14:textId="77777777" w:rsidR="00E82AF4" w:rsidRDefault="005B2E6A">
      <w:pPr>
        <w:pStyle w:val="HD0"/>
        <w:adjustRightInd w:val="0"/>
        <w:ind w:firstLine="480"/>
        <w:rPr>
          <w:rFonts w:ascii="宋体" w:hAnsi="宋体"/>
          <w:sz w:val="24"/>
        </w:rPr>
      </w:pPr>
      <w:r>
        <w:rPr>
          <w:rFonts w:ascii="宋体" w:hAnsi="宋体" w:hint="eastAsia"/>
          <w:sz w:val="24"/>
        </w:rPr>
        <w:t>（2）对基金财产和债权债务进行清理和确认；</w:t>
      </w:r>
    </w:p>
    <w:p w14:paraId="228FB068" w14:textId="77777777" w:rsidR="00E82AF4" w:rsidRDefault="005B2E6A">
      <w:pPr>
        <w:pStyle w:val="HD0"/>
        <w:adjustRightInd w:val="0"/>
        <w:ind w:firstLine="480"/>
        <w:rPr>
          <w:rFonts w:ascii="宋体" w:hAnsi="宋体"/>
          <w:sz w:val="24"/>
        </w:rPr>
      </w:pPr>
      <w:r>
        <w:rPr>
          <w:rFonts w:ascii="宋体" w:hAnsi="宋体" w:hint="eastAsia"/>
          <w:sz w:val="24"/>
        </w:rPr>
        <w:t>（3）对基金财产进行估值和变现；</w:t>
      </w:r>
    </w:p>
    <w:p w14:paraId="28C21603" w14:textId="77777777" w:rsidR="00E82AF4" w:rsidRDefault="005B2E6A">
      <w:pPr>
        <w:pStyle w:val="HD0"/>
        <w:adjustRightInd w:val="0"/>
        <w:ind w:firstLine="480"/>
        <w:rPr>
          <w:rFonts w:ascii="宋体" w:hAnsi="宋体"/>
          <w:sz w:val="24"/>
        </w:rPr>
      </w:pPr>
      <w:r>
        <w:rPr>
          <w:rFonts w:ascii="宋体" w:hAnsi="宋体" w:hint="eastAsia"/>
          <w:sz w:val="24"/>
        </w:rPr>
        <w:lastRenderedPageBreak/>
        <w:t>（4）制作清算报告；</w:t>
      </w:r>
    </w:p>
    <w:p w14:paraId="7769C18F" w14:textId="77777777" w:rsidR="00E82AF4" w:rsidRDefault="005B2E6A">
      <w:pPr>
        <w:pStyle w:val="HD0"/>
        <w:adjustRightInd w:val="0"/>
        <w:ind w:firstLine="480"/>
        <w:rPr>
          <w:rFonts w:ascii="宋体" w:hAnsi="宋体"/>
          <w:sz w:val="24"/>
        </w:rPr>
      </w:pPr>
      <w:r>
        <w:rPr>
          <w:rFonts w:ascii="宋体" w:hAnsi="宋体" w:hint="eastAsia"/>
          <w:sz w:val="24"/>
        </w:rPr>
        <w:t>（5）聘请会计师事务所对清算报告进行外部审计，聘请律师事务所对清算报告出具法律意见书；</w:t>
      </w:r>
    </w:p>
    <w:p w14:paraId="71B9F5A7" w14:textId="77777777" w:rsidR="00E82AF4" w:rsidRDefault="005B2E6A">
      <w:pPr>
        <w:pStyle w:val="HD0"/>
        <w:adjustRightInd w:val="0"/>
        <w:ind w:firstLine="480"/>
        <w:rPr>
          <w:rFonts w:ascii="宋体" w:hAnsi="宋体"/>
          <w:sz w:val="24"/>
        </w:rPr>
      </w:pPr>
      <w:r>
        <w:rPr>
          <w:rFonts w:ascii="宋体" w:hAnsi="宋体" w:hint="eastAsia"/>
          <w:sz w:val="24"/>
        </w:rPr>
        <w:t>（6）将清算报告报中国证监会备案并公告；</w:t>
      </w:r>
    </w:p>
    <w:p w14:paraId="23FB565F" w14:textId="77777777" w:rsidR="00E82AF4" w:rsidRDefault="005B2E6A">
      <w:pPr>
        <w:pStyle w:val="HD0"/>
        <w:adjustRightInd w:val="0"/>
        <w:ind w:firstLine="480"/>
        <w:rPr>
          <w:rFonts w:ascii="宋体" w:hAnsi="宋体"/>
          <w:sz w:val="24"/>
        </w:rPr>
      </w:pPr>
      <w:r>
        <w:rPr>
          <w:rFonts w:ascii="宋体" w:hAnsi="宋体" w:hint="eastAsia"/>
          <w:sz w:val="24"/>
        </w:rPr>
        <w:t>（7）对基金剩余财产进行分配。</w:t>
      </w:r>
    </w:p>
    <w:p w14:paraId="4352CD94" w14:textId="77777777" w:rsidR="00E82AF4" w:rsidRDefault="005B2E6A">
      <w:pPr>
        <w:pStyle w:val="HD0"/>
        <w:adjustRightInd w:val="0"/>
        <w:ind w:firstLine="480"/>
        <w:rPr>
          <w:rFonts w:ascii="宋体" w:hAnsi="宋体"/>
          <w:sz w:val="24"/>
        </w:rPr>
      </w:pPr>
      <w:r>
        <w:rPr>
          <w:rFonts w:ascii="宋体" w:hAnsi="宋体"/>
          <w:sz w:val="24"/>
        </w:rPr>
        <w:t>5</w:t>
      </w:r>
      <w:r>
        <w:rPr>
          <w:rFonts w:ascii="宋体" w:hAnsi="宋体" w:hint="eastAsia"/>
          <w:sz w:val="24"/>
        </w:rPr>
        <w:t>、基金财产清算的期限为6个月</w:t>
      </w:r>
      <w:r>
        <w:rPr>
          <w:rFonts w:ascii="宋体" w:hAnsi="宋体" w:hint="eastAsia"/>
          <w:sz w:val="24"/>
          <w:szCs w:val="24"/>
        </w:rPr>
        <w:t>，但因本基金所持证券的流动性受到限制而不能及时变现的，清算期限相应顺延</w:t>
      </w:r>
      <w:r>
        <w:rPr>
          <w:rFonts w:ascii="宋体" w:hAnsi="宋体" w:hint="eastAsia"/>
          <w:sz w:val="24"/>
        </w:rPr>
        <w:t>。</w:t>
      </w:r>
    </w:p>
    <w:p w14:paraId="4738E88D" w14:textId="77777777" w:rsidR="00E82AF4" w:rsidRDefault="005B2E6A">
      <w:pPr>
        <w:pStyle w:val="HD0"/>
        <w:adjustRightInd w:val="0"/>
        <w:ind w:firstLine="480"/>
        <w:rPr>
          <w:rFonts w:ascii="宋体" w:hAnsi="宋体"/>
          <w:sz w:val="24"/>
        </w:rPr>
      </w:pPr>
      <w:r>
        <w:rPr>
          <w:rFonts w:ascii="宋体" w:hAnsi="宋体" w:hint="eastAsia"/>
          <w:sz w:val="24"/>
        </w:rPr>
        <w:t>四、清算费用</w:t>
      </w:r>
    </w:p>
    <w:p w14:paraId="43922B42" w14:textId="77777777" w:rsidR="00E82AF4" w:rsidRDefault="005B2E6A">
      <w:pPr>
        <w:pStyle w:val="HD0"/>
        <w:adjustRightInd w:val="0"/>
        <w:ind w:firstLine="480"/>
        <w:rPr>
          <w:rFonts w:ascii="宋体" w:hAnsi="宋体"/>
          <w:sz w:val="24"/>
        </w:rPr>
      </w:pPr>
      <w:r>
        <w:rPr>
          <w:rFonts w:ascii="宋体" w:hAnsi="宋体" w:hint="eastAsia"/>
          <w:sz w:val="24"/>
        </w:rPr>
        <w:t>清算费用是指基金财产清算小组在进行基金财产清算过程中发生的所有合理费用，清算费用由基金财产清算小组优先从基金</w:t>
      </w:r>
      <w:r>
        <w:rPr>
          <w:rFonts w:ascii="宋体" w:hAnsi="宋体" w:hint="eastAsia"/>
          <w:sz w:val="24"/>
          <w:szCs w:val="24"/>
        </w:rPr>
        <w:t>剩余</w:t>
      </w:r>
      <w:r>
        <w:rPr>
          <w:rFonts w:ascii="宋体" w:hAnsi="宋体" w:hint="eastAsia"/>
          <w:sz w:val="24"/>
        </w:rPr>
        <w:t>财产中支付。</w:t>
      </w:r>
    </w:p>
    <w:p w14:paraId="5DA031B9" w14:textId="77777777" w:rsidR="00E82AF4" w:rsidRDefault="005B2E6A">
      <w:pPr>
        <w:pStyle w:val="HD0"/>
        <w:adjustRightInd w:val="0"/>
        <w:ind w:firstLine="480"/>
        <w:rPr>
          <w:rFonts w:ascii="宋体" w:hAnsi="宋体"/>
          <w:sz w:val="24"/>
        </w:rPr>
      </w:pPr>
      <w:r>
        <w:rPr>
          <w:rFonts w:ascii="宋体" w:hAnsi="宋体" w:hint="eastAsia"/>
          <w:sz w:val="24"/>
        </w:rPr>
        <w:t>五、基金财产清算剩余资产的分配</w:t>
      </w:r>
    </w:p>
    <w:p w14:paraId="123E3837" w14:textId="77777777" w:rsidR="00E82AF4" w:rsidRDefault="005B2E6A">
      <w:pPr>
        <w:pStyle w:val="HD0"/>
        <w:adjustRightInd w:val="0"/>
        <w:ind w:firstLine="480"/>
        <w:rPr>
          <w:rFonts w:ascii="宋体" w:hAnsi="宋体"/>
          <w:sz w:val="24"/>
        </w:rPr>
      </w:pPr>
      <w:r>
        <w:rPr>
          <w:rFonts w:ascii="宋体" w:hAnsi="宋体" w:hint="eastAsia"/>
          <w:sz w:val="24"/>
        </w:rPr>
        <w:t>依据基金财产清算的分配方案，将基金财产清算后的全部剩余资产扣除基金财产清算费用、交纳所欠税款并清偿基金债务后，按基金份额持有人持有的基金份额比例进行分配。</w:t>
      </w:r>
    </w:p>
    <w:p w14:paraId="5B4811EE" w14:textId="77777777" w:rsidR="00E82AF4" w:rsidRDefault="005B2E6A">
      <w:pPr>
        <w:pStyle w:val="HD0"/>
        <w:adjustRightInd w:val="0"/>
        <w:ind w:firstLine="480"/>
        <w:rPr>
          <w:rFonts w:ascii="宋体" w:hAnsi="宋体"/>
          <w:sz w:val="24"/>
        </w:rPr>
      </w:pPr>
      <w:r>
        <w:rPr>
          <w:rFonts w:ascii="宋体" w:hAnsi="宋体" w:hint="eastAsia"/>
          <w:sz w:val="24"/>
        </w:rPr>
        <w:t>六、基金财产清算的公告</w:t>
      </w:r>
    </w:p>
    <w:p w14:paraId="00914F38" w14:textId="77777777" w:rsidR="00E82AF4" w:rsidRDefault="005B2E6A">
      <w:pPr>
        <w:pStyle w:val="HD0"/>
        <w:adjustRightInd w:val="0"/>
        <w:ind w:firstLine="480"/>
        <w:rPr>
          <w:rFonts w:ascii="宋体" w:hAnsi="宋体"/>
          <w:sz w:val="24"/>
        </w:rPr>
      </w:pPr>
      <w:r>
        <w:rPr>
          <w:rFonts w:ascii="宋体" w:hAnsi="宋体" w:hint="eastAsia"/>
          <w:sz w:val="24"/>
        </w:rPr>
        <w:t>清算过程中的有关重大事项须及时公告；基金财产清算报告经符合《中华人民共和国证券法》规定的会计师事务所审计，律师事务所出具法律意见书后，由基金财产清算小组报中国证监会备案并公告，基金财产清算小组应当将清算报告登载在规定网站上，并将清算报告提示性公告登载在规定报刊上。</w:t>
      </w:r>
    </w:p>
    <w:p w14:paraId="574881F9" w14:textId="77777777" w:rsidR="00E82AF4" w:rsidRDefault="005B2E6A">
      <w:pPr>
        <w:pStyle w:val="HD0"/>
        <w:adjustRightInd w:val="0"/>
        <w:ind w:firstLine="480"/>
        <w:rPr>
          <w:rFonts w:ascii="宋体" w:hAnsi="宋体"/>
          <w:sz w:val="24"/>
        </w:rPr>
      </w:pPr>
      <w:r>
        <w:rPr>
          <w:rFonts w:ascii="宋体" w:hAnsi="宋体" w:hint="eastAsia"/>
          <w:sz w:val="24"/>
        </w:rPr>
        <w:t>七、基金财产清算账册及文件的保存</w:t>
      </w:r>
    </w:p>
    <w:p w14:paraId="6A8C1C5E" w14:textId="7FE3B0BE" w:rsidR="00E82AF4" w:rsidRDefault="005B2E6A">
      <w:pPr>
        <w:pStyle w:val="HD0"/>
        <w:adjustRightInd w:val="0"/>
        <w:ind w:firstLine="480"/>
        <w:rPr>
          <w:sz w:val="24"/>
        </w:rPr>
      </w:pPr>
      <w:r>
        <w:rPr>
          <w:rFonts w:ascii="宋体" w:hAnsi="宋体" w:hint="eastAsia"/>
          <w:sz w:val="24"/>
        </w:rPr>
        <w:t>基金财产清算账册及有关文件由基金托管人保存，保存期限按照法律法规的规定执行。</w:t>
      </w:r>
      <w:bookmarkStart w:id="533" w:name="_Toc32307777"/>
      <w:bookmarkEnd w:id="532"/>
    </w:p>
    <w:p w14:paraId="10671CF3" w14:textId="77777777" w:rsidR="00E82AF4" w:rsidRDefault="005B2E6A">
      <w:pPr>
        <w:pStyle w:val="1"/>
        <w:spacing w:before="0" w:after="0"/>
        <w:jc w:val="center"/>
        <w:rPr>
          <w:rFonts w:ascii="Times New Roman"/>
          <w:color w:val="auto"/>
          <w:sz w:val="32"/>
        </w:rPr>
      </w:pPr>
      <w:bookmarkStart w:id="534" w:name="_Toc123112248"/>
      <w:bookmarkStart w:id="535" w:name="_Toc123051466"/>
      <w:bookmarkStart w:id="536" w:name="_Toc48649720"/>
      <w:bookmarkStart w:id="537" w:name="_Toc123102467"/>
      <w:bookmarkStart w:id="538" w:name="_Toc98560365"/>
      <w:bookmarkStart w:id="539" w:name="_Toc79392641"/>
      <w:r>
        <w:br w:type="page"/>
      </w:r>
      <w:bookmarkStart w:id="540" w:name="_Toc7367"/>
      <w:bookmarkStart w:id="541" w:name="_Toc28549"/>
      <w:bookmarkStart w:id="542" w:name="_Toc141703901"/>
      <w:bookmarkStart w:id="543" w:name="_Toc8710"/>
      <w:bookmarkStart w:id="544" w:name="_Toc13398"/>
      <w:bookmarkStart w:id="545" w:name="_Toc12191"/>
      <w:bookmarkStart w:id="546" w:name="_Toc23022"/>
      <w:bookmarkStart w:id="547" w:name="_Toc29011"/>
      <w:bookmarkStart w:id="548" w:name="_Toc27058"/>
      <w:bookmarkStart w:id="549" w:name="_Toc139991750"/>
      <w:bookmarkStart w:id="550" w:name="_Toc9708"/>
      <w:bookmarkStart w:id="551" w:name="_Toc21240"/>
      <w:bookmarkStart w:id="552" w:name="_Toc30645"/>
      <w:bookmarkEnd w:id="529"/>
      <w:r>
        <w:rPr>
          <w:rFonts w:ascii="Times New Roman"/>
          <w:color w:val="auto"/>
          <w:sz w:val="32"/>
          <w:szCs w:val="32"/>
        </w:rPr>
        <w:lastRenderedPageBreak/>
        <w:t>第二十</w:t>
      </w:r>
      <w:r>
        <w:rPr>
          <w:rFonts w:ascii="Times New Roman" w:hint="eastAsia"/>
          <w:color w:val="auto"/>
          <w:sz w:val="32"/>
          <w:szCs w:val="32"/>
        </w:rPr>
        <w:t>二</w:t>
      </w:r>
      <w:bookmarkStart w:id="553" w:name="_Toc23166"/>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违约责任</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1C4728BB" w14:textId="77777777" w:rsidR="00E82AF4" w:rsidRDefault="00E82AF4">
      <w:pPr>
        <w:spacing w:line="360" w:lineRule="auto"/>
        <w:ind w:firstLineChars="200" w:firstLine="480"/>
        <w:rPr>
          <w:bCs/>
          <w:sz w:val="24"/>
        </w:rPr>
      </w:pPr>
    </w:p>
    <w:p w14:paraId="56B510B5" w14:textId="77777777" w:rsidR="00E82AF4" w:rsidRDefault="005B2E6A">
      <w:pPr>
        <w:pStyle w:val="HD0"/>
        <w:ind w:firstLine="480"/>
        <w:rPr>
          <w:rFonts w:ascii="宋体" w:hAnsi="宋体"/>
          <w:sz w:val="24"/>
        </w:rPr>
      </w:pPr>
      <w:r>
        <w:rPr>
          <w:rFonts w:ascii="宋体" w:hAnsi="宋体" w:hint="eastAsia"/>
          <w:sz w:val="24"/>
        </w:rPr>
        <w:t>一、基金管理人、基金托管人在履行各自职责的过程中，违反《基金法》等法律法规的规定或者</w:t>
      </w:r>
      <w:r>
        <w:rPr>
          <w:rFonts w:ascii="宋体" w:hAnsi="宋体" w:hint="eastAsia"/>
          <w:sz w:val="24"/>
          <w:szCs w:val="24"/>
        </w:rPr>
        <w:t>基金合同</w:t>
      </w:r>
      <w:r>
        <w:rPr>
          <w:rFonts w:ascii="宋体" w:hAnsi="宋体" w:hint="eastAsia"/>
          <w:sz w:val="24"/>
        </w:rPr>
        <w:t>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w:t>
      </w:r>
      <w:r>
        <w:rPr>
          <w:rFonts w:ascii="宋体" w:hAnsi="宋体" w:hint="eastAsia"/>
          <w:sz w:val="24"/>
          <w:szCs w:val="24"/>
        </w:rPr>
        <w:t>的</w:t>
      </w:r>
      <w:r>
        <w:rPr>
          <w:rFonts w:ascii="宋体" w:hAnsi="宋体" w:hint="eastAsia"/>
          <w:sz w:val="24"/>
        </w:rPr>
        <w:t>，相应的当事人免责：</w:t>
      </w:r>
    </w:p>
    <w:p w14:paraId="3ADB6B94" w14:textId="77777777" w:rsidR="00E82AF4" w:rsidRDefault="005B2E6A">
      <w:pPr>
        <w:pStyle w:val="HD0"/>
        <w:ind w:firstLine="480"/>
        <w:rPr>
          <w:rFonts w:ascii="宋体" w:hAnsi="宋体"/>
          <w:sz w:val="24"/>
        </w:rPr>
      </w:pPr>
      <w:r>
        <w:rPr>
          <w:rFonts w:ascii="宋体" w:hAnsi="宋体" w:hint="eastAsia"/>
          <w:sz w:val="24"/>
        </w:rPr>
        <w:t>1、不可抗力；</w:t>
      </w:r>
    </w:p>
    <w:p w14:paraId="2108AAC9" w14:textId="77777777" w:rsidR="00E82AF4" w:rsidRDefault="005B2E6A">
      <w:pPr>
        <w:pStyle w:val="HD0"/>
        <w:ind w:firstLine="480"/>
        <w:rPr>
          <w:rFonts w:ascii="宋体" w:hAnsi="宋体"/>
          <w:sz w:val="24"/>
        </w:rPr>
      </w:pPr>
      <w:r>
        <w:rPr>
          <w:rFonts w:ascii="宋体" w:hAnsi="宋体" w:hint="eastAsia"/>
          <w:sz w:val="24"/>
        </w:rPr>
        <w:t>2、基金管理人和/或基金托管人按照当时有效的法律法规或中国证监会</w:t>
      </w:r>
      <w:r>
        <w:rPr>
          <w:rFonts w:ascii="宋体" w:hAnsi="宋体" w:hint="eastAsia"/>
          <w:sz w:val="24"/>
          <w:szCs w:val="24"/>
        </w:rPr>
        <w:t>等</w:t>
      </w:r>
      <w:r>
        <w:rPr>
          <w:rFonts w:ascii="宋体" w:hAnsi="宋体"/>
          <w:sz w:val="24"/>
          <w:szCs w:val="24"/>
        </w:rPr>
        <w:t>监管机构</w:t>
      </w:r>
      <w:r>
        <w:rPr>
          <w:rFonts w:ascii="宋体" w:hAnsi="宋体" w:hint="eastAsia"/>
          <w:sz w:val="24"/>
        </w:rPr>
        <w:t>的规定作为或不作为而造成的损失等；</w:t>
      </w:r>
    </w:p>
    <w:p w14:paraId="6469081C" w14:textId="77777777" w:rsidR="00E82AF4" w:rsidRDefault="005B2E6A">
      <w:pPr>
        <w:pStyle w:val="HD0"/>
        <w:ind w:firstLine="480"/>
        <w:rPr>
          <w:rFonts w:ascii="宋体" w:hAnsi="宋体"/>
          <w:sz w:val="24"/>
        </w:rPr>
      </w:pPr>
      <w:r>
        <w:rPr>
          <w:rFonts w:ascii="宋体" w:hAnsi="宋体" w:hint="eastAsia"/>
          <w:sz w:val="24"/>
        </w:rPr>
        <w:t>3、在没有过错的情况下，基金管理人由于按照基金合同约定的投资原则</w:t>
      </w:r>
      <w:r>
        <w:rPr>
          <w:rFonts w:ascii="宋体" w:hAnsi="宋体" w:hint="eastAsia"/>
          <w:sz w:val="24"/>
          <w:szCs w:val="24"/>
        </w:rPr>
        <w:t>行使或不行使其</w:t>
      </w:r>
      <w:r>
        <w:rPr>
          <w:rFonts w:ascii="宋体" w:hAnsi="宋体" w:hint="eastAsia"/>
          <w:sz w:val="24"/>
        </w:rPr>
        <w:t>投资</w:t>
      </w:r>
      <w:r>
        <w:rPr>
          <w:rFonts w:ascii="宋体" w:hAnsi="宋体" w:hint="eastAsia"/>
          <w:sz w:val="24"/>
          <w:szCs w:val="24"/>
        </w:rPr>
        <w:t>权而</w:t>
      </w:r>
      <w:r>
        <w:rPr>
          <w:rFonts w:ascii="宋体" w:hAnsi="宋体" w:hint="eastAsia"/>
          <w:sz w:val="24"/>
        </w:rPr>
        <w:t>造成的损失等。</w:t>
      </w:r>
    </w:p>
    <w:p w14:paraId="45F7354C" w14:textId="77777777" w:rsidR="00E82AF4" w:rsidRDefault="005B2E6A">
      <w:pPr>
        <w:pStyle w:val="HD0"/>
        <w:snapToGrid/>
        <w:ind w:firstLine="480"/>
        <w:rPr>
          <w:rFonts w:ascii="宋体" w:hAnsi="宋体"/>
          <w:sz w:val="24"/>
        </w:rPr>
      </w:pPr>
      <w:r>
        <w:rPr>
          <w:rFonts w:ascii="宋体" w:hAnsi="宋体" w:hint="eastAsia"/>
          <w:sz w:val="24"/>
        </w:rPr>
        <w:t>二、在发生一方或多方违约的情况下，在最大限度地保护基金份额持有人利益的前提下，</w:t>
      </w:r>
      <w:r>
        <w:rPr>
          <w:rFonts w:ascii="宋体" w:hAnsi="宋体" w:hint="eastAsia"/>
          <w:sz w:val="24"/>
          <w:szCs w:val="24"/>
        </w:rPr>
        <w:t>基金合同</w:t>
      </w:r>
      <w:r>
        <w:rPr>
          <w:rFonts w:ascii="宋体" w:hAnsi="宋体" w:hint="eastAsia"/>
          <w:sz w:val="24"/>
        </w:rPr>
        <w:t>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28E2AE8B" w14:textId="77777777" w:rsidR="00E82AF4" w:rsidRDefault="005B2E6A">
      <w:pPr>
        <w:pStyle w:val="HD0"/>
        <w:ind w:firstLine="480"/>
      </w:pPr>
      <w:r>
        <w:rPr>
          <w:rFonts w:ascii="宋体" w:hAnsi="宋体" w:hint="eastAsia"/>
          <w:sz w:val="24"/>
        </w:rPr>
        <w:t>三、由于基金管理人、基金托管人不可控制的因素导致业务出现差错，基金管理人和基金托管人虽然已经采取必要、适当、合理的措施进行检查，但是未能发现错误或虽然发现错误但无法及时更正的，由此造成基金财产或投资人损失，基金管理人和基金托管人免除赔偿责任。但是基金管理人和基金托管人应积极采取必要的措施消除或减轻由此造成的影响。</w:t>
      </w:r>
    </w:p>
    <w:p w14:paraId="0E9FE1BB" w14:textId="77777777" w:rsidR="00E82AF4" w:rsidRDefault="00E82AF4">
      <w:pPr>
        <w:spacing w:line="360" w:lineRule="auto"/>
        <w:ind w:firstLineChars="200" w:firstLine="480"/>
        <w:rPr>
          <w:sz w:val="24"/>
        </w:rPr>
      </w:pPr>
    </w:p>
    <w:p w14:paraId="21CC1008" w14:textId="77777777" w:rsidR="00E82AF4" w:rsidRDefault="00E82AF4">
      <w:pPr>
        <w:spacing w:line="360" w:lineRule="auto"/>
        <w:ind w:firstLineChars="200" w:firstLine="480"/>
        <w:rPr>
          <w:bCs/>
          <w:sz w:val="24"/>
        </w:rPr>
      </w:pPr>
    </w:p>
    <w:p w14:paraId="35EE7CEB" w14:textId="77777777" w:rsidR="00E82AF4" w:rsidRDefault="00E82AF4">
      <w:pPr>
        <w:spacing w:line="360" w:lineRule="auto"/>
        <w:ind w:firstLineChars="200" w:firstLine="480"/>
        <w:rPr>
          <w:bCs/>
          <w:sz w:val="24"/>
        </w:rPr>
      </w:pPr>
    </w:p>
    <w:p w14:paraId="29F252D4" w14:textId="77777777" w:rsidR="00E82AF4" w:rsidRDefault="005B2E6A">
      <w:pPr>
        <w:pStyle w:val="1"/>
        <w:spacing w:before="0" w:after="0"/>
        <w:jc w:val="center"/>
        <w:rPr>
          <w:rFonts w:ascii="Times New Roman"/>
          <w:color w:val="auto"/>
          <w:sz w:val="32"/>
        </w:rPr>
      </w:pPr>
      <w:bookmarkStart w:id="554" w:name="_Toc6110"/>
      <w:r>
        <w:br w:type="page"/>
      </w:r>
      <w:bookmarkStart w:id="555" w:name="_Toc30350"/>
      <w:bookmarkStart w:id="556" w:name="_Toc123051467"/>
      <w:bookmarkStart w:id="557" w:name="_Toc21983"/>
      <w:bookmarkStart w:id="558" w:name="_Toc23999"/>
      <w:bookmarkStart w:id="559" w:name="_Toc24923"/>
      <w:bookmarkStart w:id="560" w:name="_Toc98560366"/>
      <w:bookmarkStart w:id="561" w:name="_Toc123112249"/>
      <w:bookmarkStart w:id="562" w:name="_Toc25651"/>
      <w:bookmarkStart w:id="563" w:name="_Toc6202"/>
      <w:bookmarkStart w:id="564" w:name="_Toc3319"/>
      <w:bookmarkStart w:id="565" w:name="_Toc123102468"/>
      <w:bookmarkStart w:id="566" w:name="_Toc3162"/>
      <w:bookmarkStart w:id="567" w:name="_Toc139991751"/>
      <w:bookmarkStart w:id="568" w:name="_Toc141703902"/>
      <w:bookmarkStart w:id="569" w:name="_Toc32307778"/>
      <w:bookmarkStart w:id="570" w:name="_Toc1790"/>
      <w:bookmarkStart w:id="571" w:name="_Toc7288"/>
      <w:bookmarkStart w:id="572" w:name="_Toc8636"/>
      <w:bookmarkStart w:id="573" w:name="_Hlk163664007"/>
      <w:r>
        <w:rPr>
          <w:rFonts w:ascii="Times New Roman"/>
          <w:color w:val="auto"/>
          <w:sz w:val="32"/>
          <w:szCs w:val="32"/>
        </w:rPr>
        <w:lastRenderedPageBreak/>
        <w:t>第二十</w:t>
      </w:r>
      <w:r>
        <w:rPr>
          <w:rFonts w:ascii="Times New Roman" w:hint="eastAsia"/>
          <w:color w:val="auto"/>
          <w:sz w:val="32"/>
          <w:szCs w:val="32"/>
        </w:rPr>
        <w:t>三</w:t>
      </w:r>
      <w:r>
        <w:rPr>
          <w:rFonts w:ascii="Times New Roman"/>
          <w:color w:val="auto"/>
          <w:sz w:val="32"/>
          <w:szCs w:val="32"/>
        </w:rPr>
        <w:t>部分</w:t>
      </w:r>
      <w:r>
        <w:rPr>
          <w:rFonts w:ascii="Times New Roman"/>
          <w:color w:val="auto"/>
          <w:sz w:val="32"/>
        </w:rPr>
        <w:t xml:space="preserve">  </w:t>
      </w:r>
      <w:r>
        <w:rPr>
          <w:rFonts w:ascii="Times New Roman" w:hint="eastAsia"/>
          <w:color w:val="auto"/>
          <w:sz w:val="32"/>
        </w:rPr>
        <w:t>争议的处理和适用的法律</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0E76EBE7" w14:textId="77777777" w:rsidR="00E82AF4" w:rsidRDefault="00E82AF4">
      <w:pPr>
        <w:spacing w:line="360" w:lineRule="auto"/>
        <w:ind w:firstLineChars="200" w:firstLine="480"/>
        <w:rPr>
          <w:bCs/>
          <w:sz w:val="24"/>
        </w:rPr>
      </w:pPr>
    </w:p>
    <w:p w14:paraId="4CF68E4E" w14:textId="77777777" w:rsidR="00E82AF4" w:rsidRDefault="005B2E6A">
      <w:pPr>
        <w:adjustRightInd w:val="0"/>
        <w:snapToGrid w:val="0"/>
        <w:spacing w:line="360" w:lineRule="auto"/>
        <w:ind w:firstLineChars="200" w:firstLine="480"/>
        <w:rPr>
          <w:rFonts w:ascii="宋体" w:hAnsi="宋体"/>
          <w:sz w:val="24"/>
        </w:rPr>
      </w:pPr>
      <w:r>
        <w:rPr>
          <w:rFonts w:ascii="宋体" w:hAnsi="宋体" w:hint="eastAsia"/>
          <w:bCs/>
          <w:sz w:val="24"/>
          <w:szCs w:val="24"/>
        </w:rPr>
        <w:t>对于</w:t>
      </w:r>
      <w:r>
        <w:rPr>
          <w:rFonts w:ascii="宋体" w:hAnsi="宋体" w:hint="eastAsia"/>
          <w:sz w:val="24"/>
        </w:rPr>
        <w:t>因</w:t>
      </w:r>
      <w:r>
        <w:rPr>
          <w:rFonts w:ascii="宋体" w:hAnsi="宋体" w:hint="eastAsia"/>
          <w:bCs/>
          <w:sz w:val="24"/>
          <w:szCs w:val="24"/>
        </w:rPr>
        <w:t>基金合同</w:t>
      </w:r>
      <w:r>
        <w:rPr>
          <w:rFonts w:ascii="宋体" w:hAnsi="宋体" w:hint="eastAsia"/>
          <w:sz w:val="24"/>
        </w:rPr>
        <w:t>的</w:t>
      </w:r>
      <w:r>
        <w:rPr>
          <w:rFonts w:ascii="宋体" w:hAnsi="宋体" w:hint="eastAsia"/>
          <w:bCs/>
          <w:sz w:val="24"/>
          <w:szCs w:val="24"/>
        </w:rPr>
        <w:t>订立、内容、履行和解释</w:t>
      </w:r>
      <w:r>
        <w:rPr>
          <w:rFonts w:ascii="宋体" w:hAnsi="宋体" w:hint="eastAsia"/>
          <w:sz w:val="24"/>
        </w:rPr>
        <w:t>或与</w:t>
      </w:r>
      <w:r>
        <w:rPr>
          <w:rFonts w:ascii="宋体" w:hAnsi="宋体" w:hint="eastAsia"/>
          <w:bCs/>
          <w:sz w:val="24"/>
          <w:szCs w:val="24"/>
        </w:rPr>
        <w:t>基金合同</w:t>
      </w:r>
      <w:r>
        <w:rPr>
          <w:rFonts w:ascii="宋体" w:hAnsi="宋体" w:hint="eastAsia"/>
          <w:sz w:val="24"/>
        </w:rPr>
        <w:t>有关的争议，</w:t>
      </w:r>
      <w:r>
        <w:rPr>
          <w:rFonts w:ascii="宋体" w:hAnsi="宋体" w:hint="eastAsia"/>
          <w:bCs/>
          <w:sz w:val="24"/>
          <w:szCs w:val="24"/>
        </w:rPr>
        <w:t>基金合同当事人应尽量通过</w:t>
      </w:r>
      <w:r>
        <w:rPr>
          <w:rFonts w:ascii="宋体" w:hAnsi="宋体" w:hint="eastAsia"/>
          <w:sz w:val="24"/>
        </w:rPr>
        <w:t>协商</w:t>
      </w:r>
      <w:r>
        <w:rPr>
          <w:rFonts w:ascii="宋体" w:hAnsi="宋体" w:hint="eastAsia"/>
          <w:bCs/>
          <w:sz w:val="24"/>
          <w:szCs w:val="24"/>
        </w:rPr>
        <w:t>、调解途径解决。不愿或者不能通过协商、调解</w:t>
      </w:r>
      <w:r>
        <w:rPr>
          <w:rFonts w:ascii="宋体" w:hAnsi="宋体" w:hint="eastAsia"/>
          <w:sz w:val="24"/>
        </w:rPr>
        <w:t>解决的，任何一方均有权将争议提交</w:t>
      </w:r>
      <w:r>
        <w:rPr>
          <w:rFonts w:ascii="宋体" w:hAnsi="宋体" w:hint="eastAsia"/>
          <w:bCs/>
          <w:sz w:val="24"/>
          <w:szCs w:val="24"/>
        </w:rPr>
        <w:t>中国国际经济贸易仲裁委员会，仲裁地点为北京市</w:t>
      </w:r>
      <w:r>
        <w:rPr>
          <w:rFonts w:ascii="宋体" w:hAnsi="宋体" w:hint="eastAsia"/>
          <w:sz w:val="24"/>
        </w:rPr>
        <w:t>，按照</w:t>
      </w:r>
      <w:r>
        <w:rPr>
          <w:rFonts w:ascii="宋体" w:hAnsi="宋体" w:hint="eastAsia"/>
          <w:bCs/>
          <w:sz w:val="24"/>
          <w:szCs w:val="24"/>
        </w:rPr>
        <w:t>中国国际经济贸易仲裁委员会</w:t>
      </w:r>
      <w:r>
        <w:rPr>
          <w:rFonts w:ascii="宋体" w:hAnsi="宋体" w:hint="eastAsia"/>
          <w:sz w:val="24"/>
        </w:rPr>
        <w:t>届时有效的仲裁规则进行仲裁。仲裁裁决是终局的，对</w:t>
      </w:r>
      <w:r>
        <w:rPr>
          <w:rFonts w:ascii="宋体" w:hAnsi="宋体" w:hint="eastAsia"/>
          <w:bCs/>
          <w:sz w:val="24"/>
          <w:szCs w:val="24"/>
        </w:rPr>
        <w:t>各方</w:t>
      </w:r>
      <w:r>
        <w:rPr>
          <w:rFonts w:ascii="宋体" w:hAnsi="宋体" w:hint="eastAsia"/>
          <w:sz w:val="24"/>
        </w:rPr>
        <w:t>当事人均有约束力</w:t>
      </w:r>
      <w:r>
        <w:rPr>
          <w:rFonts w:ascii="宋体" w:hAnsi="宋体"/>
          <w:sz w:val="24"/>
        </w:rPr>
        <w:t>。</w:t>
      </w:r>
      <w:r>
        <w:rPr>
          <w:rFonts w:ascii="宋体" w:hAnsi="宋体" w:hint="eastAsia"/>
          <w:sz w:val="24"/>
        </w:rPr>
        <w:t>仲裁费由败诉方承担</w:t>
      </w:r>
      <w:r>
        <w:rPr>
          <w:rFonts w:ascii="宋体" w:hAnsi="宋体" w:hint="eastAsia"/>
          <w:bCs/>
          <w:sz w:val="24"/>
          <w:szCs w:val="24"/>
        </w:rPr>
        <w:t>，除非仲裁裁决另有决定</w:t>
      </w:r>
      <w:r>
        <w:rPr>
          <w:rFonts w:ascii="宋体" w:hAnsi="宋体" w:hint="eastAsia"/>
          <w:sz w:val="24"/>
        </w:rPr>
        <w:t>。</w:t>
      </w:r>
    </w:p>
    <w:p w14:paraId="18941D41" w14:textId="77777777" w:rsidR="00E82AF4" w:rsidRDefault="005B2E6A">
      <w:pPr>
        <w:pStyle w:val="HD0"/>
        <w:adjustRightInd w:val="0"/>
        <w:ind w:firstLine="480"/>
        <w:rPr>
          <w:rFonts w:ascii="宋体" w:hAnsi="宋体"/>
          <w:sz w:val="24"/>
        </w:rPr>
      </w:pPr>
      <w:r>
        <w:rPr>
          <w:rFonts w:ascii="宋体" w:hAnsi="宋体" w:hint="eastAsia"/>
          <w:sz w:val="24"/>
        </w:rPr>
        <w:t>争议处理期间，基金管理人和基金托管人应恪守各自的职责，继续忠实、勤勉、尽责地履行基金合同</w:t>
      </w:r>
      <w:r>
        <w:rPr>
          <w:rFonts w:ascii="宋体" w:hAnsi="宋体" w:hint="eastAsia"/>
          <w:bCs/>
          <w:sz w:val="24"/>
          <w:szCs w:val="24"/>
        </w:rPr>
        <w:t>约定</w:t>
      </w:r>
      <w:r>
        <w:rPr>
          <w:rFonts w:ascii="宋体" w:hAnsi="宋体" w:hint="eastAsia"/>
          <w:sz w:val="24"/>
        </w:rPr>
        <w:t>的义务，维护基金份额持有人的合法权益。</w:t>
      </w:r>
    </w:p>
    <w:p w14:paraId="3FFE8D9E" w14:textId="77777777" w:rsidR="00E82AF4" w:rsidRDefault="005B2E6A">
      <w:pPr>
        <w:pStyle w:val="HD0"/>
        <w:adjustRightInd w:val="0"/>
        <w:ind w:firstLine="480"/>
      </w:pPr>
      <w:bookmarkStart w:id="574" w:name="_Toc28690"/>
      <w:r>
        <w:rPr>
          <w:rFonts w:ascii="宋体" w:hAnsi="宋体" w:hint="eastAsia"/>
          <w:bCs/>
          <w:sz w:val="24"/>
          <w:szCs w:val="24"/>
        </w:rPr>
        <w:t>本基金合同受中国法律（为本基金合同之目的，不包括香港特别行政区、澳门特别行政区和台湾地区法律）管辖，</w:t>
      </w:r>
      <w:r>
        <w:rPr>
          <w:rFonts w:ascii="宋体" w:hAnsi="宋体"/>
          <w:bCs/>
          <w:sz w:val="24"/>
          <w:szCs w:val="24"/>
        </w:rPr>
        <w:t>并按其</w:t>
      </w:r>
      <w:r>
        <w:rPr>
          <w:rFonts w:ascii="宋体" w:hAnsi="宋体" w:hint="eastAsia"/>
          <w:bCs/>
          <w:sz w:val="24"/>
          <w:szCs w:val="24"/>
        </w:rPr>
        <w:t>解释。</w:t>
      </w:r>
    </w:p>
    <w:p w14:paraId="7235FEC1" w14:textId="77777777" w:rsidR="00E82AF4" w:rsidRDefault="005B2E6A">
      <w:pPr>
        <w:widowControl/>
        <w:jc w:val="left"/>
        <w:rPr>
          <w:szCs w:val="21"/>
        </w:rPr>
      </w:pPr>
      <w:r>
        <w:rPr>
          <w:b/>
          <w:bCs/>
          <w:szCs w:val="21"/>
        </w:rPr>
        <w:br w:type="page"/>
      </w:r>
    </w:p>
    <w:p w14:paraId="5573543C" w14:textId="77777777" w:rsidR="00E82AF4" w:rsidRDefault="005B2E6A">
      <w:pPr>
        <w:pStyle w:val="1"/>
        <w:spacing w:before="0" w:after="0"/>
        <w:jc w:val="center"/>
        <w:rPr>
          <w:rFonts w:ascii="Times New Roman"/>
          <w:color w:val="auto"/>
          <w:sz w:val="32"/>
        </w:rPr>
      </w:pPr>
      <w:bookmarkStart w:id="575" w:name="_Toc123112250"/>
      <w:bookmarkStart w:id="576" w:name="_Toc23991"/>
      <w:bookmarkStart w:id="577" w:name="_Toc8454"/>
      <w:bookmarkStart w:id="578" w:name="_Toc2532"/>
      <w:bookmarkStart w:id="579" w:name="_Toc20350"/>
      <w:bookmarkStart w:id="580" w:name="_Toc8703"/>
      <w:bookmarkStart w:id="581" w:name="_Toc141703903"/>
      <w:bookmarkStart w:id="582" w:name="_Toc15069"/>
      <w:bookmarkStart w:id="583" w:name="_Toc26461"/>
      <w:bookmarkStart w:id="584" w:name="_Toc484"/>
      <w:bookmarkStart w:id="585" w:name="_Toc29505"/>
      <w:bookmarkStart w:id="586" w:name="_Toc31966"/>
      <w:bookmarkStart w:id="587" w:name="_Toc123102469"/>
      <w:bookmarkStart w:id="588" w:name="_Toc139991752"/>
      <w:bookmarkStart w:id="589" w:name="_Toc123051468"/>
      <w:bookmarkStart w:id="590" w:name="_Toc11618"/>
      <w:bookmarkStart w:id="591" w:name="_Toc32307779"/>
      <w:bookmarkEnd w:id="573"/>
      <w:r>
        <w:rPr>
          <w:rFonts w:ascii="Times New Roman"/>
          <w:color w:val="auto"/>
          <w:sz w:val="32"/>
          <w:szCs w:val="32"/>
        </w:rPr>
        <w:lastRenderedPageBreak/>
        <w:t>第二十</w:t>
      </w:r>
      <w:r>
        <w:rPr>
          <w:rFonts w:ascii="Times New Roman" w:hint="eastAsia"/>
          <w:color w:val="auto"/>
          <w:sz w:val="32"/>
          <w:szCs w:val="32"/>
        </w:rPr>
        <w:t>四</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 xml:space="preserve"> </w:t>
      </w:r>
      <w:r>
        <w:rPr>
          <w:rFonts w:ascii="Times New Roman" w:hint="eastAsia"/>
          <w:color w:val="auto"/>
          <w:sz w:val="32"/>
        </w:rPr>
        <w:t>基金合同的效力</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5A14553C" w14:textId="77777777" w:rsidR="00E82AF4" w:rsidRDefault="00E82AF4">
      <w:pPr>
        <w:spacing w:line="360" w:lineRule="auto"/>
        <w:ind w:firstLineChars="200" w:firstLine="480"/>
        <w:rPr>
          <w:bCs/>
          <w:sz w:val="24"/>
        </w:rPr>
      </w:pPr>
    </w:p>
    <w:p w14:paraId="30D7A3B5" w14:textId="77777777" w:rsidR="00E82AF4" w:rsidRDefault="005B2E6A">
      <w:pPr>
        <w:pStyle w:val="HD0"/>
        <w:adjustRightInd w:val="0"/>
        <w:ind w:firstLine="480"/>
        <w:rPr>
          <w:rFonts w:ascii="宋体" w:hAnsi="宋体"/>
          <w:sz w:val="24"/>
        </w:rPr>
      </w:pPr>
      <w:r>
        <w:rPr>
          <w:rFonts w:ascii="宋体" w:hAnsi="宋体" w:hint="eastAsia"/>
          <w:sz w:val="24"/>
          <w:szCs w:val="24"/>
        </w:rPr>
        <w:t>基金合同</w:t>
      </w:r>
      <w:r>
        <w:rPr>
          <w:rFonts w:ascii="宋体" w:hAnsi="宋体" w:hint="eastAsia"/>
          <w:sz w:val="24"/>
        </w:rPr>
        <w:t>是约定基金</w:t>
      </w:r>
      <w:r>
        <w:rPr>
          <w:rFonts w:ascii="宋体" w:hAnsi="宋体" w:hint="eastAsia"/>
          <w:sz w:val="24"/>
          <w:szCs w:val="24"/>
        </w:rPr>
        <w:t>合同</w:t>
      </w:r>
      <w:r>
        <w:rPr>
          <w:rFonts w:ascii="宋体" w:hAnsi="宋体" w:hint="eastAsia"/>
          <w:sz w:val="24"/>
        </w:rPr>
        <w:t>当事人之间权利义务关系的法律文件。</w:t>
      </w:r>
    </w:p>
    <w:p w14:paraId="285DA6C0" w14:textId="77777777" w:rsidR="00E82AF4" w:rsidRDefault="005B2E6A">
      <w:pPr>
        <w:pStyle w:val="HD0"/>
        <w:adjustRightInd w:val="0"/>
        <w:ind w:firstLine="480"/>
        <w:rPr>
          <w:rFonts w:ascii="宋体" w:hAnsi="宋体"/>
          <w:sz w:val="24"/>
        </w:rPr>
      </w:pPr>
      <w:r>
        <w:rPr>
          <w:rFonts w:ascii="宋体" w:hAnsi="宋体" w:hint="eastAsia"/>
          <w:sz w:val="24"/>
        </w:rPr>
        <w:t>1、</w:t>
      </w:r>
      <w:r>
        <w:rPr>
          <w:rFonts w:ascii="宋体" w:hAnsi="宋体" w:hint="eastAsia"/>
          <w:sz w:val="24"/>
          <w:szCs w:val="24"/>
        </w:rPr>
        <w:t>基金合同经基金管理人、基金托管人双方加盖公章或合同专用章以及双方法定代表人或授权代表签字或盖章，</w:t>
      </w:r>
      <w:r>
        <w:rPr>
          <w:rFonts w:ascii="宋体" w:hAnsi="宋体" w:hint="eastAsia"/>
          <w:sz w:val="24"/>
        </w:rPr>
        <w:t>并在募集结束后经基金管理人向中国证监会办理基金备案手续，并经中国证监会书面确认后生效。</w:t>
      </w:r>
    </w:p>
    <w:p w14:paraId="4990CC1A" w14:textId="77777777" w:rsidR="00E82AF4" w:rsidRDefault="005B2E6A">
      <w:pPr>
        <w:pStyle w:val="HD0"/>
        <w:adjustRightInd w:val="0"/>
        <w:ind w:firstLine="480"/>
        <w:rPr>
          <w:rFonts w:ascii="宋体" w:hAnsi="宋体"/>
          <w:sz w:val="24"/>
        </w:rPr>
      </w:pPr>
      <w:r>
        <w:rPr>
          <w:rFonts w:ascii="宋体" w:hAnsi="宋体" w:hint="eastAsia"/>
          <w:sz w:val="24"/>
        </w:rPr>
        <w:t>2、</w:t>
      </w:r>
      <w:r>
        <w:rPr>
          <w:rFonts w:ascii="宋体" w:hAnsi="宋体" w:hint="eastAsia"/>
          <w:sz w:val="24"/>
          <w:szCs w:val="24"/>
        </w:rPr>
        <w:t>基金合同</w:t>
      </w:r>
      <w:r>
        <w:rPr>
          <w:rFonts w:ascii="宋体" w:hAnsi="宋体" w:hint="eastAsia"/>
          <w:sz w:val="24"/>
        </w:rPr>
        <w:t>的有效期自其生效之日起至基金财产清算结果报中国证监会备案并公告之日止。</w:t>
      </w:r>
    </w:p>
    <w:p w14:paraId="27E1D02F" w14:textId="77777777" w:rsidR="00E82AF4" w:rsidRDefault="005B2E6A">
      <w:pPr>
        <w:pStyle w:val="HD0"/>
        <w:adjustRightInd w:val="0"/>
        <w:ind w:firstLine="480"/>
        <w:rPr>
          <w:rFonts w:ascii="宋体" w:hAnsi="宋体"/>
          <w:sz w:val="24"/>
        </w:rPr>
      </w:pPr>
      <w:r>
        <w:rPr>
          <w:rFonts w:ascii="宋体" w:hAnsi="宋体" w:hint="eastAsia"/>
          <w:sz w:val="24"/>
        </w:rPr>
        <w:t>3、</w:t>
      </w:r>
      <w:r>
        <w:rPr>
          <w:rFonts w:ascii="宋体" w:hAnsi="宋体" w:hint="eastAsia"/>
          <w:sz w:val="24"/>
          <w:szCs w:val="24"/>
        </w:rPr>
        <w:t>基金合同</w:t>
      </w:r>
      <w:r>
        <w:rPr>
          <w:rFonts w:ascii="宋体" w:hAnsi="宋体" w:hint="eastAsia"/>
          <w:sz w:val="24"/>
        </w:rPr>
        <w:t>自生效之日起对包括基金管理人、基金托管人和基金份额持有人在内的</w:t>
      </w:r>
      <w:r>
        <w:rPr>
          <w:rFonts w:ascii="宋体" w:hAnsi="宋体" w:hint="eastAsia"/>
          <w:sz w:val="24"/>
          <w:szCs w:val="24"/>
        </w:rPr>
        <w:t>基金合同</w:t>
      </w:r>
      <w:r>
        <w:rPr>
          <w:rFonts w:ascii="宋体" w:hAnsi="宋体" w:hint="eastAsia"/>
          <w:sz w:val="24"/>
        </w:rPr>
        <w:t>各方当事人具有同等的法律约束力。</w:t>
      </w:r>
    </w:p>
    <w:p w14:paraId="1DA264D9" w14:textId="77777777" w:rsidR="00E82AF4" w:rsidRDefault="005B2E6A">
      <w:pPr>
        <w:pStyle w:val="HD0"/>
        <w:adjustRightInd w:val="0"/>
        <w:ind w:firstLine="480"/>
        <w:rPr>
          <w:rFonts w:ascii="宋体" w:hAnsi="宋体"/>
          <w:sz w:val="24"/>
        </w:rPr>
      </w:pPr>
      <w:r>
        <w:rPr>
          <w:rFonts w:ascii="宋体" w:hAnsi="宋体" w:hint="eastAsia"/>
          <w:sz w:val="24"/>
        </w:rPr>
        <w:t>4、</w:t>
      </w:r>
      <w:r>
        <w:rPr>
          <w:rFonts w:ascii="宋体" w:hAnsi="宋体" w:hint="eastAsia"/>
          <w:sz w:val="24"/>
          <w:szCs w:val="24"/>
        </w:rPr>
        <w:t>基金合同</w:t>
      </w:r>
      <w:r>
        <w:rPr>
          <w:rFonts w:ascii="宋体" w:hAnsi="宋体" w:hint="eastAsia"/>
          <w:sz w:val="24"/>
        </w:rPr>
        <w:t>正本一式三份，除上报有关监管机构一式一</w:t>
      </w:r>
      <w:r>
        <w:rPr>
          <w:rFonts w:ascii="宋体" w:hAnsi="宋体" w:hint="eastAsia"/>
          <w:sz w:val="24"/>
          <w:szCs w:val="24"/>
        </w:rPr>
        <w:t>份</w:t>
      </w:r>
      <w:r>
        <w:rPr>
          <w:rFonts w:ascii="宋体" w:hAnsi="宋体" w:hint="eastAsia"/>
          <w:sz w:val="24"/>
        </w:rPr>
        <w:t>外，基金管理人、基金托管人各持有一份，每份具有同等的法律效力。</w:t>
      </w:r>
    </w:p>
    <w:p w14:paraId="373666E6" w14:textId="77777777" w:rsidR="00E82AF4" w:rsidRDefault="005B2E6A">
      <w:pPr>
        <w:pStyle w:val="HD0"/>
        <w:adjustRightInd w:val="0"/>
        <w:ind w:firstLine="480"/>
      </w:pPr>
      <w:r>
        <w:rPr>
          <w:rFonts w:ascii="宋体" w:hAnsi="宋体" w:hint="eastAsia"/>
          <w:sz w:val="24"/>
        </w:rPr>
        <w:t>5、</w:t>
      </w:r>
      <w:bookmarkStart w:id="592" w:name="_Hlk163664019"/>
      <w:r>
        <w:rPr>
          <w:rFonts w:ascii="宋体" w:hAnsi="宋体" w:hint="eastAsia"/>
          <w:sz w:val="24"/>
          <w:szCs w:val="24"/>
        </w:rPr>
        <w:t>基金合同</w:t>
      </w:r>
      <w:r>
        <w:rPr>
          <w:rFonts w:ascii="宋体" w:hAnsi="宋体" w:hint="eastAsia"/>
          <w:sz w:val="24"/>
        </w:rPr>
        <w:t>可印制成册，供</w:t>
      </w:r>
      <w:r>
        <w:rPr>
          <w:rFonts w:ascii="宋体" w:hAnsi="宋体" w:hint="eastAsia"/>
          <w:sz w:val="24"/>
          <w:szCs w:val="24"/>
        </w:rPr>
        <w:t>投资人</w:t>
      </w:r>
      <w:r>
        <w:rPr>
          <w:rFonts w:ascii="宋体" w:hAnsi="宋体" w:hint="eastAsia"/>
          <w:sz w:val="24"/>
        </w:rPr>
        <w:t>在基金管理人、基金托管人、销售机构的办公场所和营业场所查阅。</w:t>
      </w:r>
      <w:bookmarkEnd w:id="592"/>
    </w:p>
    <w:p w14:paraId="34469E3A" w14:textId="77777777" w:rsidR="00E82AF4" w:rsidRDefault="005B2E6A">
      <w:pPr>
        <w:pStyle w:val="1"/>
        <w:spacing w:before="0" w:after="0"/>
        <w:jc w:val="center"/>
        <w:rPr>
          <w:rFonts w:ascii="Times New Roman"/>
          <w:color w:val="auto"/>
          <w:sz w:val="32"/>
        </w:rPr>
      </w:pPr>
      <w:r>
        <w:br w:type="page"/>
      </w:r>
      <w:bookmarkStart w:id="593" w:name="_Toc9704"/>
      <w:bookmarkStart w:id="594" w:name="_Toc32307780"/>
      <w:bookmarkStart w:id="595" w:name="_Toc4922"/>
      <w:bookmarkStart w:id="596" w:name="_Toc21726"/>
      <w:r>
        <w:rPr>
          <w:rFonts w:ascii="Times New Roman" w:hint="eastAsia"/>
          <w:color w:val="auto"/>
          <w:sz w:val="32"/>
          <w:szCs w:val="32"/>
        </w:rPr>
        <w:lastRenderedPageBreak/>
        <w:t>第二十五</w:t>
      </w:r>
      <w:r>
        <w:rPr>
          <w:rFonts w:ascii="Times New Roman" w:hint="eastAsia"/>
          <w:color w:val="auto"/>
          <w:sz w:val="32"/>
        </w:rPr>
        <w:t>部分</w:t>
      </w:r>
      <w:r>
        <w:rPr>
          <w:rFonts w:ascii="Times New Roman"/>
          <w:color w:val="auto"/>
          <w:sz w:val="32"/>
        </w:rPr>
        <w:t xml:space="preserve">  </w:t>
      </w:r>
      <w:r>
        <w:rPr>
          <w:rFonts w:ascii="Times New Roman" w:hint="eastAsia"/>
          <w:color w:val="auto"/>
          <w:sz w:val="32"/>
        </w:rPr>
        <w:t>其他事项</w:t>
      </w:r>
      <w:bookmarkEnd w:id="593"/>
      <w:bookmarkEnd w:id="594"/>
      <w:bookmarkEnd w:id="595"/>
      <w:bookmarkEnd w:id="596"/>
    </w:p>
    <w:p w14:paraId="3E58F3B7" w14:textId="77777777" w:rsidR="00E82AF4" w:rsidRDefault="00E82AF4">
      <w:pPr>
        <w:spacing w:line="360" w:lineRule="auto"/>
        <w:ind w:firstLineChars="200" w:firstLine="480"/>
        <w:rPr>
          <w:rFonts w:ascii="宋体" w:hAnsi="宋体"/>
          <w:sz w:val="24"/>
        </w:rPr>
      </w:pPr>
    </w:p>
    <w:p w14:paraId="4DFD3CED" w14:textId="77777777" w:rsidR="00E82AF4" w:rsidRDefault="005B2E6A">
      <w:pPr>
        <w:pStyle w:val="HD0"/>
        <w:ind w:firstLine="480"/>
        <w:rPr>
          <w:sz w:val="24"/>
        </w:rPr>
      </w:pPr>
      <w:r>
        <w:rPr>
          <w:rFonts w:hint="eastAsia"/>
          <w:sz w:val="24"/>
          <w:szCs w:val="24"/>
        </w:rPr>
        <w:t>基金合同</w:t>
      </w:r>
      <w:r>
        <w:rPr>
          <w:rFonts w:hint="eastAsia"/>
          <w:sz w:val="24"/>
        </w:rPr>
        <w:t>如有未尽事宜，由</w:t>
      </w:r>
      <w:r>
        <w:rPr>
          <w:rFonts w:hint="eastAsia"/>
          <w:sz w:val="24"/>
          <w:szCs w:val="24"/>
        </w:rPr>
        <w:t>基金合同</w:t>
      </w:r>
      <w:r>
        <w:rPr>
          <w:rFonts w:hint="eastAsia"/>
          <w:sz w:val="24"/>
        </w:rPr>
        <w:t>当事人各方按有关法律法规协商解决。</w:t>
      </w:r>
    </w:p>
    <w:p w14:paraId="05110D82" w14:textId="77777777" w:rsidR="00E82AF4" w:rsidRDefault="005B2E6A">
      <w:pPr>
        <w:widowControl/>
        <w:jc w:val="left"/>
        <w:rPr>
          <w:rFonts w:ascii="宋体" w:hAnsi="宋体"/>
          <w:sz w:val="24"/>
        </w:rPr>
      </w:pPr>
      <w:bookmarkStart w:id="597" w:name="_Toc15045"/>
      <w:r>
        <w:rPr>
          <w:b/>
          <w:bCs/>
          <w:sz w:val="24"/>
        </w:rPr>
        <w:br w:type="page"/>
      </w:r>
    </w:p>
    <w:p w14:paraId="2A0BDEBE" w14:textId="77777777" w:rsidR="00E82AF4" w:rsidRDefault="005B2E6A">
      <w:pPr>
        <w:pStyle w:val="1"/>
        <w:spacing w:before="0" w:after="0"/>
        <w:jc w:val="center"/>
        <w:rPr>
          <w:rFonts w:ascii="Times New Roman"/>
          <w:color w:val="auto"/>
          <w:sz w:val="32"/>
          <w:szCs w:val="32"/>
        </w:rPr>
      </w:pPr>
      <w:bookmarkStart w:id="598" w:name="_Toc30308"/>
      <w:bookmarkStart w:id="599" w:name="_Toc141703905"/>
      <w:bookmarkStart w:id="600" w:name="_Toc1360"/>
      <w:bookmarkStart w:id="601" w:name="_Toc21122"/>
      <w:bookmarkStart w:id="602" w:name="_Toc32355"/>
      <w:bookmarkStart w:id="603" w:name="_Toc7437"/>
      <w:bookmarkStart w:id="604" w:name="_Toc17263"/>
      <w:bookmarkStart w:id="605" w:name="_Toc20098"/>
      <w:bookmarkStart w:id="606" w:name="_Toc15664"/>
      <w:bookmarkStart w:id="607" w:name="_Toc9054"/>
      <w:bookmarkStart w:id="608" w:name="_Toc5108"/>
      <w:bookmarkStart w:id="609" w:name="_Toc32307781"/>
      <w:bookmarkStart w:id="610" w:name="_Toc12499"/>
      <w:bookmarkStart w:id="611" w:name="_Hlk163663943"/>
      <w:r>
        <w:rPr>
          <w:rFonts w:ascii="Times New Roman"/>
          <w:color w:val="auto"/>
          <w:sz w:val="32"/>
          <w:szCs w:val="32"/>
        </w:rPr>
        <w:lastRenderedPageBreak/>
        <w:t>第二十</w:t>
      </w:r>
      <w:r>
        <w:rPr>
          <w:rFonts w:ascii="Times New Roman" w:hint="eastAsia"/>
          <w:color w:val="auto"/>
          <w:sz w:val="32"/>
          <w:szCs w:val="32"/>
        </w:rPr>
        <w:t>六</w:t>
      </w:r>
      <w:r>
        <w:rPr>
          <w:rFonts w:ascii="Times New Roman"/>
          <w:color w:val="auto"/>
          <w:sz w:val="32"/>
          <w:szCs w:val="32"/>
        </w:rPr>
        <w:t>部分</w:t>
      </w:r>
      <w:r>
        <w:rPr>
          <w:rFonts w:ascii="Times New Roman"/>
          <w:color w:val="auto"/>
          <w:sz w:val="32"/>
          <w:szCs w:val="32"/>
        </w:rPr>
        <w:t xml:space="preserve"> </w:t>
      </w:r>
      <w:r>
        <w:rPr>
          <w:rFonts w:ascii="Times New Roman" w:hint="eastAsia"/>
          <w:color w:val="auto"/>
          <w:sz w:val="32"/>
          <w:szCs w:val="32"/>
        </w:rPr>
        <w:t xml:space="preserve"> </w:t>
      </w:r>
      <w:r>
        <w:rPr>
          <w:rFonts w:ascii="Times New Roman" w:hint="eastAsia"/>
          <w:color w:val="auto"/>
          <w:sz w:val="32"/>
          <w:szCs w:val="32"/>
        </w:rPr>
        <w:t>基金合同内容摘要</w:t>
      </w:r>
      <w:bookmarkEnd w:id="106"/>
      <w:bookmarkEnd w:id="107"/>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5C8CAC5D" w14:textId="77777777" w:rsidR="00E82AF4" w:rsidRDefault="005B2E6A">
      <w:pPr>
        <w:spacing w:line="360" w:lineRule="auto"/>
        <w:ind w:firstLineChars="200" w:firstLine="480"/>
        <w:rPr>
          <w:rFonts w:ascii="宋体" w:hAnsi="宋体"/>
          <w:sz w:val="24"/>
        </w:rPr>
      </w:pPr>
      <w:r>
        <w:rPr>
          <w:rFonts w:ascii="宋体" w:hAnsi="宋体" w:hint="eastAsia"/>
          <w:sz w:val="24"/>
        </w:rPr>
        <w:t>一、基金管理人、基金托管人和基金份额持有人的权利、义务</w:t>
      </w:r>
    </w:p>
    <w:p w14:paraId="00630F24" w14:textId="77777777" w:rsidR="00E82AF4" w:rsidRDefault="005B2E6A">
      <w:pPr>
        <w:pStyle w:val="20"/>
        <w:ind w:firstLine="480"/>
        <w:rPr>
          <w:rFonts w:asciiTheme="minorEastAsia" w:eastAsiaTheme="minorEastAsia" w:hAnsiTheme="minorEastAsia"/>
          <w:sz w:val="24"/>
        </w:rPr>
      </w:pPr>
      <w:r>
        <w:rPr>
          <w:rFonts w:asciiTheme="minorEastAsia" w:eastAsiaTheme="minorEastAsia" w:hAnsiTheme="minorEastAsia" w:hint="eastAsia"/>
          <w:sz w:val="24"/>
        </w:rPr>
        <w:t>（一）基金管理人的权利与义务</w:t>
      </w:r>
    </w:p>
    <w:p w14:paraId="469F3380"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1、根据《基金法》、《运作办法》及其他有关规定，基金管理人的权利包括但不限于：</w:t>
      </w:r>
    </w:p>
    <w:p w14:paraId="5F115951" w14:textId="77777777" w:rsidR="00E82AF4" w:rsidRDefault="005B2E6A">
      <w:pPr>
        <w:spacing w:line="360" w:lineRule="auto"/>
        <w:ind w:firstLineChars="200" w:firstLine="480"/>
        <w:rPr>
          <w:rFonts w:ascii="宋体" w:hAnsi="宋体"/>
          <w:sz w:val="24"/>
        </w:rPr>
      </w:pPr>
      <w:r>
        <w:rPr>
          <w:rFonts w:ascii="宋体" w:hAnsi="宋体" w:hint="eastAsia"/>
          <w:sz w:val="24"/>
        </w:rPr>
        <w:t>（1）依法募集资金；</w:t>
      </w:r>
    </w:p>
    <w:p w14:paraId="3710F253" w14:textId="77777777" w:rsidR="00E82AF4" w:rsidRDefault="005B2E6A">
      <w:pPr>
        <w:spacing w:line="360" w:lineRule="auto"/>
        <w:ind w:firstLineChars="200" w:firstLine="480"/>
        <w:rPr>
          <w:rFonts w:ascii="宋体" w:hAnsi="宋体"/>
          <w:sz w:val="24"/>
        </w:rPr>
      </w:pPr>
      <w:r>
        <w:rPr>
          <w:rFonts w:ascii="宋体" w:hAnsi="宋体" w:hint="eastAsia"/>
          <w:sz w:val="24"/>
        </w:rPr>
        <w:t>（2）自</w:t>
      </w:r>
      <w:r>
        <w:rPr>
          <w:rFonts w:ascii="宋体" w:hAnsi="宋体" w:hint="eastAsia"/>
          <w:sz w:val="24"/>
          <w:szCs w:val="24"/>
        </w:rPr>
        <w:t>基金合同</w:t>
      </w:r>
      <w:r>
        <w:rPr>
          <w:rFonts w:ascii="宋体" w:hAnsi="宋体" w:hint="eastAsia"/>
          <w:sz w:val="24"/>
        </w:rPr>
        <w:t>生效之日起，根据法律法规和</w:t>
      </w:r>
      <w:r>
        <w:rPr>
          <w:rFonts w:ascii="宋体" w:hAnsi="宋体" w:hint="eastAsia"/>
          <w:sz w:val="24"/>
          <w:szCs w:val="24"/>
        </w:rPr>
        <w:t>基金合同</w:t>
      </w:r>
      <w:r>
        <w:rPr>
          <w:rFonts w:ascii="宋体" w:hAnsi="宋体" w:hint="eastAsia"/>
          <w:sz w:val="24"/>
        </w:rPr>
        <w:t>独立运用并管理基金财产；</w:t>
      </w:r>
    </w:p>
    <w:p w14:paraId="605AC777" w14:textId="77777777" w:rsidR="00E82AF4" w:rsidRDefault="005B2E6A">
      <w:pPr>
        <w:spacing w:line="360" w:lineRule="auto"/>
        <w:ind w:firstLineChars="200" w:firstLine="480"/>
        <w:rPr>
          <w:rFonts w:ascii="宋体" w:hAnsi="宋体"/>
          <w:sz w:val="24"/>
        </w:rPr>
      </w:pPr>
      <w:r>
        <w:rPr>
          <w:rFonts w:ascii="宋体" w:hAnsi="宋体" w:hint="eastAsia"/>
          <w:sz w:val="24"/>
        </w:rPr>
        <w:t>（3）依照</w:t>
      </w:r>
      <w:r>
        <w:rPr>
          <w:rFonts w:ascii="宋体" w:hAnsi="宋体" w:hint="eastAsia"/>
          <w:sz w:val="24"/>
          <w:szCs w:val="24"/>
        </w:rPr>
        <w:t>基金合同</w:t>
      </w:r>
      <w:r>
        <w:rPr>
          <w:rFonts w:ascii="宋体" w:hAnsi="宋体" w:hint="eastAsia"/>
          <w:sz w:val="24"/>
        </w:rPr>
        <w:t>收取基金管理费以及法律法规规定或中国证监会批准的其他费用；</w:t>
      </w:r>
    </w:p>
    <w:p w14:paraId="60756C0A" w14:textId="77777777" w:rsidR="00E82AF4" w:rsidRDefault="005B2E6A">
      <w:pPr>
        <w:spacing w:line="360" w:lineRule="auto"/>
        <w:ind w:firstLineChars="200" w:firstLine="480"/>
        <w:rPr>
          <w:rFonts w:ascii="宋体" w:hAnsi="宋体"/>
          <w:sz w:val="24"/>
        </w:rPr>
      </w:pPr>
      <w:r>
        <w:rPr>
          <w:rFonts w:ascii="宋体" w:hAnsi="宋体" w:hint="eastAsia"/>
          <w:sz w:val="24"/>
        </w:rPr>
        <w:t>（4）销售基金份额；</w:t>
      </w:r>
    </w:p>
    <w:p w14:paraId="5E0FA806" w14:textId="77777777" w:rsidR="00E82AF4" w:rsidRDefault="005B2E6A">
      <w:pPr>
        <w:spacing w:line="360" w:lineRule="auto"/>
        <w:ind w:firstLineChars="200" w:firstLine="480"/>
        <w:rPr>
          <w:rFonts w:ascii="宋体" w:hAnsi="宋体"/>
          <w:sz w:val="24"/>
        </w:rPr>
      </w:pPr>
      <w:r>
        <w:rPr>
          <w:rFonts w:ascii="宋体" w:hAnsi="宋体" w:hint="eastAsia"/>
          <w:sz w:val="24"/>
        </w:rPr>
        <w:t>（5）按照规定召集基金份额持有人大会；</w:t>
      </w:r>
    </w:p>
    <w:p w14:paraId="0922E7CF" w14:textId="77777777" w:rsidR="00E82AF4" w:rsidRDefault="005B2E6A">
      <w:pPr>
        <w:spacing w:line="360" w:lineRule="auto"/>
        <w:ind w:firstLineChars="200" w:firstLine="480"/>
        <w:rPr>
          <w:rFonts w:ascii="宋体" w:hAnsi="宋体"/>
          <w:sz w:val="24"/>
        </w:rPr>
      </w:pPr>
      <w:r>
        <w:rPr>
          <w:rFonts w:ascii="宋体" w:hAnsi="宋体" w:hint="eastAsia"/>
          <w:sz w:val="24"/>
        </w:rPr>
        <w:t>（6）依据</w:t>
      </w:r>
      <w:r>
        <w:rPr>
          <w:rFonts w:ascii="宋体" w:hAnsi="宋体" w:hint="eastAsia"/>
          <w:sz w:val="24"/>
          <w:szCs w:val="24"/>
        </w:rPr>
        <w:t>基金合同</w:t>
      </w:r>
      <w:r>
        <w:rPr>
          <w:rFonts w:ascii="宋体" w:hAnsi="宋体" w:hint="eastAsia"/>
          <w:sz w:val="24"/>
        </w:rPr>
        <w:t>及有关法律规定监督基金托管人，如认为基金托管人违反了</w:t>
      </w:r>
      <w:r>
        <w:rPr>
          <w:rFonts w:ascii="宋体" w:hAnsi="宋体" w:hint="eastAsia"/>
          <w:sz w:val="24"/>
          <w:szCs w:val="24"/>
        </w:rPr>
        <w:t>基金合同</w:t>
      </w:r>
      <w:r>
        <w:rPr>
          <w:rFonts w:ascii="宋体" w:hAnsi="宋体" w:hint="eastAsia"/>
          <w:sz w:val="24"/>
        </w:rPr>
        <w:t>及国家有关法律规定，应呈报中国证监会和其他监管部门，并采取必要措施保护基金</w:t>
      </w:r>
      <w:r>
        <w:rPr>
          <w:rFonts w:ascii="宋体" w:hAnsi="宋体" w:hint="eastAsia"/>
          <w:sz w:val="24"/>
          <w:szCs w:val="24"/>
        </w:rPr>
        <w:t>投资人</w:t>
      </w:r>
      <w:r>
        <w:rPr>
          <w:rFonts w:ascii="宋体" w:hAnsi="宋体" w:hint="eastAsia"/>
          <w:sz w:val="24"/>
        </w:rPr>
        <w:t>的利益；</w:t>
      </w:r>
    </w:p>
    <w:p w14:paraId="31691413" w14:textId="77777777" w:rsidR="00E82AF4" w:rsidRDefault="005B2E6A">
      <w:pPr>
        <w:spacing w:line="360" w:lineRule="auto"/>
        <w:ind w:firstLineChars="200" w:firstLine="480"/>
        <w:rPr>
          <w:rFonts w:ascii="宋体" w:hAnsi="宋体"/>
          <w:sz w:val="24"/>
        </w:rPr>
      </w:pPr>
      <w:r>
        <w:rPr>
          <w:rFonts w:ascii="宋体" w:hAnsi="宋体" w:hint="eastAsia"/>
          <w:sz w:val="24"/>
        </w:rPr>
        <w:t>（7）在基金托管人更换时，提名新的基金托管人；</w:t>
      </w:r>
    </w:p>
    <w:p w14:paraId="6CF54AB8" w14:textId="77777777" w:rsidR="00E82AF4" w:rsidRDefault="005B2E6A">
      <w:pPr>
        <w:spacing w:line="360" w:lineRule="auto"/>
        <w:ind w:firstLineChars="200" w:firstLine="480"/>
        <w:rPr>
          <w:rFonts w:ascii="宋体" w:hAnsi="宋体"/>
          <w:sz w:val="24"/>
        </w:rPr>
      </w:pPr>
      <w:r>
        <w:rPr>
          <w:rFonts w:ascii="宋体" w:hAnsi="宋体" w:hint="eastAsia"/>
          <w:sz w:val="24"/>
        </w:rPr>
        <w:t>（8）选择、更换销售机构，对销售机构的相关行为进行监督和处理；</w:t>
      </w:r>
    </w:p>
    <w:p w14:paraId="4D3D5608" w14:textId="77777777" w:rsidR="00E82AF4" w:rsidRDefault="005B2E6A">
      <w:pPr>
        <w:spacing w:line="360" w:lineRule="auto"/>
        <w:ind w:firstLineChars="200" w:firstLine="480"/>
        <w:rPr>
          <w:rFonts w:ascii="宋体" w:hAnsi="宋体"/>
          <w:sz w:val="24"/>
        </w:rPr>
      </w:pPr>
      <w:r>
        <w:rPr>
          <w:rFonts w:ascii="宋体" w:hAnsi="宋体" w:hint="eastAsia"/>
          <w:sz w:val="24"/>
        </w:rPr>
        <w:t>（9）担任或委托其他符合条件的机构担任基金登记机构办理基金登记业务并获得</w:t>
      </w:r>
      <w:r>
        <w:rPr>
          <w:rFonts w:ascii="宋体" w:hAnsi="宋体" w:hint="eastAsia"/>
          <w:sz w:val="24"/>
          <w:szCs w:val="24"/>
        </w:rPr>
        <w:t>基金合同</w:t>
      </w:r>
      <w:r>
        <w:rPr>
          <w:rFonts w:ascii="宋体" w:hAnsi="宋体" w:hint="eastAsia"/>
          <w:sz w:val="24"/>
        </w:rPr>
        <w:t>规定的费用；</w:t>
      </w:r>
    </w:p>
    <w:p w14:paraId="37AC5FDF" w14:textId="77777777" w:rsidR="00E82AF4" w:rsidRDefault="005B2E6A">
      <w:pPr>
        <w:spacing w:line="360" w:lineRule="auto"/>
        <w:ind w:firstLineChars="200" w:firstLine="480"/>
        <w:rPr>
          <w:rFonts w:ascii="宋体" w:hAnsi="宋体"/>
          <w:sz w:val="24"/>
        </w:rPr>
      </w:pPr>
      <w:r>
        <w:rPr>
          <w:rFonts w:ascii="宋体" w:hAnsi="宋体" w:hint="eastAsia"/>
          <w:sz w:val="24"/>
        </w:rPr>
        <w:t>（10）依据</w:t>
      </w:r>
      <w:r>
        <w:rPr>
          <w:rFonts w:ascii="宋体" w:hAnsi="宋体" w:hint="eastAsia"/>
          <w:sz w:val="24"/>
          <w:szCs w:val="24"/>
        </w:rPr>
        <w:t>基金合同</w:t>
      </w:r>
      <w:r>
        <w:rPr>
          <w:rFonts w:ascii="宋体" w:hAnsi="宋体" w:hint="eastAsia"/>
          <w:sz w:val="24"/>
        </w:rPr>
        <w:t>及有关法律规定决定基金收益的分配方案；</w:t>
      </w:r>
    </w:p>
    <w:p w14:paraId="3503F2D0" w14:textId="77777777" w:rsidR="00E82AF4" w:rsidRDefault="005B2E6A">
      <w:pPr>
        <w:spacing w:line="360" w:lineRule="auto"/>
        <w:ind w:firstLineChars="200" w:firstLine="480"/>
        <w:rPr>
          <w:rFonts w:ascii="宋体" w:hAnsi="宋体"/>
          <w:sz w:val="24"/>
        </w:rPr>
      </w:pPr>
      <w:r>
        <w:rPr>
          <w:rFonts w:ascii="宋体" w:hAnsi="宋体" w:hint="eastAsia"/>
          <w:sz w:val="24"/>
        </w:rPr>
        <w:t>（11）在</w:t>
      </w:r>
      <w:r>
        <w:rPr>
          <w:rFonts w:ascii="宋体" w:hAnsi="宋体" w:hint="eastAsia"/>
          <w:sz w:val="24"/>
          <w:szCs w:val="24"/>
        </w:rPr>
        <w:t>基金合同</w:t>
      </w:r>
      <w:r>
        <w:rPr>
          <w:rFonts w:ascii="宋体" w:hAnsi="宋体" w:hint="eastAsia"/>
          <w:sz w:val="24"/>
        </w:rPr>
        <w:t>约定的范围内，拒绝或暂停受理申购</w:t>
      </w:r>
      <w:r>
        <w:rPr>
          <w:rFonts w:ascii="宋体" w:hAnsi="宋体" w:hint="eastAsia"/>
          <w:sz w:val="24"/>
          <w:szCs w:val="24"/>
        </w:rPr>
        <w:t>与</w:t>
      </w:r>
      <w:r>
        <w:rPr>
          <w:rFonts w:ascii="宋体" w:hAnsi="宋体" w:hint="eastAsia"/>
          <w:sz w:val="24"/>
        </w:rPr>
        <w:t>赎回申请；</w:t>
      </w:r>
    </w:p>
    <w:p w14:paraId="176C285F" w14:textId="77777777" w:rsidR="00E82AF4" w:rsidRDefault="005B2E6A">
      <w:pPr>
        <w:spacing w:line="360" w:lineRule="auto"/>
        <w:ind w:firstLineChars="200" w:firstLine="480"/>
        <w:rPr>
          <w:rFonts w:ascii="宋体" w:hAnsi="宋体"/>
          <w:sz w:val="24"/>
        </w:rPr>
      </w:pPr>
      <w:r>
        <w:rPr>
          <w:rFonts w:ascii="宋体" w:hAnsi="宋体" w:hint="eastAsia"/>
          <w:sz w:val="24"/>
        </w:rPr>
        <w:t>（12）依照法律法规为基金的利益对被投资公司行使股东权利，为基金的利益行使因基金财产投资于证券</w:t>
      </w:r>
      <w:r>
        <w:rPr>
          <w:rFonts w:ascii="宋体" w:hAnsi="宋体" w:hint="eastAsia"/>
          <w:bCs/>
          <w:sz w:val="24"/>
          <w:szCs w:val="24"/>
        </w:rPr>
        <w:t>/期货</w:t>
      </w:r>
      <w:r>
        <w:rPr>
          <w:rFonts w:ascii="宋体" w:hAnsi="宋体" w:hint="eastAsia"/>
          <w:sz w:val="24"/>
        </w:rPr>
        <w:t>所产生的权利；</w:t>
      </w:r>
    </w:p>
    <w:p w14:paraId="30AF1456" w14:textId="77777777" w:rsidR="00E82AF4" w:rsidRDefault="005B2E6A">
      <w:pPr>
        <w:spacing w:line="360" w:lineRule="auto"/>
        <w:ind w:firstLineChars="200" w:firstLine="480"/>
        <w:rPr>
          <w:rFonts w:ascii="宋体" w:hAnsi="宋体"/>
          <w:sz w:val="24"/>
        </w:rPr>
      </w:pPr>
      <w:r>
        <w:rPr>
          <w:rFonts w:ascii="宋体" w:hAnsi="宋体" w:hint="eastAsia"/>
          <w:sz w:val="24"/>
        </w:rPr>
        <w:t>（13）在法律法规允许的前提下，为基金的利益依法为基金进行融资</w:t>
      </w:r>
      <w:r>
        <w:rPr>
          <w:rFonts w:ascii="宋体" w:hAnsi="宋体" w:hint="eastAsia"/>
          <w:sz w:val="24"/>
          <w:szCs w:val="24"/>
        </w:rPr>
        <w:t>及转融通证券出借业务；</w:t>
      </w:r>
    </w:p>
    <w:p w14:paraId="54451AE7" w14:textId="77777777" w:rsidR="00E82AF4" w:rsidRDefault="005B2E6A">
      <w:pPr>
        <w:spacing w:line="360" w:lineRule="auto"/>
        <w:ind w:firstLineChars="200" w:firstLine="480"/>
        <w:rPr>
          <w:rFonts w:ascii="宋体" w:hAnsi="宋体"/>
          <w:sz w:val="24"/>
        </w:rPr>
      </w:pPr>
      <w:r>
        <w:rPr>
          <w:rFonts w:ascii="宋体" w:hAnsi="宋体" w:hint="eastAsia"/>
          <w:sz w:val="24"/>
        </w:rPr>
        <w:t>（14）以基金管理人的名义，代表基金份额持有人的利益行使诉讼权利或者实施其他法律行为；</w:t>
      </w:r>
    </w:p>
    <w:p w14:paraId="2C79F56D" w14:textId="77777777" w:rsidR="00E82AF4" w:rsidRDefault="005B2E6A">
      <w:pPr>
        <w:spacing w:line="360" w:lineRule="auto"/>
        <w:ind w:firstLineChars="200" w:firstLine="480"/>
        <w:rPr>
          <w:rFonts w:ascii="宋体" w:hAnsi="宋体"/>
          <w:sz w:val="24"/>
        </w:rPr>
      </w:pPr>
      <w:r>
        <w:rPr>
          <w:rFonts w:ascii="宋体" w:hAnsi="宋体" w:hint="eastAsia"/>
          <w:sz w:val="24"/>
        </w:rPr>
        <w:t>（15）选择、更换律师事务所、会计师事务所、</w:t>
      </w:r>
      <w:r>
        <w:rPr>
          <w:rFonts w:ascii="宋体" w:hAnsi="宋体" w:hint="eastAsia"/>
          <w:sz w:val="24"/>
          <w:szCs w:val="24"/>
        </w:rPr>
        <w:t>证券/期货经纪商</w:t>
      </w:r>
      <w:r>
        <w:rPr>
          <w:rFonts w:ascii="宋体" w:hAnsi="宋体" w:hint="eastAsia"/>
          <w:sz w:val="24"/>
        </w:rPr>
        <w:t>或其他为基金提供服务的外部机构；若本基金采用证券经纪机构交易结算模式，基金管理</w:t>
      </w:r>
      <w:r>
        <w:rPr>
          <w:rFonts w:ascii="宋体" w:hAnsi="宋体" w:hint="eastAsia"/>
          <w:sz w:val="24"/>
        </w:rPr>
        <w:lastRenderedPageBreak/>
        <w:t>人有权选择代表本基金进行场内交易、作为结算参与人代理本基金进行结算的证券经纪机构，并签订证券经纪服务协议；</w:t>
      </w:r>
    </w:p>
    <w:p w14:paraId="591FBE26" w14:textId="77777777" w:rsidR="00E82AF4" w:rsidRDefault="005B2E6A">
      <w:pPr>
        <w:spacing w:line="360" w:lineRule="auto"/>
        <w:ind w:firstLineChars="200" w:firstLine="480"/>
        <w:rPr>
          <w:rFonts w:ascii="宋体" w:hAnsi="宋体"/>
          <w:sz w:val="24"/>
        </w:rPr>
      </w:pPr>
      <w:r>
        <w:rPr>
          <w:rFonts w:ascii="宋体" w:hAnsi="宋体" w:hint="eastAsia"/>
          <w:sz w:val="24"/>
        </w:rPr>
        <w:t>（16）在符合有关法律、法规的前提下，制订和调整有关基金认购、申购、赎回</w:t>
      </w:r>
      <w:r>
        <w:rPr>
          <w:rFonts w:ascii="宋体" w:hAnsi="宋体" w:hint="eastAsia"/>
          <w:sz w:val="24"/>
          <w:szCs w:val="24"/>
        </w:rPr>
        <w:t>等</w:t>
      </w:r>
      <w:r>
        <w:rPr>
          <w:rFonts w:ascii="宋体" w:hAnsi="宋体" w:hint="eastAsia"/>
          <w:sz w:val="24"/>
        </w:rPr>
        <w:t>业务规则；</w:t>
      </w:r>
    </w:p>
    <w:p w14:paraId="79D612CD" w14:textId="77777777" w:rsidR="00E82AF4" w:rsidRDefault="005B2E6A">
      <w:pPr>
        <w:spacing w:line="360" w:lineRule="auto"/>
        <w:ind w:firstLineChars="200" w:firstLine="480"/>
        <w:rPr>
          <w:rFonts w:ascii="宋体" w:hAnsi="宋体"/>
          <w:sz w:val="24"/>
        </w:rPr>
      </w:pPr>
      <w:r>
        <w:rPr>
          <w:rFonts w:ascii="宋体" w:hAnsi="宋体" w:hint="eastAsia"/>
          <w:sz w:val="24"/>
        </w:rPr>
        <w:t>（17）基金管理人有权根据反洗钱法律法规的相关规定，结合基金份额持有人洗钱风险状况，采取相应合理的控制措施；</w:t>
      </w:r>
    </w:p>
    <w:p w14:paraId="210EAA47" w14:textId="77777777" w:rsidR="00E82AF4" w:rsidRDefault="005B2E6A">
      <w:pPr>
        <w:spacing w:line="360" w:lineRule="auto"/>
        <w:ind w:firstLineChars="200" w:firstLine="480"/>
        <w:rPr>
          <w:rFonts w:ascii="宋体" w:hAnsi="宋体"/>
          <w:sz w:val="24"/>
        </w:rPr>
      </w:pPr>
      <w:r>
        <w:rPr>
          <w:rFonts w:ascii="宋体" w:hAnsi="宋体" w:hint="eastAsia"/>
          <w:sz w:val="24"/>
        </w:rPr>
        <w:t>（18）在法律法规和基金合同规定的范围内决定调整基金费率结构和收费方式；</w:t>
      </w:r>
    </w:p>
    <w:p w14:paraId="251D8D89" w14:textId="77777777" w:rsidR="00E82AF4" w:rsidRDefault="005B2E6A">
      <w:pPr>
        <w:spacing w:line="360" w:lineRule="auto"/>
        <w:ind w:firstLineChars="200" w:firstLine="480"/>
        <w:rPr>
          <w:rFonts w:ascii="宋体" w:hAnsi="宋体"/>
          <w:sz w:val="24"/>
        </w:rPr>
      </w:pPr>
      <w:r>
        <w:rPr>
          <w:rFonts w:ascii="宋体" w:hAnsi="宋体" w:hint="eastAsia"/>
          <w:sz w:val="24"/>
        </w:rPr>
        <w:t>（19）法律法规及中国证监会规定的和</w:t>
      </w:r>
      <w:r>
        <w:rPr>
          <w:rFonts w:ascii="宋体" w:hAnsi="宋体" w:hint="eastAsia"/>
          <w:sz w:val="24"/>
          <w:szCs w:val="24"/>
        </w:rPr>
        <w:t>基金合同</w:t>
      </w:r>
      <w:r>
        <w:rPr>
          <w:rFonts w:ascii="宋体" w:hAnsi="宋体" w:hint="eastAsia"/>
          <w:sz w:val="24"/>
        </w:rPr>
        <w:t>约定的其他权利。</w:t>
      </w:r>
    </w:p>
    <w:p w14:paraId="4E9F195F"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2、根据《基金法》、《运作办法》及其他有关规定，基金管理人的义务包括但不限于：</w:t>
      </w:r>
    </w:p>
    <w:p w14:paraId="0067BA9A" w14:textId="77777777" w:rsidR="00E82AF4" w:rsidRDefault="005B2E6A">
      <w:pPr>
        <w:spacing w:line="360" w:lineRule="auto"/>
        <w:ind w:firstLineChars="200" w:firstLine="480"/>
        <w:rPr>
          <w:rFonts w:ascii="宋体" w:hAnsi="宋体"/>
          <w:sz w:val="24"/>
        </w:rPr>
      </w:pPr>
      <w:r>
        <w:rPr>
          <w:rFonts w:ascii="宋体" w:hAnsi="宋体" w:hint="eastAsia"/>
          <w:sz w:val="24"/>
        </w:rPr>
        <w:t>（1）依法募集资金，办理或者委托经中国证监会认定的其他机构代为办理基金份额的发售、申购、赎回和登记事宜；</w:t>
      </w:r>
    </w:p>
    <w:p w14:paraId="3E8E92BD" w14:textId="77777777" w:rsidR="00E82AF4" w:rsidRDefault="005B2E6A">
      <w:pPr>
        <w:spacing w:line="360" w:lineRule="auto"/>
        <w:ind w:firstLineChars="200" w:firstLine="480"/>
        <w:rPr>
          <w:rFonts w:ascii="宋体" w:hAnsi="宋体"/>
          <w:sz w:val="24"/>
        </w:rPr>
      </w:pPr>
      <w:r>
        <w:rPr>
          <w:rFonts w:ascii="宋体" w:hAnsi="宋体" w:hint="eastAsia"/>
          <w:sz w:val="24"/>
        </w:rPr>
        <w:t>（2）办理基金备案手续；</w:t>
      </w:r>
    </w:p>
    <w:p w14:paraId="6993AC1D" w14:textId="77777777" w:rsidR="00E82AF4" w:rsidRDefault="005B2E6A">
      <w:pPr>
        <w:spacing w:line="360" w:lineRule="auto"/>
        <w:ind w:firstLineChars="200" w:firstLine="480"/>
        <w:rPr>
          <w:rFonts w:ascii="宋体" w:hAnsi="宋体"/>
          <w:sz w:val="24"/>
        </w:rPr>
      </w:pPr>
      <w:r>
        <w:rPr>
          <w:rFonts w:ascii="宋体" w:hAnsi="宋体" w:hint="eastAsia"/>
          <w:sz w:val="24"/>
        </w:rPr>
        <w:t>（3）自</w:t>
      </w:r>
      <w:r>
        <w:rPr>
          <w:rFonts w:ascii="宋体" w:hAnsi="宋体" w:hint="eastAsia"/>
          <w:sz w:val="24"/>
          <w:szCs w:val="24"/>
        </w:rPr>
        <w:t>基金合同</w:t>
      </w:r>
      <w:r>
        <w:rPr>
          <w:rFonts w:ascii="宋体" w:hAnsi="宋体" w:hint="eastAsia"/>
          <w:sz w:val="24"/>
        </w:rPr>
        <w:t>生效之日起</w:t>
      </w:r>
      <w:r>
        <w:rPr>
          <w:rFonts w:ascii="宋体" w:hAnsi="宋体" w:hint="eastAsia"/>
          <w:sz w:val="24"/>
          <w:szCs w:val="24"/>
        </w:rPr>
        <w:t>，</w:t>
      </w:r>
      <w:r>
        <w:rPr>
          <w:rFonts w:ascii="宋体" w:hAnsi="宋体" w:hint="eastAsia"/>
          <w:sz w:val="24"/>
        </w:rPr>
        <w:t>以诚实信用、谨慎勤勉的原则管理和运用基金财产；</w:t>
      </w:r>
    </w:p>
    <w:p w14:paraId="37B1C310" w14:textId="77777777" w:rsidR="00E82AF4" w:rsidRDefault="005B2E6A">
      <w:pPr>
        <w:spacing w:line="360" w:lineRule="auto"/>
        <w:ind w:firstLineChars="200" w:firstLine="480"/>
        <w:rPr>
          <w:rFonts w:ascii="宋体" w:hAnsi="宋体"/>
          <w:sz w:val="24"/>
        </w:rPr>
      </w:pPr>
      <w:r>
        <w:rPr>
          <w:rFonts w:ascii="宋体" w:hAnsi="宋体" w:hint="eastAsia"/>
          <w:sz w:val="24"/>
        </w:rPr>
        <w:t>（4）配备足够的具有专业资格的人员进行基金投资分析、决策，以专业化的经营方式管理和运作基金财产；</w:t>
      </w:r>
    </w:p>
    <w:p w14:paraId="4AA30AE8" w14:textId="77777777" w:rsidR="00E82AF4" w:rsidRDefault="005B2E6A">
      <w:pPr>
        <w:spacing w:line="360" w:lineRule="auto"/>
        <w:ind w:firstLineChars="200" w:firstLine="480"/>
        <w:rPr>
          <w:rFonts w:ascii="宋体" w:hAnsi="宋体"/>
          <w:sz w:val="24"/>
        </w:rPr>
      </w:pPr>
      <w:r>
        <w:rPr>
          <w:rFonts w:ascii="宋体" w:hAnsi="宋体" w:hint="eastAsia"/>
          <w:sz w:val="24"/>
        </w:rPr>
        <w:t>（5）建立健全内部风险控制、监察与稽核、财务管理及人事管理等制度，保证所管理的基金财产和基金管理人的财产相互独立</w:t>
      </w:r>
      <w:r>
        <w:rPr>
          <w:rFonts w:ascii="宋体" w:hAnsi="宋体" w:hint="eastAsia"/>
          <w:sz w:val="24"/>
          <w:szCs w:val="24"/>
        </w:rPr>
        <w:t>，</w:t>
      </w:r>
      <w:r>
        <w:rPr>
          <w:rFonts w:ascii="宋体" w:hAnsi="宋体" w:hint="eastAsia"/>
          <w:sz w:val="24"/>
        </w:rPr>
        <w:t>对所管理的不同基金分别管理，分别记账，进行</w:t>
      </w:r>
      <w:r>
        <w:rPr>
          <w:rFonts w:ascii="宋体" w:hAnsi="宋体" w:hint="eastAsia"/>
          <w:sz w:val="24"/>
          <w:szCs w:val="24"/>
        </w:rPr>
        <w:t>证券/期货投资</w:t>
      </w:r>
      <w:r>
        <w:rPr>
          <w:rFonts w:ascii="宋体" w:hAnsi="宋体" w:hint="eastAsia"/>
          <w:sz w:val="24"/>
        </w:rPr>
        <w:t>；</w:t>
      </w:r>
    </w:p>
    <w:p w14:paraId="67DFEE41" w14:textId="77777777" w:rsidR="00E82AF4" w:rsidRDefault="005B2E6A">
      <w:pPr>
        <w:spacing w:line="360" w:lineRule="auto"/>
        <w:ind w:firstLineChars="200" w:firstLine="480"/>
        <w:rPr>
          <w:rFonts w:ascii="宋体" w:hAnsi="宋体"/>
          <w:sz w:val="24"/>
        </w:rPr>
      </w:pPr>
      <w:r>
        <w:rPr>
          <w:rFonts w:ascii="宋体" w:hAnsi="宋体" w:hint="eastAsia"/>
          <w:sz w:val="24"/>
        </w:rPr>
        <w:t>（6）除依据《基金法》、</w:t>
      </w:r>
      <w:r>
        <w:rPr>
          <w:rFonts w:ascii="宋体" w:hAnsi="宋体" w:hint="eastAsia"/>
          <w:sz w:val="24"/>
          <w:szCs w:val="24"/>
        </w:rPr>
        <w:t>基金合同</w:t>
      </w:r>
      <w:r>
        <w:rPr>
          <w:rFonts w:ascii="宋体" w:hAnsi="宋体" w:hint="eastAsia"/>
          <w:sz w:val="24"/>
        </w:rPr>
        <w:t>及其他有关规定外</w:t>
      </w:r>
      <w:r>
        <w:rPr>
          <w:rFonts w:ascii="宋体" w:hAnsi="宋体" w:hint="eastAsia"/>
          <w:sz w:val="24"/>
          <w:szCs w:val="24"/>
        </w:rPr>
        <w:t>，</w:t>
      </w:r>
      <w:r>
        <w:rPr>
          <w:rFonts w:ascii="宋体" w:hAnsi="宋体" w:hint="eastAsia"/>
          <w:sz w:val="24"/>
        </w:rPr>
        <w:t>不得利用基金财产为自己及任何第三人谋取利益，不得委托第三人运作基金财产；</w:t>
      </w:r>
    </w:p>
    <w:p w14:paraId="2654ABD0" w14:textId="77777777" w:rsidR="00E82AF4" w:rsidRDefault="005B2E6A">
      <w:pPr>
        <w:spacing w:line="360" w:lineRule="auto"/>
        <w:ind w:firstLineChars="200" w:firstLine="480"/>
        <w:rPr>
          <w:rFonts w:ascii="宋体" w:hAnsi="宋体"/>
          <w:sz w:val="24"/>
        </w:rPr>
      </w:pPr>
      <w:r>
        <w:rPr>
          <w:rFonts w:ascii="宋体" w:hAnsi="宋体" w:hint="eastAsia"/>
          <w:sz w:val="24"/>
        </w:rPr>
        <w:t>（7）依法接受基金托管人的监督；</w:t>
      </w:r>
    </w:p>
    <w:p w14:paraId="10119F2A" w14:textId="77777777" w:rsidR="00E82AF4" w:rsidRDefault="005B2E6A">
      <w:pPr>
        <w:spacing w:line="360" w:lineRule="auto"/>
        <w:ind w:firstLineChars="200" w:firstLine="480"/>
        <w:rPr>
          <w:rFonts w:ascii="宋体" w:hAnsi="宋体"/>
          <w:sz w:val="24"/>
        </w:rPr>
      </w:pPr>
      <w:r>
        <w:rPr>
          <w:rFonts w:ascii="宋体" w:hAnsi="宋体" w:hint="eastAsia"/>
          <w:sz w:val="24"/>
        </w:rPr>
        <w:t>（8）采取适当合理的措施使计算基金份额认购</w:t>
      </w:r>
      <w:r>
        <w:rPr>
          <w:rFonts w:ascii="宋体" w:hAnsi="宋体" w:hint="eastAsia"/>
          <w:sz w:val="24"/>
          <w:szCs w:val="24"/>
        </w:rPr>
        <w:t>价格</w:t>
      </w:r>
      <w:r>
        <w:rPr>
          <w:rFonts w:ascii="宋体" w:hAnsi="宋体" w:hint="eastAsia"/>
          <w:sz w:val="24"/>
        </w:rPr>
        <w:t>、申购对价、赎回</w:t>
      </w:r>
      <w:r>
        <w:rPr>
          <w:rFonts w:ascii="宋体" w:hAnsi="宋体" w:hint="eastAsia"/>
          <w:sz w:val="24"/>
          <w:szCs w:val="24"/>
        </w:rPr>
        <w:t>对价</w:t>
      </w:r>
      <w:r>
        <w:rPr>
          <w:rFonts w:ascii="宋体" w:hAnsi="宋体" w:hint="eastAsia"/>
          <w:sz w:val="24"/>
        </w:rPr>
        <w:t>的方法符合《基金合同》等法律文件的规定，按有关规定计算并公告基金净值</w:t>
      </w:r>
      <w:r>
        <w:rPr>
          <w:rFonts w:ascii="宋体" w:hAnsi="宋体"/>
          <w:sz w:val="24"/>
          <w:szCs w:val="24"/>
        </w:rPr>
        <w:t>信息</w:t>
      </w:r>
      <w:r>
        <w:rPr>
          <w:rFonts w:ascii="宋体" w:hAnsi="宋体" w:hint="eastAsia"/>
          <w:sz w:val="24"/>
        </w:rPr>
        <w:t>，确定基金份额申购、赎回</w:t>
      </w:r>
      <w:r>
        <w:rPr>
          <w:rFonts w:ascii="宋体" w:hAnsi="宋体" w:hint="eastAsia"/>
          <w:sz w:val="24"/>
          <w:szCs w:val="24"/>
        </w:rPr>
        <w:t>对价，编制申购赎回清单</w:t>
      </w:r>
      <w:r>
        <w:rPr>
          <w:rFonts w:ascii="宋体" w:hAnsi="宋体" w:hint="eastAsia"/>
          <w:sz w:val="24"/>
        </w:rPr>
        <w:t>；</w:t>
      </w:r>
    </w:p>
    <w:p w14:paraId="609E7536" w14:textId="77777777" w:rsidR="00E82AF4" w:rsidRDefault="005B2E6A">
      <w:pPr>
        <w:spacing w:line="360" w:lineRule="auto"/>
        <w:ind w:firstLineChars="200" w:firstLine="480"/>
        <w:rPr>
          <w:rFonts w:ascii="宋体" w:hAnsi="宋体"/>
          <w:sz w:val="24"/>
        </w:rPr>
      </w:pPr>
      <w:r>
        <w:rPr>
          <w:rFonts w:ascii="宋体" w:hAnsi="宋体" w:hint="eastAsia"/>
          <w:sz w:val="24"/>
        </w:rPr>
        <w:t>（9）进行基金会计核算并编制基金财务会计报告；</w:t>
      </w:r>
    </w:p>
    <w:p w14:paraId="61998767" w14:textId="77777777" w:rsidR="00E82AF4" w:rsidRDefault="005B2E6A">
      <w:pPr>
        <w:spacing w:line="360" w:lineRule="auto"/>
        <w:ind w:firstLineChars="200" w:firstLine="480"/>
        <w:rPr>
          <w:rFonts w:ascii="宋体" w:hAnsi="宋体"/>
          <w:sz w:val="24"/>
        </w:rPr>
      </w:pPr>
      <w:r>
        <w:rPr>
          <w:rFonts w:ascii="宋体" w:hAnsi="宋体" w:hint="eastAsia"/>
          <w:sz w:val="24"/>
        </w:rPr>
        <w:t>（10）</w:t>
      </w:r>
      <w:r>
        <w:rPr>
          <w:rFonts w:ascii="宋体" w:hAnsi="宋体" w:hint="eastAsia"/>
          <w:sz w:val="24"/>
          <w:szCs w:val="24"/>
        </w:rPr>
        <w:t>编制季度报告、中期</w:t>
      </w:r>
      <w:r>
        <w:rPr>
          <w:rFonts w:ascii="宋体" w:hAnsi="宋体"/>
          <w:sz w:val="24"/>
          <w:szCs w:val="24"/>
        </w:rPr>
        <w:t>报告</w:t>
      </w:r>
      <w:r>
        <w:rPr>
          <w:rFonts w:ascii="宋体" w:hAnsi="宋体" w:hint="eastAsia"/>
          <w:sz w:val="24"/>
          <w:szCs w:val="24"/>
        </w:rPr>
        <w:t>和年度报告</w:t>
      </w:r>
      <w:r>
        <w:rPr>
          <w:rFonts w:ascii="宋体" w:hAnsi="宋体" w:hint="eastAsia"/>
          <w:sz w:val="24"/>
        </w:rPr>
        <w:t>；</w:t>
      </w:r>
    </w:p>
    <w:p w14:paraId="759FF7CF"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（11）严格按照《基金法》、</w:t>
      </w:r>
      <w:r>
        <w:rPr>
          <w:rFonts w:ascii="宋体" w:hAnsi="宋体" w:hint="eastAsia"/>
          <w:sz w:val="24"/>
          <w:szCs w:val="24"/>
        </w:rPr>
        <w:t>基金合同</w:t>
      </w:r>
      <w:r>
        <w:rPr>
          <w:rFonts w:ascii="宋体" w:hAnsi="宋体" w:hint="eastAsia"/>
          <w:sz w:val="24"/>
        </w:rPr>
        <w:t>及其他有关规定，履行信息披露及报告义务；</w:t>
      </w:r>
    </w:p>
    <w:p w14:paraId="1B46FE69" w14:textId="77777777" w:rsidR="00E82AF4" w:rsidRDefault="005B2E6A">
      <w:pPr>
        <w:spacing w:line="360" w:lineRule="auto"/>
        <w:ind w:firstLineChars="200" w:firstLine="480"/>
        <w:rPr>
          <w:rFonts w:ascii="宋体" w:hAnsi="宋体"/>
          <w:sz w:val="24"/>
        </w:rPr>
      </w:pPr>
      <w:r>
        <w:rPr>
          <w:rFonts w:ascii="宋体" w:hAnsi="宋体" w:hint="eastAsia"/>
          <w:sz w:val="24"/>
        </w:rPr>
        <w:t>（12）保守基金商业秘密，不泄露基金投资计划、投资意向等。除《基金法》、</w:t>
      </w:r>
      <w:r>
        <w:rPr>
          <w:rFonts w:ascii="宋体" w:hAnsi="宋体" w:hint="eastAsia"/>
          <w:sz w:val="24"/>
          <w:szCs w:val="24"/>
        </w:rPr>
        <w:t>基金合同</w:t>
      </w:r>
      <w:r>
        <w:rPr>
          <w:rFonts w:ascii="宋体" w:hAnsi="宋体" w:hint="eastAsia"/>
          <w:sz w:val="24"/>
        </w:rPr>
        <w:t>及其他有关</w:t>
      </w:r>
      <w:r>
        <w:rPr>
          <w:rFonts w:ascii="宋体" w:hAnsi="宋体" w:hint="eastAsia"/>
          <w:sz w:val="24"/>
          <w:szCs w:val="24"/>
        </w:rPr>
        <w:t>法律法规或监管机构</w:t>
      </w:r>
      <w:r>
        <w:rPr>
          <w:rFonts w:ascii="宋体" w:hAnsi="宋体" w:hint="eastAsia"/>
          <w:sz w:val="24"/>
        </w:rPr>
        <w:t>另有规定</w:t>
      </w:r>
      <w:r>
        <w:rPr>
          <w:rFonts w:ascii="宋体" w:hAnsi="宋体" w:hint="eastAsia"/>
          <w:sz w:val="24"/>
          <w:szCs w:val="24"/>
        </w:rPr>
        <w:t>或</w:t>
      </w:r>
      <w:r>
        <w:rPr>
          <w:rFonts w:ascii="宋体" w:hAnsi="宋体"/>
          <w:sz w:val="24"/>
          <w:szCs w:val="24"/>
        </w:rPr>
        <w:t>要求</w:t>
      </w:r>
      <w:r>
        <w:rPr>
          <w:rFonts w:ascii="宋体" w:hAnsi="宋体" w:hint="eastAsia"/>
          <w:sz w:val="24"/>
        </w:rPr>
        <w:t>外，在基金信息公开披露前应予保密，不向他人泄露</w:t>
      </w:r>
      <w:r>
        <w:rPr>
          <w:rFonts w:ascii="宋体" w:hAnsi="宋体" w:hint="eastAsia"/>
          <w:sz w:val="24"/>
          <w:szCs w:val="24"/>
        </w:rPr>
        <w:t>，</w:t>
      </w:r>
      <w:r>
        <w:rPr>
          <w:rFonts w:ascii="宋体" w:hAnsi="宋体" w:hint="eastAsia"/>
          <w:sz w:val="24"/>
        </w:rPr>
        <w:t>但向监管机构、司法机关提供或</w:t>
      </w:r>
      <w:r>
        <w:rPr>
          <w:rFonts w:ascii="宋体" w:hAnsi="宋体" w:hint="eastAsia"/>
          <w:sz w:val="24"/>
          <w:szCs w:val="24"/>
        </w:rPr>
        <w:t>因审计、法律等外部专业顾问提供服务而向其提供的情况除外</w:t>
      </w:r>
      <w:r>
        <w:rPr>
          <w:rFonts w:ascii="宋体" w:hAnsi="宋体" w:hint="eastAsia"/>
          <w:sz w:val="24"/>
        </w:rPr>
        <w:t>；</w:t>
      </w:r>
    </w:p>
    <w:p w14:paraId="57E52CC6" w14:textId="77777777" w:rsidR="00E82AF4" w:rsidRDefault="005B2E6A">
      <w:pPr>
        <w:spacing w:line="360" w:lineRule="auto"/>
        <w:ind w:firstLineChars="200" w:firstLine="480"/>
        <w:rPr>
          <w:rFonts w:ascii="宋体" w:hAnsi="宋体"/>
          <w:sz w:val="24"/>
        </w:rPr>
      </w:pPr>
      <w:r>
        <w:rPr>
          <w:rFonts w:ascii="宋体" w:hAnsi="宋体" w:hint="eastAsia"/>
          <w:sz w:val="24"/>
        </w:rPr>
        <w:t>（13）按</w:t>
      </w:r>
      <w:r>
        <w:rPr>
          <w:rFonts w:ascii="宋体" w:hAnsi="宋体" w:hint="eastAsia"/>
          <w:sz w:val="24"/>
          <w:szCs w:val="24"/>
        </w:rPr>
        <w:t>基金合同</w:t>
      </w:r>
      <w:r>
        <w:rPr>
          <w:rFonts w:ascii="宋体" w:hAnsi="宋体" w:hint="eastAsia"/>
          <w:sz w:val="24"/>
        </w:rPr>
        <w:t>的约定确定基金收益分配方案，及时向基金份额持有人分配基金收益；</w:t>
      </w:r>
    </w:p>
    <w:p w14:paraId="4F6A7ECF" w14:textId="77777777" w:rsidR="00E82AF4" w:rsidRDefault="005B2E6A">
      <w:pPr>
        <w:spacing w:line="360" w:lineRule="auto"/>
        <w:ind w:firstLineChars="200" w:firstLine="480"/>
        <w:rPr>
          <w:rFonts w:ascii="宋体" w:hAnsi="宋体"/>
          <w:sz w:val="24"/>
        </w:rPr>
      </w:pPr>
      <w:r>
        <w:rPr>
          <w:rFonts w:ascii="宋体" w:hAnsi="宋体" w:hint="eastAsia"/>
          <w:sz w:val="24"/>
        </w:rPr>
        <w:t>（14）按规定受理申购与赎回申请，及时、足额支付赎回</w:t>
      </w:r>
      <w:r>
        <w:rPr>
          <w:rFonts w:ascii="宋体" w:hAnsi="宋体" w:hint="eastAsia"/>
          <w:sz w:val="24"/>
          <w:szCs w:val="24"/>
        </w:rPr>
        <w:t>对价</w:t>
      </w:r>
      <w:r>
        <w:rPr>
          <w:rFonts w:ascii="宋体" w:hAnsi="宋体" w:hint="eastAsia"/>
          <w:sz w:val="24"/>
        </w:rPr>
        <w:t>；</w:t>
      </w:r>
    </w:p>
    <w:p w14:paraId="1CEC19DE" w14:textId="77777777" w:rsidR="00E82AF4" w:rsidRDefault="005B2E6A">
      <w:pPr>
        <w:spacing w:line="360" w:lineRule="auto"/>
        <w:ind w:firstLineChars="200" w:firstLine="480"/>
        <w:rPr>
          <w:rFonts w:ascii="宋体" w:hAnsi="宋体"/>
          <w:sz w:val="24"/>
        </w:rPr>
      </w:pPr>
      <w:r>
        <w:rPr>
          <w:rFonts w:ascii="宋体" w:hAnsi="宋体" w:hint="eastAsia"/>
          <w:sz w:val="24"/>
        </w:rPr>
        <w:t>（15）依据《基金法》、</w:t>
      </w:r>
      <w:r>
        <w:rPr>
          <w:rFonts w:ascii="宋体" w:hAnsi="宋体" w:hint="eastAsia"/>
          <w:sz w:val="24"/>
          <w:szCs w:val="24"/>
        </w:rPr>
        <w:t>基金合同</w:t>
      </w:r>
      <w:r>
        <w:rPr>
          <w:rFonts w:ascii="宋体" w:hAnsi="宋体" w:hint="eastAsia"/>
          <w:sz w:val="24"/>
        </w:rPr>
        <w:t>及其他有关规定召集基金份额持有人大会或配合基金托管人、基金份额持有人依法召集基金份额持有人大会；</w:t>
      </w:r>
    </w:p>
    <w:p w14:paraId="4165AFC8" w14:textId="77777777" w:rsidR="00E82AF4" w:rsidRDefault="005B2E6A">
      <w:pPr>
        <w:spacing w:line="360" w:lineRule="auto"/>
        <w:ind w:firstLineChars="200" w:firstLine="480"/>
        <w:rPr>
          <w:rFonts w:ascii="宋体" w:hAnsi="宋体"/>
          <w:sz w:val="24"/>
        </w:rPr>
      </w:pPr>
      <w:r>
        <w:rPr>
          <w:rFonts w:ascii="宋体" w:hAnsi="宋体" w:hint="eastAsia"/>
          <w:sz w:val="24"/>
        </w:rPr>
        <w:t>（16）按规定保存基金财产管理业务活动的会计账册、报表、记录和其他相关资料</w:t>
      </w:r>
      <w:r>
        <w:rPr>
          <w:rFonts w:ascii="宋体" w:hAnsi="宋体" w:hint="eastAsia"/>
          <w:sz w:val="24"/>
          <w:szCs w:val="24"/>
        </w:rPr>
        <w:t>，保存期限不低于法律法规的规定</w:t>
      </w:r>
      <w:r>
        <w:rPr>
          <w:rFonts w:ascii="宋体" w:hAnsi="宋体" w:hint="eastAsia"/>
          <w:sz w:val="24"/>
        </w:rPr>
        <w:t>；</w:t>
      </w:r>
    </w:p>
    <w:p w14:paraId="1A50AC13" w14:textId="77777777" w:rsidR="00E82AF4" w:rsidRDefault="005B2E6A">
      <w:pPr>
        <w:spacing w:line="360" w:lineRule="auto"/>
        <w:ind w:firstLineChars="200" w:firstLine="480"/>
        <w:rPr>
          <w:rFonts w:ascii="宋体" w:hAnsi="宋体"/>
          <w:sz w:val="24"/>
        </w:rPr>
      </w:pPr>
      <w:r>
        <w:rPr>
          <w:rFonts w:ascii="宋体" w:hAnsi="宋体" w:hint="eastAsia"/>
          <w:sz w:val="24"/>
        </w:rPr>
        <w:t>（17）确保需要向基金</w:t>
      </w:r>
      <w:r>
        <w:rPr>
          <w:rFonts w:ascii="宋体" w:hAnsi="宋体" w:hint="eastAsia"/>
          <w:sz w:val="24"/>
          <w:szCs w:val="24"/>
        </w:rPr>
        <w:t>投资人</w:t>
      </w:r>
      <w:r>
        <w:rPr>
          <w:rFonts w:ascii="宋体" w:hAnsi="宋体" w:hint="eastAsia"/>
          <w:sz w:val="24"/>
        </w:rPr>
        <w:t>提供的各项文件或资料在规定时间发出，并且保证</w:t>
      </w:r>
      <w:r>
        <w:rPr>
          <w:rFonts w:ascii="宋体" w:hAnsi="宋体" w:hint="eastAsia"/>
          <w:sz w:val="24"/>
          <w:szCs w:val="24"/>
        </w:rPr>
        <w:t>投资人</w:t>
      </w:r>
      <w:r>
        <w:rPr>
          <w:rFonts w:ascii="宋体" w:hAnsi="宋体" w:hint="eastAsia"/>
          <w:sz w:val="24"/>
        </w:rPr>
        <w:t>能够按照</w:t>
      </w:r>
      <w:r>
        <w:rPr>
          <w:rFonts w:ascii="宋体" w:hAnsi="宋体" w:hint="eastAsia"/>
          <w:sz w:val="24"/>
          <w:szCs w:val="24"/>
        </w:rPr>
        <w:t>基金合同</w:t>
      </w:r>
      <w:r>
        <w:rPr>
          <w:rFonts w:ascii="宋体" w:hAnsi="宋体" w:hint="eastAsia"/>
          <w:sz w:val="24"/>
        </w:rPr>
        <w:t>规定的时间和方式，随时查阅到与基金有关的公开资料，并在支付合理成本的条件下得到有关资料的复印件；</w:t>
      </w:r>
    </w:p>
    <w:p w14:paraId="05B9E320" w14:textId="77777777" w:rsidR="00E82AF4" w:rsidRDefault="005B2E6A">
      <w:pPr>
        <w:spacing w:line="360" w:lineRule="auto"/>
        <w:ind w:firstLineChars="200" w:firstLine="480"/>
        <w:rPr>
          <w:rFonts w:ascii="宋体" w:hAnsi="宋体"/>
          <w:sz w:val="24"/>
        </w:rPr>
      </w:pPr>
      <w:r>
        <w:rPr>
          <w:rFonts w:ascii="宋体" w:hAnsi="宋体" w:hint="eastAsia"/>
          <w:sz w:val="24"/>
        </w:rPr>
        <w:t>（18）组织并参加基金财产清算小组</w:t>
      </w:r>
      <w:r>
        <w:rPr>
          <w:rFonts w:ascii="宋体" w:hAnsi="宋体" w:hint="eastAsia"/>
          <w:sz w:val="24"/>
          <w:szCs w:val="24"/>
        </w:rPr>
        <w:t>，</w:t>
      </w:r>
      <w:r>
        <w:rPr>
          <w:rFonts w:ascii="宋体" w:hAnsi="宋体" w:hint="eastAsia"/>
          <w:sz w:val="24"/>
        </w:rPr>
        <w:t>参与基金财产的保管、清理、估价、变现和分配；</w:t>
      </w:r>
    </w:p>
    <w:p w14:paraId="5D0902A0" w14:textId="77777777" w:rsidR="00E82AF4" w:rsidRDefault="005B2E6A">
      <w:pPr>
        <w:spacing w:line="360" w:lineRule="auto"/>
        <w:ind w:firstLineChars="200" w:firstLine="480"/>
        <w:rPr>
          <w:rFonts w:ascii="宋体" w:hAnsi="宋体"/>
          <w:sz w:val="24"/>
        </w:rPr>
      </w:pPr>
      <w:r>
        <w:rPr>
          <w:rFonts w:ascii="宋体" w:hAnsi="宋体" w:hint="eastAsia"/>
          <w:sz w:val="24"/>
        </w:rPr>
        <w:t>（19）面临解散、依法被撤销或者被依法宣告破产时，及时报告中国证监会并通知基金托管人；</w:t>
      </w:r>
    </w:p>
    <w:p w14:paraId="01F94646" w14:textId="77777777" w:rsidR="00E82AF4" w:rsidRDefault="005B2E6A">
      <w:pPr>
        <w:spacing w:line="360" w:lineRule="auto"/>
        <w:ind w:firstLineChars="200" w:firstLine="480"/>
        <w:rPr>
          <w:rFonts w:ascii="宋体" w:hAnsi="宋体"/>
          <w:sz w:val="24"/>
        </w:rPr>
      </w:pPr>
      <w:r>
        <w:rPr>
          <w:rFonts w:ascii="宋体" w:hAnsi="宋体" w:hint="eastAsia"/>
          <w:sz w:val="24"/>
        </w:rPr>
        <w:t>（20）因违反</w:t>
      </w:r>
      <w:r>
        <w:rPr>
          <w:rFonts w:ascii="宋体" w:hAnsi="宋体" w:hint="eastAsia"/>
          <w:sz w:val="24"/>
          <w:szCs w:val="24"/>
        </w:rPr>
        <w:t>基金合同</w:t>
      </w:r>
      <w:r>
        <w:rPr>
          <w:rFonts w:ascii="宋体" w:hAnsi="宋体" w:hint="eastAsia"/>
          <w:sz w:val="24"/>
        </w:rPr>
        <w:t>导致基金财产的损失或损害基金份额持有人合法权益时，应当承担赔偿责任，其赔偿责任不因其退任而免除；</w:t>
      </w:r>
    </w:p>
    <w:p w14:paraId="363A28D4" w14:textId="77777777" w:rsidR="00E82AF4" w:rsidRDefault="005B2E6A">
      <w:pPr>
        <w:spacing w:line="360" w:lineRule="auto"/>
        <w:ind w:firstLineChars="200" w:firstLine="480"/>
        <w:rPr>
          <w:rFonts w:ascii="宋体" w:hAnsi="宋体"/>
          <w:sz w:val="24"/>
        </w:rPr>
      </w:pPr>
      <w:r>
        <w:rPr>
          <w:rFonts w:ascii="宋体" w:hAnsi="宋体" w:hint="eastAsia"/>
          <w:sz w:val="24"/>
        </w:rPr>
        <w:t>（21）监督基金托管人按法律法规和</w:t>
      </w:r>
      <w:r>
        <w:rPr>
          <w:rFonts w:ascii="宋体" w:hAnsi="宋体" w:hint="eastAsia"/>
          <w:sz w:val="24"/>
          <w:szCs w:val="24"/>
        </w:rPr>
        <w:t>基金合同</w:t>
      </w:r>
      <w:r>
        <w:rPr>
          <w:rFonts w:ascii="宋体" w:hAnsi="宋体" w:hint="eastAsia"/>
          <w:sz w:val="24"/>
        </w:rPr>
        <w:t>规定履行自己的义务，基金托管人违反</w:t>
      </w:r>
      <w:r>
        <w:rPr>
          <w:rFonts w:ascii="宋体" w:hAnsi="宋体" w:hint="eastAsia"/>
          <w:sz w:val="24"/>
          <w:szCs w:val="24"/>
        </w:rPr>
        <w:t>基金合同</w:t>
      </w:r>
      <w:r>
        <w:rPr>
          <w:rFonts w:ascii="宋体" w:hAnsi="宋体" w:hint="eastAsia"/>
          <w:sz w:val="24"/>
        </w:rPr>
        <w:t>造成基金财产损失时，基金管理人应为基金份额持有人利益向基金托管人追偿；</w:t>
      </w:r>
    </w:p>
    <w:p w14:paraId="2BC5ED11" w14:textId="77777777" w:rsidR="00E82AF4" w:rsidRDefault="005B2E6A">
      <w:pPr>
        <w:spacing w:line="360" w:lineRule="auto"/>
        <w:ind w:firstLineChars="200" w:firstLine="480"/>
        <w:rPr>
          <w:rFonts w:ascii="宋体" w:hAnsi="宋体"/>
          <w:sz w:val="24"/>
        </w:rPr>
      </w:pPr>
      <w:r>
        <w:rPr>
          <w:rFonts w:ascii="宋体" w:hAnsi="宋体" w:hint="eastAsia"/>
          <w:sz w:val="24"/>
        </w:rPr>
        <w:t>（22）当基金管理人将其义务委托第三方处理时，应当对第三方处理有关基金事务的行为承担责任；</w:t>
      </w:r>
    </w:p>
    <w:p w14:paraId="491EFD8A" w14:textId="77777777" w:rsidR="00E82AF4" w:rsidRDefault="005B2E6A">
      <w:pPr>
        <w:spacing w:line="360" w:lineRule="auto"/>
        <w:ind w:firstLineChars="200" w:firstLine="480"/>
        <w:rPr>
          <w:rFonts w:ascii="宋体" w:hAnsi="宋体"/>
          <w:sz w:val="24"/>
        </w:rPr>
      </w:pPr>
      <w:r>
        <w:rPr>
          <w:rFonts w:ascii="宋体" w:hAnsi="宋体" w:hint="eastAsia"/>
          <w:sz w:val="24"/>
        </w:rPr>
        <w:t>（23）以基金管理人名义，代表基金份额持有人利益行使诉讼权利或实施其他法律行为；</w:t>
      </w:r>
    </w:p>
    <w:p w14:paraId="6E5103A2"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（24）基金管理人在募集期间未能达到基金的备案条件，</w:t>
      </w:r>
      <w:r>
        <w:rPr>
          <w:rFonts w:ascii="宋体" w:hAnsi="宋体" w:hint="eastAsia"/>
          <w:sz w:val="24"/>
          <w:szCs w:val="24"/>
        </w:rPr>
        <w:t>基金合同</w:t>
      </w:r>
      <w:r>
        <w:rPr>
          <w:rFonts w:ascii="宋体" w:hAnsi="宋体" w:hint="eastAsia"/>
          <w:sz w:val="24"/>
        </w:rPr>
        <w:t>不能生效，基金管理人承担全部募集费用，将已募集资金并加计银行同期</w:t>
      </w:r>
      <w:r>
        <w:rPr>
          <w:rFonts w:ascii="宋体" w:hAnsi="宋体" w:hint="eastAsia"/>
          <w:sz w:val="24"/>
          <w:szCs w:val="24"/>
        </w:rPr>
        <w:t>活期存款</w:t>
      </w:r>
      <w:r>
        <w:rPr>
          <w:rFonts w:ascii="宋体" w:hAnsi="宋体" w:hint="eastAsia"/>
          <w:sz w:val="24"/>
        </w:rPr>
        <w:t>利息</w:t>
      </w:r>
      <w:r>
        <w:rPr>
          <w:rFonts w:ascii="宋体" w:hAnsi="宋体" w:hint="eastAsia"/>
          <w:sz w:val="24"/>
          <w:szCs w:val="24"/>
        </w:rPr>
        <w:t>（税后）</w:t>
      </w:r>
      <w:r>
        <w:rPr>
          <w:rFonts w:ascii="宋体" w:hAnsi="宋体" w:hint="eastAsia"/>
          <w:sz w:val="24"/>
        </w:rPr>
        <w:t>在基金募集期结束后</w:t>
      </w:r>
      <w:r>
        <w:rPr>
          <w:rFonts w:ascii="宋体" w:hAnsi="宋体" w:hint="eastAsia"/>
          <w:sz w:val="24"/>
          <w:szCs w:val="24"/>
        </w:rPr>
        <w:t>30</w:t>
      </w:r>
      <w:r>
        <w:rPr>
          <w:rFonts w:ascii="宋体" w:hAnsi="宋体" w:hint="eastAsia"/>
          <w:sz w:val="24"/>
        </w:rPr>
        <w:t>日内退还基金认购人</w:t>
      </w:r>
      <w:r>
        <w:rPr>
          <w:rFonts w:ascii="宋体" w:hAnsi="宋体" w:hint="eastAsia"/>
          <w:sz w:val="24"/>
          <w:szCs w:val="24"/>
        </w:rPr>
        <w:t>，募集期间网下股票认购所冻结的股票应予以解冻</w:t>
      </w:r>
      <w:r>
        <w:rPr>
          <w:rFonts w:ascii="宋体" w:hAnsi="宋体" w:hint="eastAsia"/>
          <w:sz w:val="24"/>
        </w:rPr>
        <w:t>；</w:t>
      </w:r>
    </w:p>
    <w:p w14:paraId="1033EDA1" w14:textId="77777777" w:rsidR="00E82AF4" w:rsidRDefault="005B2E6A">
      <w:pPr>
        <w:spacing w:line="360" w:lineRule="auto"/>
        <w:ind w:firstLineChars="200" w:firstLine="480"/>
        <w:rPr>
          <w:rFonts w:ascii="宋体" w:hAnsi="宋体"/>
          <w:sz w:val="24"/>
        </w:rPr>
      </w:pPr>
      <w:r>
        <w:rPr>
          <w:rFonts w:ascii="宋体" w:hAnsi="宋体" w:hint="eastAsia"/>
          <w:sz w:val="24"/>
        </w:rPr>
        <w:t>（25）执行生效的基金份额持有人大会的决议；</w:t>
      </w:r>
    </w:p>
    <w:p w14:paraId="20E984F3" w14:textId="77777777" w:rsidR="00E82AF4" w:rsidRDefault="005B2E6A">
      <w:pPr>
        <w:spacing w:line="360" w:lineRule="auto"/>
        <w:ind w:firstLineChars="200" w:firstLine="480"/>
        <w:rPr>
          <w:rFonts w:ascii="宋体" w:hAnsi="宋体"/>
          <w:sz w:val="24"/>
        </w:rPr>
      </w:pPr>
      <w:r>
        <w:rPr>
          <w:rFonts w:ascii="宋体" w:hAnsi="宋体" w:hint="eastAsia"/>
          <w:sz w:val="24"/>
        </w:rPr>
        <w:t>（26）建立并保存基金份额持有人名册；</w:t>
      </w:r>
    </w:p>
    <w:p w14:paraId="2283DB34" w14:textId="77777777" w:rsidR="00E82AF4" w:rsidRDefault="005B2E6A">
      <w:pPr>
        <w:spacing w:line="360" w:lineRule="auto"/>
        <w:ind w:firstLineChars="200" w:firstLine="480"/>
        <w:rPr>
          <w:rFonts w:ascii="宋体" w:hAnsi="宋体"/>
          <w:sz w:val="24"/>
        </w:rPr>
      </w:pPr>
      <w:r>
        <w:rPr>
          <w:rFonts w:ascii="宋体" w:hAnsi="宋体" w:hint="eastAsia"/>
          <w:sz w:val="24"/>
        </w:rPr>
        <w:t>（27）法律法规及中国证监会规定的和《基金合同》约定的其他义务。</w:t>
      </w:r>
    </w:p>
    <w:p w14:paraId="69E218E3" w14:textId="77777777" w:rsidR="00E82AF4" w:rsidRDefault="005B2E6A">
      <w:pPr>
        <w:spacing w:line="360" w:lineRule="auto"/>
        <w:ind w:firstLineChars="200" w:firstLine="480"/>
        <w:rPr>
          <w:rFonts w:ascii="宋体" w:hAnsi="宋体"/>
          <w:sz w:val="24"/>
        </w:rPr>
      </w:pPr>
      <w:r>
        <w:rPr>
          <w:rFonts w:ascii="宋体" w:hAnsi="宋体" w:hint="eastAsia"/>
          <w:sz w:val="24"/>
        </w:rPr>
        <w:t>（二）基金托管人的权利与义务</w:t>
      </w:r>
    </w:p>
    <w:p w14:paraId="35B98994"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1、根据《基金法》、《运作办法》及其他有关规定，基金托管人的权利包括但不限于：</w:t>
      </w:r>
    </w:p>
    <w:p w14:paraId="7256B4F5" w14:textId="77777777" w:rsidR="00E82AF4" w:rsidRDefault="005B2E6A">
      <w:pPr>
        <w:spacing w:line="360" w:lineRule="auto"/>
        <w:ind w:firstLineChars="200" w:firstLine="480"/>
        <w:rPr>
          <w:rFonts w:ascii="宋体" w:hAnsi="宋体"/>
          <w:sz w:val="24"/>
        </w:rPr>
      </w:pPr>
      <w:r>
        <w:rPr>
          <w:rFonts w:ascii="宋体" w:hAnsi="宋体" w:hint="eastAsia"/>
          <w:sz w:val="24"/>
        </w:rPr>
        <w:t>（1）自《基金合同》生效之日起，依法律法规和《基金合同》的规定安全保管基金财产；</w:t>
      </w:r>
    </w:p>
    <w:p w14:paraId="23C79B33" w14:textId="77777777" w:rsidR="00E82AF4" w:rsidRDefault="005B2E6A">
      <w:pPr>
        <w:spacing w:line="360" w:lineRule="auto"/>
        <w:ind w:firstLineChars="200" w:firstLine="480"/>
        <w:rPr>
          <w:rFonts w:ascii="宋体" w:hAnsi="宋体"/>
          <w:sz w:val="24"/>
        </w:rPr>
      </w:pPr>
      <w:r>
        <w:rPr>
          <w:rFonts w:ascii="宋体" w:hAnsi="宋体" w:hint="eastAsia"/>
          <w:sz w:val="24"/>
        </w:rPr>
        <w:t>（2）依《基金合同》约定获得基金托管费以及法律法规规定或监管部门批准的其他费用；</w:t>
      </w:r>
    </w:p>
    <w:p w14:paraId="6048F9D1" w14:textId="77777777" w:rsidR="00E82AF4" w:rsidRDefault="005B2E6A">
      <w:pPr>
        <w:spacing w:line="360" w:lineRule="auto"/>
        <w:ind w:firstLineChars="200" w:firstLine="480"/>
        <w:rPr>
          <w:rFonts w:ascii="宋体" w:hAnsi="宋体"/>
          <w:sz w:val="24"/>
        </w:rPr>
      </w:pPr>
      <w:r>
        <w:rPr>
          <w:rFonts w:ascii="宋体" w:hAnsi="宋体" w:hint="eastAsia"/>
          <w:sz w:val="24"/>
        </w:rPr>
        <w:t>（3）监督基金管理人对本基金的投资运作，如发现基金管理人有违反《基金合同》及国家法律法规行为，对基金财产、其他当事人的利益造成重大损失的情形，应呈报中国证监会，并采取必要措施保护基金投资人的利益；</w:t>
      </w:r>
    </w:p>
    <w:p w14:paraId="4F57B332" w14:textId="77777777" w:rsidR="00E82AF4" w:rsidRDefault="005B2E6A">
      <w:pPr>
        <w:spacing w:line="360" w:lineRule="auto"/>
        <w:ind w:firstLineChars="200" w:firstLine="480"/>
        <w:rPr>
          <w:rFonts w:ascii="宋体" w:hAnsi="宋体"/>
          <w:sz w:val="24"/>
        </w:rPr>
      </w:pPr>
      <w:r>
        <w:rPr>
          <w:rFonts w:ascii="宋体" w:hAnsi="宋体" w:hint="eastAsia"/>
          <w:sz w:val="24"/>
        </w:rPr>
        <w:t>（4）根据相关市场规则，为基金开设资金账户、证券账户等投资所需账户，为基金办理证券交易资金清算；</w:t>
      </w:r>
    </w:p>
    <w:p w14:paraId="71008429" w14:textId="77777777" w:rsidR="00E82AF4" w:rsidRDefault="005B2E6A">
      <w:pPr>
        <w:spacing w:line="360" w:lineRule="auto"/>
        <w:ind w:firstLineChars="200" w:firstLine="480"/>
        <w:rPr>
          <w:rFonts w:ascii="宋体" w:hAnsi="宋体"/>
          <w:sz w:val="24"/>
        </w:rPr>
      </w:pPr>
      <w:r>
        <w:rPr>
          <w:rFonts w:ascii="宋体" w:hAnsi="宋体" w:hint="eastAsia"/>
          <w:sz w:val="24"/>
        </w:rPr>
        <w:t>（5）提议召开或召集基金份额持有人大会；</w:t>
      </w:r>
    </w:p>
    <w:p w14:paraId="31FAF251" w14:textId="77777777" w:rsidR="00E82AF4" w:rsidRDefault="005B2E6A">
      <w:pPr>
        <w:spacing w:line="360" w:lineRule="auto"/>
        <w:ind w:firstLineChars="200" w:firstLine="480"/>
        <w:rPr>
          <w:rFonts w:ascii="宋体" w:hAnsi="宋体"/>
          <w:sz w:val="24"/>
        </w:rPr>
      </w:pPr>
      <w:r>
        <w:rPr>
          <w:rFonts w:ascii="宋体" w:hAnsi="宋体" w:hint="eastAsia"/>
          <w:sz w:val="24"/>
        </w:rPr>
        <w:t>（6）在基金管理人更换时，提名新的基金管理人；</w:t>
      </w:r>
    </w:p>
    <w:p w14:paraId="278FAD26" w14:textId="77777777" w:rsidR="00E82AF4" w:rsidRDefault="005B2E6A">
      <w:pPr>
        <w:spacing w:line="360" w:lineRule="auto"/>
        <w:ind w:firstLineChars="200" w:firstLine="480"/>
        <w:rPr>
          <w:rFonts w:ascii="宋体" w:hAnsi="宋体"/>
          <w:sz w:val="24"/>
        </w:rPr>
      </w:pPr>
      <w:r>
        <w:rPr>
          <w:rFonts w:ascii="宋体" w:hAnsi="宋体" w:hint="eastAsia"/>
          <w:sz w:val="24"/>
        </w:rPr>
        <w:t>（7）法律法规及中国证监会规定的和《基金合同》约定的其他权利。</w:t>
      </w:r>
    </w:p>
    <w:p w14:paraId="7947F526"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2、根据《基金法》、《运作办法》及其他有关规定，基金托管人的义务包括但不限于：</w:t>
      </w:r>
    </w:p>
    <w:p w14:paraId="54C1C4FB" w14:textId="77777777" w:rsidR="00E82AF4" w:rsidRDefault="005B2E6A">
      <w:pPr>
        <w:spacing w:line="360" w:lineRule="auto"/>
        <w:ind w:firstLineChars="200" w:firstLine="480"/>
        <w:rPr>
          <w:rFonts w:ascii="宋体" w:hAnsi="宋体"/>
          <w:sz w:val="24"/>
        </w:rPr>
      </w:pPr>
      <w:r>
        <w:rPr>
          <w:rFonts w:ascii="宋体" w:hAnsi="宋体" w:hint="eastAsia"/>
          <w:sz w:val="24"/>
        </w:rPr>
        <w:t>（1）以诚实信用、勤勉尽责的原则持有并安全保管基金财产；</w:t>
      </w:r>
    </w:p>
    <w:p w14:paraId="05538904" w14:textId="77777777" w:rsidR="00E82AF4" w:rsidRDefault="005B2E6A">
      <w:pPr>
        <w:spacing w:line="360" w:lineRule="auto"/>
        <w:ind w:firstLineChars="200" w:firstLine="480"/>
        <w:rPr>
          <w:rFonts w:ascii="宋体" w:hAnsi="宋体"/>
          <w:sz w:val="24"/>
        </w:rPr>
      </w:pPr>
      <w:r>
        <w:rPr>
          <w:rFonts w:ascii="宋体" w:hAnsi="宋体" w:hint="eastAsia"/>
          <w:sz w:val="24"/>
        </w:rPr>
        <w:t>（2）设立专门的基金托管部门，具有符合要求的营业场所，配备足够的、合格的熟悉基金托管业务的专职人员，负责基金财产托管事宜；</w:t>
      </w:r>
    </w:p>
    <w:p w14:paraId="65617250" w14:textId="77777777" w:rsidR="00E82AF4" w:rsidRDefault="005B2E6A">
      <w:pPr>
        <w:spacing w:line="360" w:lineRule="auto"/>
        <w:ind w:firstLineChars="200" w:firstLine="480"/>
        <w:rPr>
          <w:rFonts w:ascii="宋体" w:hAnsi="宋体"/>
          <w:sz w:val="24"/>
        </w:rPr>
      </w:pPr>
      <w:r>
        <w:rPr>
          <w:rFonts w:ascii="宋体" w:hAnsi="宋体" w:hint="eastAsia"/>
          <w:sz w:val="24"/>
        </w:rPr>
        <w:t>（3）建立健全内部风险控制、监察与稽核、财务管理及人事管理等制度，确保基金财产的安全，保证其托管的基金财产与基金托管人自有财产以及不同的</w:t>
      </w:r>
      <w:r>
        <w:rPr>
          <w:rFonts w:ascii="宋体" w:hAnsi="宋体" w:hint="eastAsia"/>
          <w:sz w:val="24"/>
        </w:rPr>
        <w:lastRenderedPageBreak/>
        <w:t>基金财产相互独立；对所托管的不同的基金分别设置账户，独立核算，分账管理，保证不同基金之间在账户设置、资金划拨、账册记录等方面相互独立；</w:t>
      </w:r>
    </w:p>
    <w:p w14:paraId="768069B0" w14:textId="77777777" w:rsidR="00E82AF4" w:rsidRDefault="005B2E6A">
      <w:pPr>
        <w:spacing w:line="360" w:lineRule="auto"/>
        <w:ind w:firstLineChars="200" w:firstLine="480"/>
        <w:rPr>
          <w:rFonts w:ascii="宋体" w:hAnsi="宋体"/>
          <w:sz w:val="24"/>
        </w:rPr>
      </w:pPr>
      <w:r>
        <w:rPr>
          <w:rFonts w:ascii="宋体" w:hAnsi="宋体" w:hint="eastAsia"/>
          <w:sz w:val="24"/>
        </w:rPr>
        <w:t>（4）除依据《基金法》、《基金合同》及其他有关规定外，不得利用基金财产为自己及任何第三人谋取利益，不得委托第三人托管基金财产；</w:t>
      </w:r>
    </w:p>
    <w:p w14:paraId="44774FFC" w14:textId="77777777" w:rsidR="00E82AF4" w:rsidRDefault="005B2E6A">
      <w:pPr>
        <w:spacing w:line="360" w:lineRule="auto"/>
        <w:ind w:firstLineChars="200" w:firstLine="480"/>
        <w:rPr>
          <w:rFonts w:ascii="宋体" w:hAnsi="宋体"/>
          <w:sz w:val="24"/>
        </w:rPr>
      </w:pPr>
      <w:r>
        <w:rPr>
          <w:rFonts w:ascii="宋体" w:hAnsi="宋体" w:hint="eastAsia"/>
          <w:sz w:val="24"/>
        </w:rPr>
        <w:t>（5）保管由基金管理人代表基金签订的与基金有关的重大合同及有关凭证；</w:t>
      </w:r>
    </w:p>
    <w:p w14:paraId="54F5172E" w14:textId="77777777" w:rsidR="00E82AF4" w:rsidRDefault="005B2E6A">
      <w:pPr>
        <w:spacing w:line="360" w:lineRule="auto"/>
        <w:ind w:firstLineChars="200" w:firstLine="480"/>
        <w:rPr>
          <w:rFonts w:ascii="宋体" w:hAnsi="宋体"/>
          <w:sz w:val="24"/>
        </w:rPr>
      </w:pPr>
      <w:r>
        <w:rPr>
          <w:rFonts w:ascii="宋体" w:hAnsi="宋体" w:hint="eastAsia"/>
          <w:sz w:val="24"/>
        </w:rPr>
        <w:t>（6）按规定开设基金财产的资金账户和证券账户等投资所需账户，按照《基金合同》的约定，根据基金管理人的投资指令，及时办理清算、交割事宜；</w:t>
      </w:r>
    </w:p>
    <w:p w14:paraId="72A39883" w14:textId="77777777" w:rsidR="00E82AF4" w:rsidRDefault="005B2E6A">
      <w:pPr>
        <w:spacing w:line="360" w:lineRule="auto"/>
        <w:ind w:firstLineChars="200" w:firstLine="480"/>
        <w:rPr>
          <w:rFonts w:ascii="宋体" w:hAnsi="宋体"/>
          <w:sz w:val="24"/>
        </w:rPr>
      </w:pPr>
      <w:r>
        <w:rPr>
          <w:rFonts w:ascii="宋体" w:hAnsi="宋体" w:hint="eastAsia"/>
          <w:sz w:val="24"/>
        </w:rPr>
        <w:t>（7）保守基金商业秘密，除《基金法》、《基金合同》及其他有关法律法规或监管机构另有规定或要求外，在基金信息公开披露前予以保密，不得向他人泄露，但向监管机构、司法机关提供或</w:t>
      </w:r>
      <w:r>
        <w:rPr>
          <w:rFonts w:ascii="宋体" w:hAnsi="宋体" w:hint="eastAsia"/>
          <w:sz w:val="24"/>
          <w:szCs w:val="24"/>
        </w:rPr>
        <w:t>因审计、法律等外部专业顾问提供服务而向其提供的情况除外</w:t>
      </w:r>
      <w:r>
        <w:rPr>
          <w:rFonts w:ascii="宋体" w:hAnsi="宋体" w:hint="eastAsia"/>
          <w:sz w:val="24"/>
        </w:rPr>
        <w:t>；</w:t>
      </w:r>
    </w:p>
    <w:p w14:paraId="3B0EB21A" w14:textId="77777777" w:rsidR="00E82AF4" w:rsidRDefault="005B2E6A">
      <w:pPr>
        <w:spacing w:line="360" w:lineRule="auto"/>
        <w:ind w:firstLineChars="200" w:firstLine="480"/>
        <w:rPr>
          <w:rFonts w:ascii="宋体" w:hAnsi="宋体"/>
          <w:sz w:val="24"/>
        </w:rPr>
      </w:pPr>
      <w:r>
        <w:rPr>
          <w:rFonts w:ascii="宋体" w:hAnsi="宋体" w:hint="eastAsia"/>
          <w:sz w:val="24"/>
        </w:rPr>
        <w:t>（8）复核、审查基金管理人计算的基金资产净值、基金份额净值；</w:t>
      </w:r>
    </w:p>
    <w:p w14:paraId="650FA92C" w14:textId="77777777" w:rsidR="00E82AF4" w:rsidRDefault="005B2E6A">
      <w:pPr>
        <w:spacing w:line="360" w:lineRule="auto"/>
        <w:ind w:firstLineChars="200" w:firstLine="480"/>
        <w:rPr>
          <w:rFonts w:ascii="宋体" w:hAnsi="宋体"/>
          <w:sz w:val="24"/>
        </w:rPr>
      </w:pPr>
      <w:r>
        <w:rPr>
          <w:rFonts w:ascii="宋体" w:hAnsi="宋体" w:hint="eastAsia"/>
          <w:sz w:val="24"/>
        </w:rPr>
        <w:t>（9）办理与基金托管业务活动有关的信息披露事项；</w:t>
      </w:r>
    </w:p>
    <w:p w14:paraId="2BDC8516" w14:textId="77777777" w:rsidR="00E82AF4" w:rsidRDefault="005B2E6A">
      <w:pPr>
        <w:spacing w:line="360" w:lineRule="auto"/>
        <w:ind w:firstLineChars="200" w:firstLine="480"/>
        <w:rPr>
          <w:rFonts w:ascii="宋体" w:hAnsi="宋体"/>
          <w:sz w:val="24"/>
        </w:rPr>
      </w:pPr>
      <w:r>
        <w:rPr>
          <w:rFonts w:ascii="宋体" w:hAnsi="宋体" w:hint="eastAsia"/>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15C90008" w14:textId="5D00549E" w:rsidR="00E82AF4" w:rsidRDefault="005B2E6A">
      <w:pPr>
        <w:spacing w:line="360" w:lineRule="auto"/>
        <w:ind w:firstLineChars="200" w:firstLine="480"/>
        <w:rPr>
          <w:rFonts w:ascii="宋体" w:hAnsi="宋体"/>
          <w:sz w:val="24"/>
        </w:rPr>
      </w:pPr>
      <w:r>
        <w:rPr>
          <w:rFonts w:ascii="宋体" w:hAnsi="宋体" w:hint="eastAsia"/>
          <w:sz w:val="24"/>
        </w:rPr>
        <w:t>（11）保存基金托管业务活动的记录、账册、报表和其他相关资料，保存期限按照法律法规的规定执行；</w:t>
      </w:r>
    </w:p>
    <w:p w14:paraId="1244E5A4" w14:textId="70BB2B4E" w:rsidR="00E82AF4" w:rsidRDefault="005B2E6A">
      <w:pPr>
        <w:spacing w:line="360" w:lineRule="auto"/>
        <w:ind w:firstLineChars="200" w:firstLine="480"/>
        <w:rPr>
          <w:rFonts w:ascii="宋体" w:hAnsi="宋体"/>
          <w:sz w:val="24"/>
        </w:rPr>
      </w:pPr>
      <w:r>
        <w:rPr>
          <w:rFonts w:ascii="宋体" w:hAnsi="宋体" w:hint="eastAsia"/>
          <w:sz w:val="24"/>
        </w:rPr>
        <w:t>（12）保存基金份额持有人名册，保存期限按照法律法规的规定执行；</w:t>
      </w:r>
    </w:p>
    <w:p w14:paraId="447F3243" w14:textId="77777777" w:rsidR="00E82AF4" w:rsidRDefault="005B2E6A">
      <w:pPr>
        <w:spacing w:line="360" w:lineRule="auto"/>
        <w:ind w:firstLineChars="200" w:firstLine="480"/>
        <w:rPr>
          <w:rFonts w:ascii="宋体" w:hAnsi="宋体"/>
          <w:sz w:val="24"/>
        </w:rPr>
      </w:pPr>
      <w:r>
        <w:rPr>
          <w:rFonts w:ascii="宋体" w:hAnsi="宋体" w:hint="eastAsia"/>
          <w:sz w:val="24"/>
        </w:rPr>
        <w:t>（13）按规定制作相关账册并与基金管理人核对；</w:t>
      </w:r>
    </w:p>
    <w:p w14:paraId="7BB7C0EC" w14:textId="77777777" w:rsidR="00E82AF4" w:rsidRDefault="005B2E6A">
      <w:pPr>
        <w:spacing w:line="360" w:lineRule="auto"/>
        <w:ind w:firstLineChars="200" w:firstLine="480"/>
        <w:rPr>
          <w:rFonts w:ascii="宋体" w:hAnsi="宋体"/>
          <w:sz w:val="24"/>
        </w:rPr>
      </w:pPr>
      <w:r>
        <w:rPr>
          <w:rFonts w:ascii="宋体" w:hAnsi="宋体" w:hint="eastAsia"/>
          <w:sz w:val="24"/>
        </w:rPr>
        <w:t>（14）依据基金管理人的指令或有关规定向基金份额持有人支付基金收益和赎回对价的现金部分；</w:t>
      </w:r>
    </w:p>
    <w:p w14:paraId="0547583C" w14:textId="77777777" w:rsidR="00E82AF4" w:rsidRDefault="005B2E6A">
      <w:pPr>
        <w:spacing w:line="360" w:lineRule="auto"/>
        <w:ind w:firstLineChars="200" w:firstLine="480"/>
        <w:rPr>
          <w:rFonts w:ascii="宋体" w:hAnsi="宋体"/>
          <w:sz w:val="24"/>
        </w:rPr>
      </w:pPr>
      <w:r>
        <w:rPr>
          <w:rFonts w:ascii="宋体" w:hAnsi="宋体" w:hint="eastAsia"/>
          <w:sz w:val="24"/>
        </w:rPr>
        <w:t>（15）依据《基金法》、基金合同及其他有关规定，召集基金份额持有人大会或配合基金管理人、基金份额持有人依法召集基金份额持有人大会；</w:t>
      </w:r>
    </w:p>
    <w:p w14:paraId="2D1D8CB2" w14:textId="77777777" w:rsidR="00E82AF4" w:rsidRDefault="005B2E6A">
      <w:pPr>
        <w:spacing w:line="360" w:lineRule="auto"/>
        <w:ind w:firstLineChars="200" w:firstLine="480"/>
        <w:rPr>
          <w:rFonts w:ascii="宋体" w:hAnsi="宋体"/>
          <w:sz w:val="24"/>
        </w:rPr>
      </w:pPr>
      <w:r>
        <w:rPr>
          <w:rFonts w:ascii="宋体" w:hAnsi="宋体" w:hint="eastAsia"/>
          <w:sz w:val="24"/>
        </w:rPr>
        <w:t>（16）按照法律法规和《基金合同》的规定监督基金管理人的投资运作；</w:t>
      </w:r>
    </w:p>
    <w:p w14:paraId="3009432E" w14:textId="77777777" w:rsidR="00E82AF4" w:rsidRDefault="005B2E6A">
      <w:pPr>
        <w:spacing w:line="360" w:lineRule="auto"/>
        <w:ind w:firstLineChars="200" w:firstLine="480"/>
        <w:rPr>
          <w:rFonts w:ascii="宋体" w:hAnsi="宋体"/>
          <w:sz w:val="24"/>
        </w:rPr>
      </w:pPr>
      <w:r>
        <w:rPr>
          <w:rFonts w:ascii="宋体" w:hAnsi="宋体" w:hint="eastAsia"/>
          <w:sz w:val="24"/>
        </w:rPr>
        <w:t>（17）参加基金财产清算小组，参与基金财产的保管、清理、估价、变现和分配；</w:t>
      </w:r>
    </w:p>
    <w:p w14:paraId="07C88782" w14:textId="77777777" w:rsidR="00E82AF4" w:rsidRDefault="005B2E6A">
      <w:pPr>
        <w:spacing w:line="360" w:lineRule="auto"/>
        <w:ind w:firstLineChars="200" w:firstLine="480"/>
        <w:rPr>
          <w:rFonts w:ascii="宋体" w:hAnsi="宋体"/>
          <w:sz w:val="24"/>
        </w:rPr>
      </w:pPr>
      <w:r>
        <w:rPr>
          <w:rFonts w:ascii="宋体" w:hAnsi="宋体" w:hint="eastAsia"/>
          <w:sz w:val="24"/>
        </w:rPr>
        <w:t>（18）面临解散、依法被撤销或者被依法宣告破产时，及时报告中国证监会</w:t>
      </w:r>
      <w:r>
        <w:rPr>
          <w:rFonts w:ascii="宋体" w:hAnsi="宋体" w:hint="eastAsia"/>
          <w:sz w:val="24"/>
        </w:rPr>
        <w:lastRenderedPageBreak/>
        <w:t>和银行业监督管理机构，并通知基金管理人；</w:t>
      </w:r>
    </w:p>
    <w:p w14:paraId="28DA8AC2" w14:textId="77777777" w:rsidR="00E82AF4" w:rsidRDefault="005B2E6A">
      <w:pPr>
        <w:spacing w:line="360" w:lineRule="auto"/>
        <w:ind w:firstLineChars="200" w:firstLine="480"/>
        <w:rPr>
          <w:rFonts w:ascii="宋体" w:hAnsi="宋体"/>
          <w:sz w:val="24"/>
        </w:rPr>
      </w:pPr>
      <w:r>
        <w:rPr>
          <w:rFonts w:ascii="宋体" w:hAnsi="宋体" w:hint="eastAsia"/>
          <w:sz w:val="24"/>
        </w:rPr>
        <w:t>（19）因违反基金合同导致基金财产损失时，应承担赔偿责任，其赔偿责任不因其退任而免除；</w:t>
      </w:r>
    </w:p>
    <w:p w14:paraId="32C11F42" w14:textId="77777777" w:rsidR="00E82AF4" w:rsidRDefault="005B2E6A">
      <w:pPr>
        <w:spacing w:line="360" w:lineRule="auto"/>
        <w:ind w:firstLineChars="200" w:firstLine="480"/>
        <w:rPr>
          <w:rFonts w:ascii="宋体" w:hAnsi="宋体"/>
          <w:sz w:val="24"/>
        </w:rPr>
      </w:pPr>
      <w:r>
        <w:rPr>
          <w:rFonts w:ascii="宋体" w:hAnsi="宋体" w:hint="eastAsia"/>
          <w:sz w:val="24"/>
        </w:rPr>
        <w:t>（20）按规定监督基金管理人按法律法规和基金合同规定履行自己的义务，基金管理人因违反基金合同造成基金财产损失时，应为基金份额持有人利益向基金管理人追偿；</w:t>
      </w:r>
    </w:p>
    <w:p w14:paraId="17C71D13" w14:textId="77777777" w:rsidR="00E82AF4" w:rsidRDefault="005B2E6A">
      <w:pPr>
        <w:spacing w:line="360" w:lineRule="auto"/>
        <w:ind w:firstLineChars="200" w:firstLine="480"/>
        <w:rPr>
          <w:rFonts w:ascii="宋体" w:hAnsi="宋体"/>
          <w:sz w:val="24"/>
        </w:rPr>
      </w:pPr>
      <w:r>
        <w:rPr>
          <w:rFonts w:ascii="宋体" w:hAnsi="宋体" w:hint="eastAsia"/>
          <w:sz w:val="24"/>
        </w:rPr>
        <w:t>（21）执行生效的基金份额持有人大会的决议；</w:t>
      </w:r>
    </w:p>
    <w:p w14:paraId="61A4353C" w14:textId="77777777" w:rsidR="00E82AF4" w:rsidRDefault="005B2E6A">
      <w:pPr>
        <w:spacing w:line="360" w:lineRule="auto"/>
        <w:ind w:firstLineChars="200" w:firstLine="480"/>
        <w:rPr>
          <w:rFonts w:ascii="宋体" w:hAnsi="宋体"/>
          <w:sz w:val="24"/>
        </w:rPr>
      </w:pPr>
      <w:r>
        <w:rPr>
          <w:rFonts w:ascii="宋体" w:hAnsi="宋体" w:hint="eastAsia"/>
          <w:sz w:val="24"/>
        </w:rPr>
        <w:t>（22）法律法规及中国证监会规定的和基金合同约定的其他义务。</w:t>
      </w:r>
    </w:p>
    <w:p w14:paraId="6D120DBB" w14:textId="77777777" w:rsidR="00E82AF4" w:rsidRDefault="005B2E6A">
      <w:pPr>
        <w:spacing w:line="360" w:lineRule="auto"/>
        <w:ind w:firstLineChars="200" w:firstLine="480"/>
        <w:rPr>
          <w:rFonts w:ascii="宋体" w:hAnsi="宋体"/>
          <w:sz w:val="24"/>
        </w:rPr>
      </w:pPr>
      <w:r>
        <w:rPr>
          <w:rFonts w:ascii="宋体" w:hAnsi="宋体" w:hint="eastAsia"/>
          <w:sz w:val="24"/>
        </w:rPr>
        <w:t>（三）基金份额持有人的权利和义务</w:t>
      </w:r>
    </w:p>
    <w:p w14:paraId="3F4D5A5B" w14:textId="77777777" w:rsidR="00E82AF4" w:rsidRDefault="005B2E6A">
      <w:pPr>
        <w:spacing w:line="360" w:lineRule="auto"/>
        <w:ind w:firstLineChars="200" w:firstLine="480"/>
        <w:rPr>
          <w:rFonts w:ascii="宋体" w:hAnsi="宋体"/>
          <w:sz w:val="24"/>
        </w:rPr>
      </w:pPr>
      <w:r>
        <w:rPr>
          <w:rFonts w:ascii="宋体" w:hAnsi="宋体" w:hint="eastAsia"/>
          <w:sz w:val="24"/>
        </w:rPr>
        <w:t>基金</w:t>
      </w:r>
      <w:r>
        <w:rPr>
          <w:rFonts w:ascii="宋体" w:hAnsi="宋体" w:hint="eastAsia"/>
          <w:sz w:val="24"/>
          <w:szCs w:val="24"/>
        </w:rPr>
        <w:t>投资人</w:t>
      </w:r>
      <w:r>
        <w:rPr>
          <w:rFonts w:ascii="宋体" w:hAnsi="宋体" w:hint="eastAsia"/>
          <w:sz w:val="24"/>
        </w:rPr>
        <w:t>持有本基金基金份额的行为即视为对《基金合同》的承认和接受，基金</w:t>
      </w:r>
      <w:r>
        <w:rPr>
          <w:rFonts w:ascii="宋体" w:hAnsi="宋体" w:hint="eastAsia"/>
          <w:sz w:val="24"/>
          <w:szCs w:val="24"/>
        </w:rPr>
        <w:t>投资人</w:t>
      </w:r>
      <w:r>
        <w:rPr>
          <w:rFonts w:ascii="宋体" w:hAnsi="宋体" w:hint="eastAsia"/>
          <w:sz w:val="24"/>
        </w:rPr>
        <w:t>自依据《基金合同》取得基金份额，即成为本基金</w:t>
      </w:r>
      <w:r>
        <w:rPr>
          <w:rFonts w:ascii="宋体" w:hAnsi="宋体" w:hint="eastAsia"/>
          <w:sz w:val="24"/>
          <w:szCs w:val="24"/>
        </w:rPr>
        <w:t>的基金</w:t>
      </w:r>
      <w:r>
        <w:rPr>
          <w:rFonts w:ascii="宋体" w:hAnsi="宋体" w:hint="eastAsia"/>
          <w:sz w:val="24"/>
        </w:rPr>
        <w:t>份额持有人和《基金合同》的当事人，直至其不再持有本基金的基金份额。基金份额持有人作为《基金合同》当事人并不以在《基金合同》上书面签章或签字为必要条件。</w:t>
      </w:r>
    </w:p>
    <w:p w14:paraId="30F7F85D" w14:textId="77777777" w:rsidR="00E82AF4" w:rsidRDefault="005B2E6A">
      <w:pPr>
        <w:spacing w:line="360" w:lineRule="auto"/>
        <w:ind w:firstLineChars="200" w:firstLine="480"/>
        <w:rPr>
          <w:rFonts w:ascii="宋体" w:hAnsi="宋体"/>
          <w:sz w:val="24"/>
        </w:rPr>
      </w:pPr>
      <w:r>
        <w:rPr>
          <w:rFonts w:ascii="宋体" w:hAnsi="宋体" w:hint="eastAsia"/>
          <w:sz w:val="24"/>
        </w:rPr>
        <w:t>本基金每份基金份额具有同等的合法权益。</w:t>
      </w:r>
    </w:p>
    <w:p w14:paraId="7A653208" w14:textId="77777777" w:rsidR="00E82AF4" w:rsidRDefault="005B2E6A">
      <w:pPr>
        <w:spacing w:line="360" w:lineRule="auto"/>
        <w:ind w:firstLineChars="200" w:firstLine="480"/>
        <w:rPr>
          <w:rFonts w:ascii="宋体" w:hAnsi="宋体"/>
          <w:sz w:val="24"/>
        </w:rPr>
      </w:pPr>
      <w:r>
        <w:rPr>
          <w:rFonts w:ascii="宋体" w:hAnsi="宋体" w:hint="eastAsia"/>
          <w:sz w:val="24"/>
        </w:rPr>
        <w:t>1、根据《基金法》、《运作办法》及其他有关规定，基金份额持有人的权利包括但不限于：</w:t>
      </w:r>
    </w:p>
    <w:p w14:paraId="79E9DC28" w14:textId="77777777" w:rsidR="00E82AF4" w:rsidRDefault="005B2E6A">
      <w:pPr>
        <w:spacing w:line="360" w:lineRule="auto"/>
        <w:ind w:firstLineChars="200" w:firstLine="480"/>
        <w:rPr>
          <w:rFonts w:ascii="宋体" w:hAnsi="宋体"/>
          <w:sz w:val="24"/>
        </w:rPr>
      </w:pPr>
      <w:r>
        <w:rPr>
          <w:rFonts w:ascii="宋体" w:hAnsi="宋体" w:hint="eastAsia"/>
          <w:sz w:val="24"/>
        </w:rPr>
        <w:t>（1）分享基金财产收益；</w:t>
      </w:r>
    </w:p>
    <w:p w14:paraId="7F56AE47" w14:textId="77777777" w:rsidR="00E82AF4" w:rsidRDefault="005B2E6A">
      <w:pPr>
        <w:spacing w:line="360" w:lineRule="auto"/>
        <w:ind w:firstLineChars="200" w:firstLine="480"/>
        <w:rPr>
          <w:rFonts w:ascii="宋体" w:hAnsi="宋体"/>
          <w:sz w:val="24"/>
        </w:rPr>
      </w:pPr>
      <w:r>
        <w:rPr>
          <w:rFonts w:ascii="宋体" w:hAnsi="宋体" w:hint="eastAsia"/>
          <w:sz w:val="24"/>
        </w:rPr>
        <w:t>（2）参与分配清算后的剩余基金财产；</w:t>
      </w:r>
    </w:p>
    <w:p w14:paraId="0BF21D09" w14:textId="77777777" w:rsidR="00E82AF4" w:rsidRDefault="005B2E6A">
      <w:pPr>
        <w:spacing w:line="360" w:lineRule="auto"/>
        <w:ind w:firstLineChars="200" w:firstLine="480"/>
        <w:rPr>
          <w:rFonts w:ascii="宋体" w:hAnsi="宋体"/>
          <w:sz w:val="24"/>
        </w:rPr>
      </w:pPr>
      <w:r>
        <w:rPr>
          <w:rFonts w:ascii="宋体" w:hAnsi="宋体" w:hint="eastAsia"/>
          <w:sz w:val="24"/>
        </w:rPr>
        <w:t>（3）依法</w:t>
      </w:r>
      <w:r>
        <w:rPr>
          <w:rFonts w:ascii="宋体" w:hAnsi="宋体" w:hint="eastAsia"/>
          <w:sz w:val="24"/>
          <w:szCs w:val="24"/>
        </w:rPr>
        <w:t>转让或者</w:t>
      </w:r>
      <w:r>
        <w:rPr>
          <w:rFonts w:ascii="宋体" w:hAnsi="宋体" w:hint="eastAsia"/>
          <w:sz w:val="24"/>
        </w:rPr>
        <w:t>申请赎回其持有的基金份额；</w:t>
      </w:r>
    </w:p>
    <w:p w14:paraId="11C0D900" w14:textId="77777777" w:rsidR="00E82AF4" w:rsidRDefault="005B2E6A">
      <w:pPr>
        <w:spacing w:line="360" w:lineRule="auto"/>
        <w:ind w:firstLineChars="200" w:firstLine="480"/>
        <w:rPr>
          <w:rFonts w:ascii="宋体" w:hAnsi="宋体"/>
          <w:sz w:val="24"/>
        </w:rPr>
      </w:pPr>
      <w:r>
        <w:rPr>
          <w:rFonts w:ascii="宋体" w:hAnsi="宋体" w:hint="eastAsia"/>
          <w:sz w:val="24"/>
        </w:rPr>
        <w:t>（4）按照规定要求召开基金份额持有人大会或者召集基金份额持有人大会；</w:t>
      </w:r>
    </w:p>
    <w:p w14:paraId="7B0D861F" w14:textId="77777777" w:rsidR="00E82AF4" w:rsidRDefault="005B2E6A">
      <w:pPr>
        <w:spacing w:line="360" w:lineRule="auto"/>
        <w:ind w:firstLineChars="200" w:firstLine="480"/>
        <w:rPr>
          <w:rFonts w:ascii="宋体" w:hAnsi="宋体"/>
          <w:sz w:val="24"/>
        </w:rPr>
      </w:pPr>
      <w:r>
        <w:rPr>
          <w:rFonts w:ascii="宋体" w:hAnsi="宋体" w:hint="eastAsia"/>
          <w:sz w:val="24"/>
        </w:rPr>
        <w:t>（5）出席或者委派代表出席基金份额持有人大会，对基金份额持有人大会审议事项行使表决权；</w:t>
      </w:r>
    </w:p>
    <w:p w14:paraId="595B709A" w14:textId="77777777" w:rsidR="00E82AF4" w:rsidRDefault="005B2E6A">
      <w:pPr>
        <w:spacing w:line="360" w:lineRule="auto"/>
        <w:ind w:firstLineChars="200" w:firstLine="480"/>
        <w:rPr>
          <w:rFonts w:ascii="宋体" w:hAnsi="宋体"/>
          <w:sz w:val="24"/>
        </w:rPr>
      </w:pPr>
      <w:r>
        <w:rPr>
          <w:rFonts w:ascii="宋体" w:hAnsi="宋体" w:hint="eastAsia"/>
          <w:sz w:val="24"/>
        </w:rPr>
        <w:t>（6）查阅或者复制公开披露的基金信息资料；</w:t>
      </w:r>
    </w:p>
    <w:p w14:paraId="04587224" w14:textId="77777777" w:rsidR="00E82AF4" w:rsidRDefault="005B2E6A">
      <w:pPr>
        <w:spacing w:line="360" w:lineRule="auto"/>
        <w:ind w:firstLineChars="200" w:firstLine="480"/>
        <w:rPr>
          <w:rFonts w:ascii="宋体" w:hAnsi="宋体"/>
          <w:sz w:val="24"/>
        </w:rPr>
      </w:pPr>
      <w:r>
        <w:rPr>
          <w:rFonts w:ascii="宋体" w:hAnsi="宋体" w:hint="eastAsia"/>
          <w:sz w:val="24"/>
        </w:rPr>
        <w:t>（7）监督基金管理人的投资运作；</w:t>
      </w:r>
    </w:p>
    <w:p w14:paraId="5E0F275E" w14:textId="77777777" w:rsidR="00E82AF4" w:rsidRDefault="005B2E6A">
      <w:pPr>
        <w:spacing w:line="360" w:lineRule="auto"/>
        <w:ind w:firstLineChars="200" w:firstLine="480"/>
        <w:rPr>
          <w:rFonts w:ascii="宋体" w:hAnsi="宋体"/>
          <w:sz w:val="24"/>
        </w:rPr>
      </w:pPr>
      <w:r>
        <w:rPr>
          <w:rFonts w:ascii="宋体" w:hAnsi="宋体" w:hint="eastAsia"/>
          <w:sz w:val="24"/>
        </w:rPr>
        <w:t>（8）对基金管理人、基金托管人、基金</w:t>
      </w:r>
      <w:r>
        <w:rPr>
          <w:rFonts w:ascii="宋体" w:hAnsi="宋体" w:hint="eastAsia"/>
          <w:sz w:val="24"/>
          <w:szCs w:val="24"/>
        </w:rPr>
        <w:t>服务</w:t>
      </w:r>
      <w:r>
        <w:rPr>
          <w:rFonts w:ascii="宋体" w:hAnsi="宋体" w:hint="eastAsia"/>
          <w:sz w:val="24"/>
        </w:rPr>
        <w:t>机构损害其合法权益的行为依法提起诉讼或仲裁；</w:t>
      </w:r>
    </w:p>
    <w:p w14:paraId="0082A4A1" w14:textId="77777777" w:rsidR="00E82AF4" w:rsidRDefault="005B2E6A">
      <w:pPr>
        <w:spacing w:line="360" w:lineRule="auto"/>
        <w:ind w:firstLineChars="200" w:firstLine="480"/>
        <w:rPr>
          <w:rFonts w:ascii="宋体" w:hAnsi="宋体"/>
          <w:sz w:val="24"/>
        </w:rPr>
      </w:pPr>
      <w:r>
        <w:rPr>
          <w:rFonts w:ascii="宋体" w:hAnsi="宋体" w:hint="eastAsia"/>
          <w:sz w:val="24"/>
        </w:rPr>
        <w:t>（9）法律法规及中国证监会规定的和《基金合同》约定的其他权利。</w:t>
      </w:r>
    </w:p>
    <w:p w14:paraId="3F66785F" w14:textId="77777777" w:rsidR="00E82AF4" w:rsidRDefault="005B2E6A">
      <w:pPr>
        <w:spacing w:line="360" w:lineRule="auto"/>
        <w:ind w:firstLineChars="200" w:firstLine="480"/>
        <w:rPr>
          <w:rFonts w:ascii="宋体" w:hAnsi="宋体"/>
          <w:sz w:val="24"/>
        </w:rPr>
      </w:pPr>
      <w:r>
        <w:rPr>
          <w:rFonts w:ascii="宋体" w:hAnsi="宋体" w:hint="eastAsia"/>
          <w:sz w:val="24"/>
        </w:rPr>
        <w:t>2、根据《基金法》、《运作办法》及其他有关规定，基金份额持有人的义务包括但不限于：</w:t>
      </w:r>
    </w:p>
    <w:p w14:paraId="0786C0CA"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（1）认真阅读并遵守</w:t>
      </w:r>
      <w:r>
        <w:rPr>
          <w:rFonts w:ascii="宋体" w:hAnsi="宋体"/>
          <w:bCs/>
          <w:sz w:val="24"/>
          <w:szCs w:val="24"/>
        </w:rPr>
        <w:t>基金合同</w:t>
      </w:r>
      <w:r>
        <w:rPr>
          <w:rFonts w:ascii="宋体" w:hAnsi="宋体" w:hint="eastAsia"/>
          <w:bCs/>
          <w:sz w:val="24"/>
          <w:szCs w:val="24"/>
        </w:rPr>
        <w:t>、招募说明书、基金产品资料概要等信息披露文件</w:t>
      </w:r>
      <w:r>
        <w:rPr>
          <w:rFonts w:ascii="宋体" w:hAnsi="宋体" w:hint="eastAsia"/>
          <w:sz w:val="24"/>
        </w:rPr>
        <w:t>；</w:t>
      </w:r>
    </w:p>
    <w:p w14:paraId="483821DF" w14:textId="77777777" w:rsidR="00E82AF4" w:rsidRDefault="005B2E6A">
      <w:pPr>
        <w:spacing w:line="360" w:lineRule="auto"/>
        <w:ind w:firstLineChars="200" w:firstLine="480"/>
        <w:rPr>
          <w:rFonts w:ascii="宋体" w:hAnsi="宋体"/>
          <w:sz w:val="24"/>
        </w:rPr>
      </w:pPr>
      <w:r>
        <w:rPr>
          <w:rFonts w:ascii="宋体" w:hAnsi="宋体" w:hint="eastAsia"/>
          <w:sz w:val="24"/>
        </w:rPr>
        <w:t>（2）了解所投资基金产品，了解自身风险承受能力，</w:t>
      </w:r>
      <w:r>
        <w:rPr>
          <w:bCs/>
          <w:sz w:val="24"/>
        </w:rPr>
        <w:t>自主判断基金的投资价值，自主做出投资决策，</w:t>
      </w:r>
      <w:r>
        <w:rPr>
          <w:rFonts w:ascii="宋体" w:hAnsi="宋体" w:hint="eastAsia"/>
          <w:sz w:val="24"/>
        </w:rPr>
        <w:t>自行承担投资风险；</w:t>
      </w:r>
    </w:p>
    <w:p w14:paraId="3C875C87" w14:textId="77777777" w:rsidR="00E82AF4" w:rsidRDefault="005B2E6A">
      <w:pPr>
        <w:spacing w:line="360" w:lineRule="auto"/>
        <w:ind w:firstLineChars="200" w:firstLine="480"/>
        <w:rPr>
          <w:rFonts w:ascii="宋体" w:hAnsi="宋体"/>
          <w:sz w:val="24"/>
        </w:rPr>
      </w:pPr>
      <w:r>
        <w:rPr>
          <w:rFonts w:ascii="宋体" w:hAnsi="宋体" w:hint="eastAsia"/>
          <w:sz w:val="24"/>
        </w:rPr>
        <w:t>（3）关注基金信息披露，及时行使权利和履行义务；</w:t>
      </w:r>
    </w:p>
    <w:p w14:paraId="42FC0399" w14:textId="77777777" w:rsidR="00E82AF4" w:rsidRDefault="005B2E6A">
      <w:pPr>
        <w:spacing w:line="360" w:lineRule="auto"/>
        <w:ind w:firstLineChars="200" w:firstLine="480"/>
        <w:rPr>
          <w:rFonts w:ascii="宋体" w:hAnsi="宋体"/>
          <w:sz w:val="24"/>
        </w:rPr>
      </w:pPr>
      <w:r>
        <w:rPr>
          <w:rFonts w:ascii="宋体" w:hAnsi="宋体" w:hint="eastAsia"/>
          <w:sz w:val="24"/>
        </w:rPr>
        <w:t>（4）</w:t>
      </w:r>
      <w:r>
        <w:rPr>
          <w:rFonts w:ascii="宋体" w:hAnsi="宋体" w:hint="eastAsia"/>
          <w:sz w:val="24"/>
          <w:szCs w:val="24"/>
        </w:rPr>
        <w:t>交</w:t>
      </w:r>
      <w:r>
        <w:rPr>
          <w:rFonts w:ascii="宋体" w:hAnsi="宋体"/>
          <w:sz w:val="24"/>
          <w:szCs w:val="24"/>
        </w:rPr>
        <w:t>纳</w:t>
      </w:r>
      <w:r>
        <w:rPr>
          <w:rFonts w:ascii="宋体" w:hAnsi="宋体" w:hint="eastAsia"/>
          <w:sz w:val="24"/>
        </w:rPr>
        <w:t>基金认购</w:t>
      </w:r>
      <w:r>
        <w:rPr>
          <w:rFonts w:ascii="宋体" w:hAnsi="宋体" w:hint="eastAsia"/>
          <w:sz w:val="24"/>
          <w:szCs w:val="24"/>
        </w:rPr>
        <w:t>款项或股票</w:t>
      </w:r>
      <w:r>
        <w:rPr>
          <w:rFonts w:ascii="宋体" w:hAnsi="宋体"/>
          <w:sz w:val="24"/>
          <w:szCs w:val="24"/>
        </w:rPr>
        <w:t>、</w:t>
      </w:r>
      <w:r>
        <w:rPr>
          <w:rFonts w:ascii="宋体" w:hAnsi="宋体" w:hint="eastAsia"/>
          <w:sz w:val="24"/>
          <w:szCs w:val="24"/>
        </w:rPr>
        <w:t>应付</w:t>
      </w:r>
      <w:r>
        <w:rPr>
          <w:rFonts w:ascii="宋体" w:hAnsi="宋体" w:hint="eastAsia"/>
          <w:sz w:val="24"/>
        </w:rPr>
        <w:t>申购</w:t>
      </w:r>
      <w:r>
        <w:rPr>
          <w:rFonts w:ascii="宋体" w:hAnsi="宋体" w:hint="eastAsia"/>
          <w:sz w:val="24"/>
          <w:szCs w:val="24"/>
        </w:rPr>
        <w:t>对价</w:t>
      </w:r>
      <w:r>
        <w:rPr>
          <w:rFonts w:ascii="宋体" w:hAnsi="宋体" w:hint="eastAsia"/>
          <w:sz w:val="24"/>
        </w:rPr>
        <w:t>及法律法规和《基金合同》所规定的费用；</w:t>
      </w:r>
    </w:p>
    <w:p w14:paraId="169159F8" w14:textId="77777777" w:rsidR="00E82AF4" w:rsidRDefault="005B2E6A">
      <w:pPr>
        <w:spacing w:line="360" w:lineRule="auto"/>
        <w:ind w:firstLineChars="200" w:firstLine="480"/>
        <w:rPr>
          <w:rFonts w:ascii="宋体" w:hAnsi="宋体"/>
          <w:sz w:val="24"/>
        </w:rPr>
      </w:pPr>
      <w:r>
        <w:rPr>
          <w:rFonts w:ascii="宋体" w:hAnsi="宋体" w:hint="eastAsia"/>
          <w:sz w:val="24"/>
        </w:rPr>
        <w:t>（5）在其持有的基金份额范围内，承担基金亏损或者《基金合同》终止的有限责任；</w:t>
      </w:r>
    </w:p>
    <w:p w14:paraId="1D5845E2" w14:textId="77777777" w:rsidR="00E82AF4" w:rsidRDefault="005B2E6A">
      <w:pPr>
        <w:spacing w:line="360" w:lineRule="auto"/>
        <w:ind w:firstLineChars="200" w:firstLine="480"/>
        <w:rPr>
          <w:rFonts w:ascii="宋体" w:hAnsi="宋体"/>
          <w:sz w:val="24"/>
        </w:rPr>
      </w:pPr>
      <w:r>
        <w:rPr>
          <w:rFonts w:ascii="宋体" w:hAnsi="宋体" w:hint="eastAsia"/>
          <w:sz w:val="24"/>
        </w:rPr>
        <w:t>（6）不从事任何有损基金及其他《基金合同》当事人合法权益的活动；</w:t>
      </w:r>
    </w:p>
    <w:p w14:paraId="3BB22DD3" w14:textId="77777777" w:rsidR="00E82AF4" w:rsidRDefault="005B2E6A">
      <w:pPr>
        <w:spacing w:line="360" w:lineRule="auto"/>
        <w:ind w:firstLineChars="200" w:firstLine="480"/>
        <w:rPr>
          <w:rFonts w:ascii="宋体" w:hAnsi="宋体"/>
          <w:sz w:val="24"/>
        </w:rPr>
      </w:pPr>
      <w:r>
        <w:rPr>
          <w:rFonts w:ascii="宋体" w:hAnsi="宋体" w:hint="eastAsia"/>
          <w:sz w:val="24"/>
        </w:rPr>
        <w:t>（7）执行生效的基金份额持有人大会的</w:t>
      </w:r>
      <w:r>
        <w:rPr>
          <w:rFonts w:ascii="宋体" w:hAnsi="宋体" w:hint="eastAsia"/>
          <w:sz w:val="24"/>
          <w:szCs w:val="24"/>
        </w:rPr>
        <w:t>决议</w:t>
      </w:r>
      <w:r>
        <w:rPr>
          <w:rFonts w:ascii="宋体" w:hAnsi="宋体" w:hint="eastAsia"/>
          <w:sz w:val="24"/>
        </w:rPr>
        <w:t>；</w:t>
      </w:r>
    </w:p>
    <w:p w14:paraId="71062CB6" w14:textId="77777777" w:rsidR="00E82AF4" w:rsidRDefault="005B2E6A">
      <w:pPr>
        <w:spacing w:line="360" w:lineRule="auto"/>
        <w:ind w:firstLineChars="200" w:firstLine="480"/>
        <w:rPr>
          <w:rFonts w:ascii="宋体" w:hAnsi="宋体"/>
          <w:sz w:val="24"/>
        </w:rPr>
      </w:pPr>
      <w:r>
        <w:rPr>
          <w:rFonts w:ascii="宋体" w:hAnsi="宋体" w:hint="eastAsia"/>
          <w:sz w:val="24"/>
        </w:rPr>
        <w:t>（8）返还在基金交易过程中因任何原因获得的不当得利；</w:t>
      </w:r>
    </w:p>
    <w:p w14:paraId="1198C057" w14:textId="77777777" w:rsidR="00E82AF4" w:rsidRDefault="005B2E6A">
      <w:pPr>
        <w:spacing w:line="360" w:lineRule="auto"/>
        <w:ind w:firstLineChars="200" w:firstLine="480"/>
        <w:rPr>
          <w:rFonts w:ascii="宋体" w:hAnsi="宋体"/>
          <w:sz w:val="24"/>
        </w:rPr>
      </w:pPr>
      <w:r>
        <w:rPr>
          <w:rFonts w:ascii="宋体" w:hAnsi="宋体" w:hint="eastAsia"/>
          <w:sz w:val="24"/>
        </w:rPr>
        <w:t>（9）向基金管理人和监管机构提供依法要求提供的信息，以及不时的更新和补充，并保证其真实性；</w:t>
      </w:r>
    </w:p>
    <w:p w14:paraId="76626BAC" w14:textId="77777777" w:rsidR="00E82AF4" w:rsidRDefault="005B2E6A">
      <w:pPr>
        <w:spacing w:line="360" w:lineRule="auto"/>
        <w:ind w:firstLineChars="200" w:firstLine="480"/>
        <w:rPr>
          <w:rFonts w:ascii="宋体" w:hAnsi="宋体"/>
          <w:sz w:val="24"/>
        </w:rPr>
      </w:pPr>
      <w:r>
        <w:rPr>
          <w:rFonts w:ascii="宋体" w:hAnsi="宋体" w:hint="eastAsia"/>
          <w:sz w:val="24"/>
        </w:rPr>
        <w:t>（10）遵守基金管理人、基金托管人、销售机构和登记机构的相关交易及业务规则；</w:t>
      </w:r>
    </w:p>
    <w:p w14:paraId="3476463D" w14:textId="77777777" w:rsidR="00E82AF4" w:rsidRDefault="005B2E6A">
      <w:pPr>
        <w:spacing w:line="360" w:lineRule="auto"/>
        <w:ind w:firstLineChars="200" w:firstLine="480"/>
        <w:rPr>
          <w:rFonts w:ascii="宋体" w:hAnsi="宋体"/>
          <w:sz w:val="24"/>
        </w:rPr>
      </w:pPr>
      <w:r>
        <w:rPr>
          <w:rFonts w:ascii="宋体" w:hAnsi="宋体" w:hint="eastAsia"/>
          <w:sz w:val="24"/>
        </w:rPr>
        <w:t>（11）遵守中华人民共和国反洗钱法律法规，配合基金管理人、基金托管人履行反洗钱职责；</w:t>
      </w:r>
    </w:p>
    <w:p w14:paraId="13FE2D47" w14:textId="77777777" w:rsidR="00E82AF4" w:rsidRDefault="005B2E6A">
      <w:pPr>
        <w:spacing w:line="360" w:lineRule="auto"/>
        <w:ind w:firstLineChars="200" w:firstLine="480"/>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）法律法规及中国证监会规定的和《基金合同》约定的其他义务。</w:t>
      </w:r>
    </w:p>
    <w:p w14:paraId="7298EBE8" w14:textId="77777777" w:rsidR="00E82AF4" w:rsidRDefault="005B2E6A">
      <w:pPr>
        <w:spacing w:line="360" w:lineRule="auto"/>
        <w:ind w:firstLineChars="200" w:firstLine="480"/>
        <w:rPr>
          <w:rFonts w:ascii="宋体" w:hAnsi="宋体"/>
          <w:sz w:val="24"/>
        </w:rPr>
      </w:pPr>
      <w:r>
        <w:rPr>
          <w:rFonts w:ascii="宋体" w:hAnsi="宋体" w:hint="eastAsia"/>
          <w:sz w:val="24"/>
        </w:rPr>
        <w:t>二、基金份额持有人大会召集、议事及表决的程序和规则</w:t>
      </w:r>
    </w:p>
    <w:p w14:paraId="6354F075"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由本基金的基金份额持有人和本基金联接基金（如有）的基金份额持有人组成，上述两类基金份额持有人可以参会并表决或委托其合法授权代表参会并表决。本基金的基金份额持有人持有的每一基金份额拥有平等的投票权。本基金基金份额持有人大会不设日常机构。</w:t>
      </w:r>
    </w:p>
    <w:p w14:paraId="702A3EDF" w14:textId="77777777" w:rsidR="00E82AF4" w:rsidRDefault="005B2E6A">
      <w:pPr>
        <w:spacing w:line="360" w:lineRule="auto"/>
        <w:ind w:firstLineChars="200" w:firstLine="480"/>
        <w:rPr>
          <w:rFonts w:ascii="宋体" w:hAnsi="宋体"/>
          <w:sz w:val="24"/>
        </w:rPr>
      </w:pPr>
      <w:r>
        <w:rPr>
          <w:rFonts w:ascii="宋体" w:hAnsi="宋体" w:hint="eastAsia"/>
          <w:sz w:val="24"/>
        </w:rPr>
        <w:t>若以本基金为目标基金且基金管理人与本基金相同的联接基金的基金合同生效，鉴于本基金和联接基金的相关性，联接基金的基金份额持有人可以凭所持有的联接基金的基金份额直接出席本基金的基金份额持有人大会或者委派代表出席本基金的基金份额持有人大会并参与表决。在计算参会份额和票数时，联接基金持有人持有的享有表决权的参会份额数和表决票数为：在本基金基金份额持</w:t>
      </w:r>
      <w:r>
        <w:rPr>
          <w:rFonts w:ascii="宋体" w:hAnsi="宋体" w:hint="eastAsia"/>
          <w:sz w:val="24"/>
        </w:rPr>
        <w:lastRenderedPageBreak/>
        <w:t>有人大会的权益登记日，联接基金持有本基金基金份额的总数乘以该持有人所持有的联接基金份额占联接基金总份额的比例，计算结果按照四舍五入的方法，保留到整数位。联接基金折算为本基金后的每一参会份额和本基金的每一参会份额拥有平等的投票权。</w:t>
      </w:r>
    </w:p>
    <w:p w14:paraId="2ABB7612" w14:textId="77777777" w:rsidR="00E82AF4" w:rsidRDefault="005B2E6A">
      <w:pPr>
        <w:spacing w:line="360" w:lineRule="auto"/>
        <w:ind w:firstLineChars="200" w:firstLine="480"/>
        <w:rPr>
          <w:rFonts w:ascii="宋体" w:hAnsi="宋体"/>
          <w:sz w:val="24"/>
        </w:rPr>
      </w:pPr>
      <w:r>
        <w:rPr>
          <w:rFonts w:ascii="宋体" w:hAnsi="宋体" w:hint="eastAsia"/>
          <w:sz w:val="24"/>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14:paraId="4BA4443E" w14:textId="77777777" w:rsidR="00E82AF4" w:rsidRDefault="005B2E6A">
      <w:pPr>
        <w:spacing w:line="360" w:lineRule="auto"/>
        <w:ind w:firstLineChars="200" w:firstLine="480"/>
        <w:rPr>
          <w:rFonts w:ascii="宋体" w:hAnsi="宋体"/>
          <w:sz w:val="24"/>
        </w:rPr>
      </w:pPr>
      <w:r>
        <w:rPr>
          <w:rFonts w:ascii="宋体" w:hAnsi="宋体" w:hint="eastAsia"/>
          <w:sz w:val="24"/>
        </w:rPr>
        <w:t>联接基金的基金管理人代表联接基金的基金份额持有人提议召开或召集本基金基金份额持有人大会的，须先遵照联接基金基金合同的约定召开联接基金的基金份额持有人大会，联接基金的基金份额持有人大会决定提议召开或召集本基金基金份额持有人大会的，由联接基金的基金管理人代表联接基金的基金份额持有人提议召开或召集本基金基金份额持有人大会。</w:t>
      </w:r>
    </w:p>
    <w:p w14:paraId="1607A4D2" w14:textId="77777777" w:rsidR="00E82AF4" w:rsidRDefault="005B2E6A">
      <w:pPr>
        <w:spacing w:line="360" w:lineRule="auto"/>
        <w:ind w:firstLineChars="200" w:firstLine="480"/>
        <w:rPr>
          <w:rFonts w:ascii="宋体" w:hAnsi="宋体"/>
          <w:sz w:val="24"/>
        </w:rPr>
      </w:pPr>
      <w:r>
        <w:rPr>
          <w:rFonts w:ascii="宋体" w:hAnsi="宋体" w:hint="eastAsia"/>
          <w:sz w:val="24"/>
        </w:rPr>
        <w:t>若将来法律法规对基金份额持有人大会另有规定的，以届时有效的法律法规为准。</w:t>
      </w:r>
    </w:p>
    <w:p w14:paraId="0B80A5AA" w14:textId="77777777" w:rsidR="00E82AF4" w:rsidRDefault="005B2E6A">
      <w:pPr>
        <w:spacing w:line="360" w:lineRule="auto"/>
        <w:ind w:firstLineChars="200" w:firstLine="480"/>
        <w:rPr>
          <w:rFonts w:ascii="宋体" w:hAnsi="宋体"/>
          <w:sz w:val="24"/>
        </w:rPr>
      </w:pPr>
      <w:r>
        <w:rPr>
          <w:rFonts w:ascii="宋体" w:hAnsi="宋体" w:hint="eastAsia"/>
          <w:sz w:val="24"/>
        </w:rPr>
        <w:t>（一）召开事由</w:t>
      </w:r>
    </w:p>
    <w:p w14:paraId="05BE3919" w14:textId="77777777" w:rsidR="00E82AF4" w:rsidRDefault="005B2E6A">
      <w:pPr>
        <w:spacing w:line="360" w:lineRule="auto"/>
        <w:ind w:firstLineChars="200" w:firstLine="480"/>
        <w:rPr>
          <w:rFonts w:ascii="宋体" w:hAnsi="宋体"/>
          <w:sz w:val="24"/>
        </w:rPr>
      </w:pPr>
      <w:r>
        <w:rPr>
          <w:rFonts w:ascii="宋体" w:hAnsi="宋体" w:hint="eastAsia"/>
          <w:sz w:val="24"/>
        </w:rPr>
        <w:t>1、除法律法规、中国证监会另有规定或基金合同另有约定外，当出现或需要决定下列事由之一的，应当召开基金份额持有人大会：</w:t>
      </w:r>
    </w:p>
    <w:p w14:paraId="4FE7C185" w14:textId="77777777" w:rsidR="00E82AF4" w:rsidRDefault="005B2E6A">
      <w:pPr>
        <w:spacing w:line="360" w:lineRule="auto"/>
        <w:ind w:firstLineChars="200" w:firstLine="480"/>
        <w:rPr>
          <w:rFonts w:ascii="宋体" w:hAnsi="宋体"/>
          <w:sz w:val="24"/>
        </w:rPr>
      </w:pPr>
      <w:r>
        <w:rPr>
          <w:rFonts w:ascii="宋体" w:hAnsi="宋体" w:hint="eastAsia"/>
          <w:sz w:val="24"/>
        </w:rPr>
        <w:t>（1）终止《基金合同》；</w:t>
      </w:r>
    </w:p>
    <w:p w14:paraId="68AE84EC" w14:textId="77777777" w:rsidR="00E82AF4" w:rsidRDefault="005B2E6A">
      <w:pPr>
        <w:spacing w:line="360" w:lineRule="auto"/>
        <w:ind w:firstLineChars="200" w:firstLine="480"/>
        <w:rPr>
          <w:rFonts w:ascii="宋体" w:hAnsi="宋体"/>
          <w:sz w:val="24"/>
        </w:rPr>
      </w:pPr>
      <w:r>
        <w:rPr>
          <w:rFonts w:ascii="宋体" w:hAnsi="宋体" w:hint="eastAsia"/>
          <w:sz w:val="24"/>
        </w:rPr>
        <w:t>（2）更换基金管理人；</w:t>
      </w:r>
    </w:p>
    <w:p w14:paraId="07B9ED69" w14:textId="77777777" w:rsidR="00E82AF4" w:rsidRDefault="005B2E6A">
      <w:pPr>
        <w:spacing w:line="360" w:lineRule="auto"/>
        <w:ind w:firstLineChars="200" w:firstLine="480"/>
        <w:rPr>
          <w:rFonts w:ascii="宋体" w:hAnsi="宋体"/>
          <w:sz w:val="24"/>
        </w:rPr>
      </w:pPr>
      <w:r>
        <w:rPr>
          <w:rFonts w:ascii="宋体" w:hAnsi="宋体" w:hint="eastAsia"/>
          <w:sz w:val="24"/>
        </w:rPr>
        <w:t>（3）更换基金托管人；</w:t>
      </w:r>
    </w:p>
    <w:p w14:paraId="3D6DC3A5" w14:textId="77777777" w:rsidR="00E82AF4" w:rsidRDefault="005B2E6A">
      <w:pPr>
        <w:spacing w:line="360" w:lineRule="auto"/>
        <w:ind w:firstLineChars="200" w:firstLine="480"/>
        <w:rPr>
          <w:rFonts w:ascii="宋体" w:hAnsi="宋体"/>
          <w:sz w:val="24"/>
        </w:rPr>
      </w:pPr>
      <w:r>
        <w:rPr>
          <w:rFonts w:ascii="宋体" w:hAnsi="宋体" w:hint="eastAsia"/>
          <w:sz w:val="24"/>
        </w:rPr>
        <w:t>（4）转换基金运作方式；</w:t>
      </w:r>
    </w:p>
    <w:p w14:paraId="49552CA3" w14:textId="77777777" w:rsidR="00E82AF4" w:rsidRDefault="005B2E6A">
      <w:pPr>
        <w:spacing w:line="360" w:lineRule="auto"/>
        <w:ind w:firstLineChars="200" w:firstLine="480"/>
        <w:rPr>
          <w:rFonts w:ascii="宋体" w:hAnsi="宋体"/>
          <w:sz w:val="24"/>
        </w:rPr>
      </w:pPr>
      <w:r>
        <w:rPr>
          <w:rFonts w:ascii="宋体" w:hAnsi="宋体" w:hint="eastAsia"/>
          <w:sz w:val="24"/>
        </w:rPr>
        <w:t>（5）调整基金管理人、基金托管人的报酬标准；</w:t>
      </w:r>
    </w:p>
    <w:p w14:paraId="684630FC" w14:textId="77777777" w:rsidR="00E82AF4" w:rsidRDefault="005B2E6A">
      <w:pPr>
        <w:spacing w:line="360" w:lineRule="auto"/>
        <w:ind w:firstLineChars="200" w:firstLine="480"/>
        <w:rPr>
          <w:rFonts w:ascii="宋体" w:hAnsi="宋体"/>
          <w:sz w:val="24"/>
        </w:rPr>
      </w:pPr>
      <w:r>
        <w:rPr>
          <w:rFonts w:ascii="宋体" w:hAnsi="宋体" w:hint="eastAsia"/>
          <w:sz w:val="24"/>
        </w:rPr>
        <w:t>（6）变更基金类别；</w:t>
      </w:r>
    </w:p>
    <w:p w14:paraId="0834FBF6" w14:textId="77777777" w:rsidR="00E82AF4" w:rsidRDefault="005B2E6A">
      <w:pPr>
        <w:spacing w:line="360" w:lineRule="auto"/>
        <w:ind w:firstLineChars="200" w:firstLine="480"/>
        <w:rPr>
          <w:rFonts w:ascii="宋体" w:hAnsi="宋体"/>
          <w:sz w:val="24"/>
        </w:rPr>
      </w:pPr>
      <w:r>
        <w:rPr>
          <w:rFonts w:ascii="宋体" w:hAnsi="宋体" w:hint="eastAsia"/>
          <w:sz w:val="24"/>
        </w:rPr>
        <w:t>（7）本基金与其他基金的合并；</w:t>
      </w:r>
    </w:p>
    <w:p w14:paraId="31DA107D" w14:textId="77777777" w:rsidR="00E82AF4" w:rsidRDefault="005B2E6A">
      <w:pPr>
        <w:spacing w:line="360" w:lineRule="auto"/>
        <w:ind w:firstLineChars="200" w:firstLine="480"/>
        <w:rPr>
          <w:rFonts w:ascii="宋体" w:hAnsi="宋体"/>
          <w:sz w:val="24"/>
        </w:rPr>
      </w:pPr>
      <w:r>
        <w:rPr>
          <w:rFonts w:ascii="宋体" w:hAnsi="宋体" w:hint="eastAsia"/>
          <w:sz w:val="24"/>
        </w:rPr>
        <w:t>（8）变更基金投资目标、范围或策略；</w:t>
      </w:r>
    </w:p>
    <w:p w14:paraId="14D763BB" w14:textId="77777777" w:rsidR="00E82AF4" w:rsidRDefault="005B2E6A">
      <w:pPr>
        <w:spacing w:line="360" w:lineRule="auto"/>
        <w:ind w:firstLineChars="200" w:firstLine="480"/>
        <w:rPr>
          <w:rFonts w:ascii="宋体" w:hAnsi="宋体"/>
          <w:sz w:val="24"/>
        </w:rPr>
      </w:pPr>
      <w:r>
        <w:rPr>
          <w:rFonts w:ascii="宋体" w:hAnsi="宋体" w:hint="eastAsia"/>
          <w:sz w:val="24"/>
        </w:rPr>
        <w:t>（9）变更基金份额持有人大会程序；</w:t>
      </w:r>
    </w:p>
    <w:p w14:paraId="6581A743" w14:textId="77777777" w:rsidR="00E82AF4" w:rsidRDefault="005B2E6A">
      <w:pPr>
        <w:spacing w:line="360" w:lineRule="auto"/>
        <w:ind w:firstLineChars="200" w:firstLine="480"/>
        <w:rPr>
          <w:rFonts w:ascii="宋体" w:hAnsi="宋体"/>
          <w:sz w:val="24"/>
        </w:rPr>
      </w:pPr>
      <w:r>
        <w:rPr>
          <w:rFonts w:ascii="宋体" w:hAnsi="宋体" w:hint="eastAsia"/>
          <w:sz w:val="24"/>
        </w:rPr>
        <w:t>（10）终止基金上市，但因基金不再具备上市条件而被深圳证券交易所终止上市的除外；</w:t>
      </w:r>
    </w:p>
    <w:p w14:paraId="5645A718"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（11）基金管理人或基金托管人要求召开基金份额持有人大会；</w:t>
      </w:r>
    </w:p>
    <w:p w14:paraId="07788017" w14:textId="77777777" w:rsidR="00E82AF4" w:rsidRDefault="005B2E6A">
      <w:pPr>
        <w:spacing w:line="360" w:lineRule="auto"/>
        <w:ind w:firstLineChars="200" w:firstLine="480"/>
        <w:rPr>
          <w:rFonts w:ascii="宋体" w:hAnsi="宋体"/>
          <w:sz w:val="24"/>
        </w:rPr>
      </w:pPr>
      <w:r>
        <w:rPr>
          <w:rFonts w:ascii="宋体" w:hAnsi="宋体" w:hint="eastAsia"/>
          <w:sz w:val="24"/>
        </w:rPr>
        <w:t>（12）单独或合计持有本基金总份额10%以上（含10%）基金份额的基金份额持有人（以基金管理人收到提议当日的基金份额计算，下同）就同一事项书面要求召开基金份额持有人大会；</w:t>
      </w:r>
    </w:p>
    <w:p w14:paraId="4DE70732" w14:textId="77777777" w:rsidR="00E82AF4" w:rsidRDefault="005B2E6A">
      <w:pPr>
        <w:spacing w:line="360" w:lineRule="auto"/>
        <w:ind w:firstLineChars="200" w:firstLine="480"/>
        <w:rPr>
          <w:rFonts w:ascii="宋体" w:hAnsi="宋体"/>
          <w:sz w:val="24"/>
        </w:rPr>
      </w:pPr>
      <w:r>
        <w:rPr>
          <w:rFonts w:ascii="宋体" w:hAnsi="宋体" w:hint="eastAsia"/>
          <w:sz w:val="24"/>
        </w:rPr>
        <w:t>（13）对基金合同当事人权利和义务产生重大影响的其他事项；</w:t>
      </w:r>
    </w:p>
    <w:p w14:paraId="42B77AC9" w14:textId="77777777" w:rsidR="00E82AF4" w:rsidRDefault="005B2E6A">
      <w:pPr>
        <w:spacing w:line="360" w:lineRule="auto"/>
        <w:ind w:firstLineChars="200" w:firstLine="480"/>
        <w:rPr>
          <w:rFonts w:ascii="宋体" w:hAnsi="宋体"/>
          <w:sz w:val="24"/>
        </w:rPr>
      </w:pPr>
      <w:r>
        <w:rPr>
          <w:rFonts w:ascii="宋体" w:hAnsi="宋体" w:hint="eastAsia"/>
          <w:sz w:val="24"/>
        </w:rPr>
        <w:t>（14）法律法规、《基金合同》或中国证监会规定的其他应当召开基金份额持有人大会的事项。</w:t>
      </w:r>
    </w:p>
    <w:p w14:paraId="5C41FE0D" w14:textId="77777777" w:rsidR="00E82AF4" w:rsidRDefault="005B2E6A">
      <w:pPr>
        <w:spacing w:line="360" w:lineRule="auto"/>
        <w:ind w:firstLineChars="200" w:firstLine="480"/>
        <w:rPr>
          <w:rFonts w:ascii="宋体" w:hAnsi="宋体"/>
          <w:sz w:val="24"/>
        </w:rPr>
      </w:pPr>
      <w:r>
        <w:rPr>
          <w:rFonts w:ascii="宋体" w:hAnsi="宋体" w:hint="eastAsia"/>
          <w:sz w:val="24"/>
        </w:rPr>
        <w:t>2、在法律法规规定和基金合同约定的范围内且对基金份额持有人利益无实质性不利影响的前提下，以下情况可由基金管理人和基金托管人协商后修改，不需召开基金份额持有人大会：</w:t>
      </w:r>
    </w:p>
    <w:p w14:paraId="2437F163" w14:textId="77777777" w:rsidR="00E82AF4" w:rsidRDefault="005B2E6A">
      <w:pPr>
        <w:spacing w:line="360" w:lineRule="auto"/>
        <w:ind w:firstLineChars="200" w:firstLine="480"/>
        <w:rPr>
          <w:rFonts w:ascii="宋体" w:hAnsi="宋体"/>
          <w:sz w:val="24"/>
        </w:rPr>
      </w:pPr>
      <w:r>
        <w:rPr>
          <w:rFonts w:ascii="宋体" w:hAnsi="宋体" w:hint="eastAsia"/>
          <w:sz w:val="24"/>
        </w:rPr>
        <w:t>（1）法律法规要求增加的基金费用的收取；</w:t>
      </w:r>
    </w:p>
    <w:p w14:paraId="76F823A7" w14:textId="57793D7B" w:rsidR="00E82AF4" w:rsidRDefault="005B2E6A">
      <w:pPr>
        <w:spacing w:line="360" w:lineRule="auto"/>
        <w:ind w:firstLineChars="200" w:firstLine="480"/>
        <w:rPr>
          <w:rFonts w:ascii="宋体" w:hAnsi="宋体"/>
          <w:sz w:val="24"/>
        </w:rPr>
      </w:pPr>
      <w:r>
        <w:rPr>
          <w:rFonts w:ascii="宋体" w:hAnsi="宋体" w:hint="eastAsia"/>
          <w:sz w:val="24"/>
        </w:rPr>
        <w:t>（2）调整本基金的申购费率、变更收费方式；</w:t>
      </w:r>
    </w:p>
    <w:p w14:paraId="2231D5EA" w14:textId="77777777" w:rsidR="00E82AF4" w:rsidRDefault="005B2E6A">
      <w:pPr>
        <w:spacing w:line="360" w:lineRule="auto"/>
        <w:ind w:firstLineChars="200" w:firstLine="480"/>
        <w:rPr>
          <w:rFonts w:ascii="宋体" w:hAnsi="宋体"/>
          <w:sz w:val="24"/>
        </w:rPr>
      </w:pPr>
      <w:r>
        <w:rPr>
          <w:rFonts w:ascii="宋体" w:hAnsi="宋体" w:hint="eastAsia"/>
          <w:sz w:val="24"/>
        </w:rPr>
        <w:t>（3）因相应的法律法规、中国证监会、深圳证券交易所或者登记机构的相关业务规则或行业自律规则发生变动而应当对《基金合同》进行修改；</w:t>
      </w:r>
    </w:p>
    <w:p w14:paraId="14A13083" w14:textId="77777777" w:rsidR="00E82AF4" w:rsidRDefault="005B2E6A">
      <w:pPr>
        <w:spacing w:line="360" w:lineRule="auto"/>
        <w:ind w:firstLineChars="200" w:firstLine="480"/>
        <w:rPr>
          <w:rFonts w:ascii="宋体" w:hAnsi="宋体"/>
          <w:sz w:val="24"/>
        </w:rPr>
      </w:pPr>
      <w:r>
        <w:rPr>
          <w:rFonts w:ascii="宋体" w:hAnsi="宋体" w:hint="eastAsia"/>
          <w:sz w:val="24"/>
        </w:rPr>
        <w:t>（4）对《基金合同》的修改对基金份额持有人利益无实质性不利影响或修改不涉及《基金合同》当事人权利义务关系发生重大变化；</w:t>
      </w:r>
    </w:p>
    <w:p w14:paraId="681D20DA" w14:textId="77777777" w:rsidR="00E82AF4" w:rsidRDefault="005B2E6A">
      <w:pPr>
        <w:spacing w:line="360" w:lineRule="auto"/>
        <w:ind w:firstLineChars="200" w:firstLine="480"/>
        <w:rPr>
          <w:rFonts w:ascii="宋体" w:hAnsi="宋体"/>
          <w:sz w:val="24"/>
        </w:rPr>
      </w:pPr>
      <w:r>
        <w:rPr>
          <w:rFonts w:ascii="宋体" w:hAnsi="宋体" w:hint="eastAsia"/>
          <w:sz w:val="24"/>
        </w:rPr>
        <w:t>（5）履行适当程序后基金推出新业务或服务；</w:t>
      </w:r>
    </w:p>
    <w:p w14:paraId="5F535F32" w14:textId="6138721F"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）调整或开通新的基金的申购赎回方式，调整申购对价、赎回对价组成、申购赎回清单的内容；</w:t>
      </w:r>
    </w:p>
    <w:p w14:paraId="27B22610"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rPr>
        <w:t>7</w:t>
      </w:r>
      <w:r>
        <w:rPr>
          <w:rFonts w:ascii="宋体" w:hAnsi="宋体" w:hint="eastAsia"/>
          <w:sz w:val="24"/>
        </w:rPr>
        <w:t>）调整基金份额净值、申购赎回清单的计算和公告时间或频率；</w:t>
      </w:r>
    </w:p>
    <w:p w14:paraId="6288EA0B"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rPr>
        <w:t>8</w:t>
      </w:r>
      <w:r>
        <w:rPr>
          <w:rFonts w:ascii="宋体" w:hAnsi="宋体" w:hint="eastAsia"/>
          <w:sz w:val="24"/>
        </w:rPr>
        <w:t>）募集并管理以本基金为目标ETF的一只或多只联接基金、本基金的联接基金采取特殊申购或其他方式参与本基金的申购赎回、增设新的基金份额类别、减少基金份额类别或者调整基金份额类别设置、在其他证券交易所上市；</w:t>
      </w:r>
    </w:p>
    <w:p w14:paraId="722B7F87" w14:textId="77777777" w:rsidR="00E82AF4" w:rsidRDefault="005B2E6A">
      <w:pPr>
        <w:spacing w:line="360" w:lineRule="auto"/>
        <w:ind w:firstLineChars="200" w:firstLine="480"/>
        <w:rPr>
          <w:rFonts w:ascii="宋体" w:hAnsi="宋体"/>
          <w:sz w:val="24"/>
        </w:rPr>
      </w:pPr>
      <w:r>
        <w:rPr>
          <w:rFonts w:ascii="宋体" w:hAnsi="宋体" w:hint="eastAsia"/>
          <w:sz w:val="24"/>
        </w:rPr>
        <w:t>（</w:t>
      </w:r>
      <w:r>
        <w:rPr>
          <w:rFonts w:ascii="宋体" w:hAnsi="宋体"/>
          <w:sz w:val="24"/>
        </w:rPr>
        <w:t>9</w:t>
      </w:r>
      <w:r>
        <w:rPr>
          <w:rFonts w:ascii="宋体" w:hAnsi="宋体" w:hint="eastAsia"/>
          <w:sz w:val="24"/>
        </w:rPr>
        <w:t>）基金管理人、相关证券交易所和登记机构在法律法规、基金合同规定的范围内调整有关基金认购、申购、赎回、交易、转托管、非交易过户等业务的规则（包括申购赎回清单的调整、开放时间的调整等）；</w:t>
      </w:r>
    </w:p>
    <w:p w14:paraId="505C76FA" w14:textId="77777777" w:rsidR="00E82AF4" w:rsidRDefault="005B2E6A">
      <w:pPr>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）按照法律法规和《基金合同》规定不需召开基金份额持有人大会的其他情形。</w:t>
      </w:r>
    </w:p>
    <w:p w14:paraId="00A1AD92" w14:textId="77777777" w:rsidR="00E82AF4" w:rsidRDefault="005B2E6A">
      <w:pPr>
        <w:spacing w:line="360" w:lineRule="auto"/>
        <w:ind w:firstLineChars="200" w:firstLine="480"/>
        <w:rPr>
          <w:rFonts w:ascii="宋体" w:hAnsi="宋体"/>
          <w:sz w:val="24"/>
        </w:rPr>
      </w:pPr>
      <w:r>
        <w:rPr>
          <w:rFonts w:ascii="宋体" w:hAnsi="宋体" w:hint="eastAsia"/>
          <w:sz w:val="24"/>
        </w:rPr>
        <w:t>（二）会议召集人及召集方式</w:t>
      </w:r>
    </w:p>
    <w:p w14:paraId="66AA5CC6"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1、除法律法规规定或基金合同另有约定外，基金份额持有人大会由基金管理人召集。</w:t>
      </w:r>
    </w:p>
    <w:p w14:paraId="7DA31F05" w14:textId="77777777" w:rsidR="00E82AF4" w:rsidRDefault="005B2E6A">
      <w:pPr>
        <w:spacing w:line="360" w:lineRule="auto"/>
        <w:ind w:firstLineChars="200" w:firstLine="480"/>
        <w:rPr>
          <w:rFonts w:ascii="宋体" w:hAnsi="宋体"/>
          <w:sz w:val="24"/>
        </w:rPr>
      </w:pPr>
      <w:r>
        <w:rPr>
          <w:rFonts w:ascii="宋体" w:hAnsi="宋体" w:hint="eastAsia"/>
          <w:sz w:val="24"/>
        </w:rPr>
        <w:t>2、基金管理人未按规定召集或不能召集时，由基金托管人召集。</w:t>
      </w:r>
    </w:p>
    <w:p w14:paraId="6107B1B9" w14:textId="77777777" w:rsidR="00E82AF4" w:rsidRDefault="005B2E6A">
      <w:pPr>
        <w:spacing w:line="360" w:lineRule="auto"/>
        <w:ind w:firstLineChars="200" w:firstLine="480"/>
        <w:rPr>
          <w:rFonts w:ascii="宋体" w:hAnsi="宋体"/>
          <w:sz w:val="24"/>
        </w:rPr>
      </w:pPr>
      <w:r>
        <w:rPr>
          <w:rFonts w:ascii="宋体" w:hAnsi="宋体" w:hint="eastAsia"/>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5FEA2D05" w14:textId="77777777" w:rsidR="00E82AF4" w:rsidRDefault="005B2E6A">
      <w:pPr>
        <w:spacing w:line="360" w:lineRule="auto"/>
        <w:ind w:firstLineChars="200" w:firstLine="480"/>
        <w:rPr>
          <w:rFonts w:ascii="宋体" w:hAnsi="宋体"/>
          <w:sz w:val="24"/>
        </w:rPr>
      </w:pPr>
      <w:r>
        <w:rPr>
          <w:rFonts w:ascii="宋体" w:hAnsi="宋体" w:hint="eastAsia"/>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6889F0D" w14:textId="77777777" w:rsidR="00E82AF4" w:rsidRDefault="005B2E6A">
      <w:pPr>
        <w:spacing w:line="360" w:lineRule="auto"/>
        <w:ind w:firstLineChars="200" w:firstLine="480"/>
        <w:rPr>
          <w:rFonts w:ascii="宋体" w:hAnsi="宋体"/>
          <w:sz w:val="24"/>
        </w:rPr>
      </w:pPr>
      <w:r>
        <w:rPr>
          <w:rFonts w:ascii="宋体" w:hAnsi="宋体" w:hint="eastAsia"/>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56525B7E" w14:textId="77777777" w:rsidR="00E82AF4" w:rsidRDefault="005B2E6A">
      <w:pPr>
        <w:spacing w:line="360" w:lineRule="auto"/>
        <w:ind w:firstLineChars="200" w:firstLine="480"/>
        <w:rPr>
          <w:rFonts w:ascii="宋体" w:hAnsi="宋体"/>
          <w:sz w:val="24"/>
        </w:rPr>
      </w:pPr>
      <w:r>
        <w:rPr>
          <w:rFonts w:ascii="宋体" w:hAnsi="宋体" w:hint="eastAsia"/>
          <w:sz w:val="24"/>
        </w:rPr>
        <w:t>6、基金份额持有人会议的召集人负责选择确定开会时间、地点、方式和权益登记日。</w:t>
      </w:r>
    </w:p>
    <w:p w14:paraId="3EE84B85" w14:textId="77777777" w:rsidR="00E82AF4" w:rsidRDefault="005B2E6A">
      <w:pPr>
        <w:spacing w:line="360" w:lineRule="auto"/>
        <w:ind w:firstLineChars="200" w:firstLine="480"/>
        <w:rPr>
          <w:rFonts w:ascii="宋体" w:hAnsi="宋体"/>
          <w:sz w:val="24"/>
        </w:rPr>
      </w:pPr>
      <w:r>
        <w:rPr>
          <w:rFonts w:ascii="宋体" w:hAnsi="宋体" w:hint="eastAsia"/>
          <w:sz w:val="24"/>
        </w:rPr>
        <w:t>（三）召开基金份额持有人大会的通知时间、通知内容、通知方式</w:t>
      </w:r>
    </w:p>
    <w:p w14:paraId="1B55D9AA" w14:textId="77777777" w:rsidR="00E82AF4" w:rsidRDefault="005B2E6A">
      <w:pPr>
        <w:spacing w:line="360" w:lineRule="auto"/>
        <w:ind w:firstLineChars="200" w:firstLine="480"/>
        <w:rPr>
          <w:rFonts w:ascii="宋体" w:hAnsi="宋体"/>
          <w:sz w:val="24"/>
        </w:rPr>
      </w:pPr>
      <w:r>
        <w:rPr>
          <w:rFonts w:ascii="宋体" w:hAnsi="宋体" w:hint="eastAsia"/>
          <w:sz w:val="24"/>
        </w:rPr>
        <w:t>1、召开基金份额持有人大会，召集人应于会议召开前30日，在规定媒介公告。基金份额持有人大会通知应至少载明以下内容：</w:t>
      </w:r>
    </w:p>
    <w:p w14:paraId="33C71C0F" w14:textId="77777777" w:rsidR="00E82AF4" w:rsidRDefault="005B2E6A">
      <w:pPr>
        <w:spacing w:line="360" w:lineRule="auto"/>
        <w:ind w:firstLineChars="200" w:firstLine="480"/>
        <w:rPr>
          <w:rFonts w:ascii="宋体" w:hAnsi="宋体"/>
          <w:sz w:val="24"/>
        </w:rPr>
      </w:pPr>
      <w:r>
        <w:rPr>
          <w:rFonts w:ascii="宋体" w:hAnsi="宋体" w:hint="eastAsia"/>
          <w:sz w:val="24"/>
        </w:rPr>
        <w:t>（1）会议召开的时间、地点和会议形式；</w:t>
      </w:r>
    </w:p>
    <w:p w14:paraId="66435510"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（2）会议拟审议的事项、议事程序和表决方式；</w:t>
      </w:r>
    </w:p>
    <w:p w14:paraId="7C4CEB1F" w14:textId="77777777" w:rsidR="00E82AF4" w:rsidRDefault="005B2E6A">
      <w:pPr>
        <w:spacing w:line="360" w:lineRule="auto"/>
        <w:ind w:firstLineChars="200" w:firstLine="480"/>
        <w:rPr>
          <w:rFonts w:ascii="宋体" w:hAnsi="宋体"/>
          <w:sz w:val="24"/>
        </w:rPr>
      </w:pPr>
      <w:r>
        <w:rPr>
          <w:rFonts w:ascii="宋体" w:hAnsi="宋体" w:hint="eastAsia"/>
          <w:sz w:val="24"/>
        </w:rPr>
        <w:t>（3）有权出席基金份额持有人大会的基金份额持有人的权益登记日；</w:t>
      </w:r>
    </w:p>
    <w:p w14:paraId="3A48A102" w14:textId="77777777" w:rsidR="00E82AF4" w:rsidRDefault="005B2E6A">
      <w:pPr>
        <w:spacing w:line="360" w:lineRule="auto"/>
        <w:ind w:firstLineChars="200" w:firstLine="480"/>
        <w:rPr>
          <w:rFonts w:ascii="宋体" w:hAnsi="宋体"/>
          <w:sz w:val="24"/>
        </w:rPr>
      </w:pPr>
      <w:r>
        <w:rPr>
          <w:rFonts w:ascii="宋体" w:hAnsi="宋体" w:hint="eastAsia"/>
          <w:sz w:val="24"/>
        </w:rPr>
        <w:t>（4）授权委托证明的内容要求（包括但不限于代理人身份，代理权限和代理有效期限等）、送达时间和地点；</w:t>
      </w:r>
    </w:p>
    <w:p w14:paraId="01CE2902" w14:textId="77777777" w:rsidR="00E82AF4" w:rsidRDefault="005B2E6A">
      <w:pPr>
        <w:spacing w:line="360" w:lineRule="auto"/>
        <w:ind w:firstLineChars="200" w:firstLine="480"/>
        <w:rPr>
          <w:rFonts w:ascii="宋体" w:hAnsi="宋体"/>
          <w:sz w:val="24"/>
        </w:rPr>
      </w:pPr>
      <w:r>
        <w:rPr>
          <w:rFonts w:ascii="宋体" w:hAnsi="宋体" w:hint="eastAsia"/>
          <w:sz w:val="24"/>
        </w:rPr>
        <w:t>（5）会务常设联系人姓名及联系电话；</w:t>
      </w:r>
    </w:p>
    <w:p w14:paraId="4EF88DBE" w14:textId="77777777" w:rsidR="00E82AF4" w:rsidRDefault="005B2E6A">
      <w:pPr>
        <w:spacing w:line="360" w:lineRule="auto"/>
        <w:ind w:firstLineChars="200" w:firstLine="480"/>
        <w:rPr>
          <w:rFonts w:ascii="宋体" w:hAnsi="宋体"/>
          <w:sz w:val="24"/>
        </w:rPr>
      </w:pPr>
      <w:r>
        <w:rPr>
          <w:rFonts w:ascii="宋体" w:hAnsi="宋体" w:hint="eastAsia"/>
          <w:sz w:val="24"/>
        </w:rPr>
        <w:t>（6）出席会议者必须准备的文件和必须履行的手续；</w:t>
      </w:r>
    </w:p>
    <w:p w14:paraId="29029147" w14:textId="77777777" w:rsidR="00E82AF4" w:rsidRDefault="005B2E6A">
      <w:pPr>
        <w:spacing w:line="360" w:lineRule="auto"/>
        <w:ind w:firstLineChars="200" w:firstLine="480"/>
        <w:rPr>
          <w:rFonts w:ascii="宋体" w:hAnsi="宋体"/>
          <w:sz w:val="24"/>
        </w:rPr>
      </w:pPr>
      <w:r>
        <w:rPr>
          <w:rFonts w:ascii="宋体" w:hAnsi="宋体" w:hint="eastAsia"/>
          <w:sz w:val="24"/>
        </w:rPr>
        <w:t>（7）召集人需要通知的其他事项。</w:t>
      </w:r>
    </w:p>
    <w:p w14:paraId="483B29F9" w14:textId="77777777" w:rsidR="00E82AF4" w:rsidRDefault="005B2E6A">
      <w:pPr>
        <w:spacing w:line="360" w:lineRule="auto"/>
        <w:ind w:firstLineChars="200" w:firstLine="480"/>
        <w:rPr>
          <w:rFonts w:ascii="宋体" w:hAnsi="宋体"/>
          <w:sz w:val="24"/>
        </w:rPr>
      </w:pPr>
      <w:r>
        <w:rPr>
          <w:rFonts w:ascii="宋体" w:hAnsi="宋体" w:hint="eastAsia"/>
          <w:sz w:val="24"/>
        </w:rPr>
        <w:t>2、采取通讯开会方式并进行表决的情况下，由会议召集人决定在会议通知中说明本次基金份额持有人大会所采取的具体通讯方式、委托的公证机关及其联系方式和联系人、表决意见提交的截止时间和收取方式。</w:t>
      </w:r>
    </w:p>
    <w:p w14:paraId="1413B46D" w14:textId="77777777" w:rsidR="00E82AF4" w:rsidRDefault="005B2E6A">
      <w:pPr>
        <w:spacing w:line="360" w:lineRule="auto"/>
        <w:ind w:firstLineChars="200" w:firstLine="480"/>
        <w:rPr>
          <w:rFonts w:ascii="宋体" w:hAnsi="宋体"/>
          <w:sz w:val="24"/>
        </w:rPr>
      </w:pPr>
      <w:r>
        <w:rPr>
          <w:rFonts w:ascii="宋体" w:hAnsi="宋体" w:hint="eastAsia"/>
          <w:sz w:val="24"/>
        </w:rPr>
        <w:t>3、如召集人为基金管理人，还应另行通知基金托管人到指定地点对表决意见的计票进行监督；如召集人为基金托管人，则应另行通知基金管理人到指定地点对表决意见的计票进行监督；如召集人为基金份额持有人，则应另行通知基金管理人和基金托管人到指定地点对表决意见的计票进行监督。基金管理人或基金托管人拒不派代表对表决意见的计票进行监督的，不影响表决意见的计票效力。</w:t>
      </w:r>
    </w:p>
    <w:p w14:paraId="4F8CA8D0" w14:textId="77777777" w:rsidR="00E82AF4" w:rsidRDefault="005B2E6A">
      <w:pPr>
        <w:spacing w:line="360" w:lineRule="auto"/>
        <w:ind w:firstLineChars="200" w:firstLine="480"/>
        <w:rPr>
          <w:rFonts w:ascii="宋体" w:hAnsi="宋体"/>
          <w:sz w:val="24"/>
        </w:rPr>
      </w:pPr>
      <w:r>
        <w:rPr>
          <w:rFonts w:ascii="宋体" w:hAnsi="宋体" w:hint="eastAsia"/>
          <w:sz w:val="24"/>
        </w:rPr>
        <w:t>（四）基金份额持有人出席会议的方式</w:t>
      </w:r>
    </w:p>
    <w:p w14:paraId="6C02202C"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基金份额持有人大会可通过现场开会方式、通讯开会方式或法律法规、监管机构允许的其他方式召开，会议的召开方式由会议召集人确定。</w:t>
      </w:r>
    </w:p>
    <w:p w14:paraId="1AD0E27E" w14:textId="77777777" w:rsidR="00E82AF4" w:rsidRDefault="005B2E6A">
      <w:pPr>
        <w:spacing w:line="360" w:lineRule="auto"/>
        <w:ind w:firstLineChars="200" w:firstLine="480"/>
        <w:rPr>
          <w:rFonts w:ascii="宋体" w:hAnsi="宋体"/>
          <w:sz w:val="24"/>
        </w:rPr>
      </w:pPr>
      <w:r>
        <w:rPr>
          <w:rFonts w:ascii="宋体" w:hAnsi="宋体" w:hint="eastAsia"/>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C82A918" w14:textId="77777777" w:rsidR="00E82AF4" w:rsidRDefault="005B2E6A">
      <w:pPr>
        <w:spacing w:line="360" w:lineRule="auto"/>
        <w:ind w:firstLineChars="200" w:firstLine="480"/>
        <w:rPr>
          <w:rFonts w:ascii="宋体" w:hAnsi="宋体"/>
          <w:sz w:val="24"/>
        </w:rPr>
      </w:pPr>
      <w:r>
        <w:rPr>
          <w:rFonts w:ascii="宋体" w:hAnsi="宋体" w:hint="eastAsia"/>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65084A3" w14:textId="77777777" w:rsidR="00E82AF4" w:rsidRDefault="005B2E6A">
      <w:pPr>
        <w:spacing w:line="360" w:lineRule="auto"/>
        <w:ind w:firstLineChars="200" w:firstLine="480"/>
        <w:rPr>
          <w:rFonts w:ascii="宋体" w:hAnsi="宋体"/>
          <w:sz w:val="24"/>
        </w:rPr>
      </w:pPr>
      <w:r>
        <w:rPr>
          <w:rFonts w:ascii="宋体" w:hAnsi="宋体" w:hint="eastAsia"/>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w:t>
      </w:r>
      <w:r>
        <w:rPr>
          <w:rFonts w:ascii="宋体" w:hAnsi="宋体" w:hint="eastAsia"/>
          <w:sz w:val="24"/>
        </w:rPr>
        <w:lastRenderedPageBreak/>
        <w:t>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F8BBDF7" w14:textId="77777777" w:rsidR="00E82AF4" w:rsidRDefault="005B2E6A">
      <w:pPr>
        <w:spacing w:line="360" w:lineRule="auto"/>
        <w:ind w:firstLineChars="200" w:firstLine="480"/>
        <w:rPr>
          <w:rFonts w:ascii="宋体" w:hAnsi="宋体"/>
          <w:sz w:val="24"/>
        </w:rPr>
      </w:pPr>
      <w:r>
        <w:rPr>
          <w:rFonts w:ascii="宋体" w:hAnsi="宋体" w:hint="eastAsia"/>
          <w:sz w:val="24"/>
        </w:rPr>
        <w:t>2、通讯开会。通讯开会系指按照本基金合同的相关规定以召集人通知的非现场方式（包括书面、网络、电话、短信或其他方式）进行表决，基金份额持有人将其对表决事项的投票以召集人通知载明的非现场方式在表决截止日以前送达至召集人指定的地址或系统。</w:t>
      </w:r>
    </w:p>
    <w:p w14:paraId="07CF1280" w14:textId="77777777" w:rsidR="00E82AF4" w:rsidRDefault="005B2E6A">
      <w:pPr>
        <w:spacing w:line="360" w:lineRule="auto"/>
        <w:ind w:firstLineChars="200" w:firstLine="480"/>
        <w:rPr>
          <w:rFonts w:ascii="宋体" w:hAnsi="宋体"/>
          <w:sz w:val="24"/>
        </w:rPr>
      </w:pPr>
      <w:r>
        <w:rPr>
          <w:rFonts w:ascii="宋体" w:hAnsi="宋体" w:hint="eastAsia"/>
          <w:sz w:val="24"/>
        </w:rPr>
        <w:t>在同时符合以下条件时，通讯开会的方式视为有效：</w:t>
      </w:r>
    </w:p>
    <w:p w14:paraId="07EB6DEF" w14:textId="77777777" w:rsidR="00E82AF4" w:rsidRDefault="005B2E6A">
      <w:pPr>
        <w:spacing w:line="360" w:lineRule="auto"/>
        <w:ind w:firstLineChars="200" w:firstLine="480"/>
        <w:rPr>
          <w:rFonts w:ascii="宋体" w:hAnsi="宋体"/>
          <w:sz w:val="24"/>
        </w:rPr>
      </w:pPr>
      <w:r>
        <w:rPr>
          <w:rFonts w:ascii="宋体" w:hAnsi="宋体" w:hint="eastAsia"/>
          <w:sz w:val="24"/>
        </w:rPr>
        <w:t>（1）会议召集人按基金合同约定公布会议通知后，在2个工作日内连续公布相关提示性公告；</w:t>
      </w:r>
    </w:p>
    <w:p w14:paraId="7B7B6ADB" w14:textId="77777777" w:rsidR="00E82AF4" w:rsidRDefault="005B2E6A">
      <w:pPr>
        <w:spacing w:line="360" w:lineRule="auto"/>
        <w:ind w:firstLineChars="200" w:firstLine="480"/>
        <w:rPr>
          <w:rFonts w:ascii="宋体" w:hAnsi="宋体"/>
          <w:sz w:val="24"/>
        </w:rPr>
      </w:pPr>
      <w:r>
        <w:rPr>
          <w:rFonts w:ascii="宋体" w:hAnsi="宋体" w:hint="eastAsia"/>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407B76E7" w14:textId="77777777" w:rsidR="00E82AF4" w:rsidRDefault="005B2E6A">
      <w:pPr>
        <w:spacing w:line="360" w:lineRule="auto"/>
        <w:ind w:firstLineChars="200" w:firstLine="480"/>
        <w:rPr>
          <w:rFonts w:ascii="宋体" w:hAnsi="宋体"/>
          <w:sz w:val="24"/>
        </w:rPr>
      </w:pPr>
      <w:r>
        <w:rPr>
          <w:rFonts w:ascii="宋体" w:hAnsi="宋体" w:hint="eastAsia"/>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基金份额持有人直接出具表决意见或授权他人代表出具表决意见；</w:t>
      </w:r>
    </w:p>
    <w:p w14:paraId="0EA46EBA" w14:textId="77777777" w:rsidR="00E82AF4" w:rsidRDefault="005B2E6A">
      <w:pPr>
        <w:spacing w:line="360" w:lineRule="auto"/>
        <w:ind w:firstLineChars="200" w:firstLine="480"/>
        <w:rPr>
          <w:rFonts w:ascii="宋体" w:hAnsi="宋体"/>
          <w:sz w:val="24"/>
        </w:rPr>
      </w:pPr>
      <w:r>
        <w:rPr>
          <w:rFonts w:ascii="宋体" w:hAnsi="宋体" w:hint="eastAsia"/>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22F4D6A9" w14:textId="77777777" w:rsidR="00E82AF4" w:rsidRDefault="005B2E6A">
      <w:pPr>
        <w:spacing w:line="360" w:lineRule="auto"/>
        <w:ind w:firstLineChars="200" w:firstLine="480"/>
        <w:rPr>
          <w:rFonts w:ascii="宋体" w:hAnsi="宋体"/>
          <w:sz w:val="24"/>
        </w:rPr>
      </w:pPr>
      <w:r>
        <w:rPr>
          <w:rFonts w:ascii="宋体" w:hAnsi="宋体" w:hint="eastAsia"/>
          <w:sz w:val="24"/>
        </w:rPr>
        <w:t>3、在不违反法律法规或监管机构规定的情况下，经会议通知载明，本基金亦可采用其他非现场方式或者以现场方式与非现场方式相结合的方式召开基金</w:t>
      </w:r>
      <w:r>
        <w:rPr>
          <w:rFonts w:ascii="宋体" w:hAnsi="宋体" w:hint="eastAsia"/>
          <w:sz w:val="24"/>
        </w:rPr>
        <w:lastRenderedPageBreak/>
        <w:t>份额持有人大会，会议程序比照现场开会和通讯方式开会的程序进行。基金份额持有人可以采用书面、网络、电话、短信或其他方式进行表决，具体方式由会议召集人确定并在会议通知中列明。</w:t>
      </w:r>
    </w:p>
    <w:p w14:paraId="388D9FFE" w14:textId="77777777" w:rsidR="00E82AF4" w:rsidRDefault="005B2E6A">
      <w:pPr>
        <w:spacing w:line="360" w:lineRule="auto"/>
        <w:ind w:firstLineChars="200" w:firstLine="480"/>
        <w:rPr>
          <w:rFonts w:ascii="宋体" w:hAnsi="宋体"/>
          <w:sz w:val="24"/>
        </w:rPr>
      </w:pPr>
      <w:r>
        <w:rPr>
          <w:rFonts w:ascii="宋体" w:hAnsi="宋体" w:hint="eastAsia"/>
          <w:sz w:val="24"/>
        </w:rPr>
        <w:t>4、基金份额持有人授权他人代为出席会议并表决的，在不违反法律法规或监管机构规定的情况下，授权方式可以采用书面、网络、电话、短信或其他方式，召集人接受的具体授权方式在会议通知中列明。</w:t>
      </w:r>
    </w:p>
    <w:p w14:paraId="3B279F9D" w14:textId="77777777" w:rsidR="00E82AF4" w:rsidRDefault="005B2E6A">
      <w:pPr>
        <w:spacing w:line="360" w:lineRule="auto"/>
        <w:ind w:firstLineChars="200" w:firstLine="480"/>
        <w:rPr>
          <w:rFonts w:ascii="宋体" w:hAnsi="宋体"/>
          <w:sz w:val="24"/>
        </w:rPr>
      </w:pPr>
      <w:r>
        <w:rPr>
          <w:rFonts w:ascii="宋体" w:hAnsi="宋体" w:hint="eastAsia"/>
          <w:sz w:val="24"/>
        </w:rPr>
        <w:t>（五）议事内容与程序</w:t>
      </w:r>
    </w:p>
    <w:p w14:paraId="7AC1F79C" w14:textId="77777777" w:rsidR="00E82AF4" w:rsidRDefault="005B2E6A">
      <w:pPr>
        <w:spacing w:line="360" w:lineRule="auto"/>
        <w:ind w:firstLineChars="200" w:firstLine="480"/>
        <w:rPr>
          <w:rFonts w:ascii="宋体" w:hAnsi="宋体"/>
          <w:sz w:val="24"/>
        </w:rPr>
      </w:pPr>
      <w:r>
        <w:rPr>
          <w:rFonts w:ascii="宋体" w:hAnsi="宋体" w:hint="eastAsia"/>
          <w:sz w:val="24"/>
        </w:rPr>
        <w:t>1、议事内容及提案权</w:t>
      </w:r>
    </w:p>
    <w:p w14:paraId="1DA45236" w14:textId="77777777" w:rsidR="00E82AF4" w:rsidRDefault="005B2E6A">
      <w:pPr>
        <w:spacing w:line="360" w:lineRule="auto"/>
        <w:ind w:firstLineChars="200" w:firstLine="480"/>
        <w:rPr>
          <w:rFonts w:ascii="宋体" w:hAnsi="宋体"/>
          <w:sz w:val="24"/>
        </w:rPr>
      </w:pPr>
      <w:r>
        <w:rPr>
          <w:rFonts w:ascii="宋体" w:hAnsi="宋体" w:hint="eastAsia"/>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但本基金合同另有约定的除外）。</w:t>
      </w:r>
    </w:p>
    <w:p w14:paraId="7054DD77" w14:textId="77777777" w:rsidR="00E82AF4" w:rsidRDefault="005B2E6A">
      <w:pPr>
        <w:spacing w:line="360" w:lineRule="auto"/>
        <w:ind w:firstLineChars="200" w:firstLine="480"/>
        <w:rPr>
          <w:rFonts w:ascii="宋体" w:hAnsi="宋体"/>
          <w:sz w:val="24"/>
        </w:rPr>
      </w:pPr>
      <w:r>
        <w:rPr>
          <w:rFonts w:ascii="宋体" w:hAnsi="宋体" w:hint="eastAsia"/>
          <w:sz w:val="24"/>
        </w:rPr>
        <w:t>基金管理人、基金托管人、单独或合并持有权益登记日基金总份额10%（含10%）以上的基金份额持有人可以在基金份额持有人大会召集人发出会议通知前向大会召集人提交需由基金份额持有人大会审议表决的提案；也可以在会议通知发出后向大会召集人提交临时提案。</w:t>
      </w:r>
    </w:p>
    <w:p w14:paraId="326C429D"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基金份额持有人大会的召集人发出召集会议的通知后，对原有提案的修改应当在基金份额持有人大会召开前及时公告。</w:t>
      </w:r>
    </w:p>
    <w:p w14:paraId="52CC749F"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基金份额持有人大会不得对未事先公告的议事内容进行表决。</w:t>
      </w:r>
    </w:p>
    <w:p w14:paraId="7F85FE58" w14:textId="77777777" w:rsidR="00E82AF4" w:rsidRDefault="005B2E6A">
      <w:pPr>
        <w:spacing w:line="360" w:lineRule="auto"/>
        <w:ind w:firstLineChars="200" w:firstLine="480"/>
        <w:rPr>
          <w:rFonts w:ascii="宋体" w:hAnsi="宋体"/>
          <w:sz w:val="24"/>
        </w:rPr>
      </w:pPr>
      <w:r>
        <w:rPr>
          <w:rFonts w:ascii="宋体" w:hAnsi="宋体" w:hint="eastAsia"/>
          <w:sz w:val="24"/>
        </w:rPr>
        <w:t>召集人对于基金管理人、基金托管人和基金份额持有人提交的临时提案进行审核，符合条件的应当在大会召开日30天前公告。大会召集人应当按照以下原则对提案进行审核：</w:t>
      </w:r>
    </w:p>
    <w:p w14:paraId="0A86D9E5" w14:textId="77777777" w:rsidR="00E82AF4" w:rsidRDefault="005B2E6A">
      <w:pPr>
        <w:spacing w:line="360" w:lineRule="auto"/>
        <w:ind w:firstLineChars="200" w:firstLine="480"/>
        <w:rPr>
          <w:rFonts w:ascii="宋体" w:hAnsi="宋体"/>
          <w:sz w:val="24"/>
        </w:rPr>
      </w:pPr>
      <w:r>
        <w:rPr>
          <w:rFonts w:ascii="宋体" w:hAnsi="宋体" w:hint="eastAsia"/>
          <w:sz w:val="24"/>
        </w:rPr>
        <w:t>（1）关联性。大会召集人对于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14:paraId="43379ED9" w14:textId="77777777" w:rsidR="00E82AF4" w:rsidRDefault="005B2E6A">
      <w:pPr>
        <w:spacing w:line="360" w:lineRule="auto"/>
        <w:ind w:firstLineChars="200" w:firstLine="480"/>
        <w:rPr>
          <w:rFonts w:ascii="宋体" w:hAnsi="宋体"/>
          <w:sz w:val="24"/>
        </w:rPr>
      </w:pPr>
      <w:r>
        <w:rPr>
          <w:rFonts w:ascii="宋体" w:hAnsi="宋体" w:hint="eastAsia"/>
          <w:sz w:val="24"/>
        </w:rPr>
        <w:t>（2）程序性。大会召集人可以对提案涉及的程序性问题做出决定。如将提案进行分拆或合并表决，需征得原提案人同意；原提案人不同意变更的，大会主</w:t>
      </w:r>
      <w:r>
        <w:rPr>
          <w:rFonts w:ascii="宋体" w:hAnsi="宋体" w:hint="eastAsia"/>
          <w:sz w:val="24"/>
        </w:rPr>
        <w:lastRenderedPageBreak/>
        <w:t>持人可以就程序性问题提请基金份额持有人大会做出决定，并按照基金份额持有人大会决定的程序进行审议。</w:t>
      </w:r>
    </w:p>
    <w:p w14:paraId="7B0511B0" w14:textId="77777777" w:rsidR="00E82AF4" w:rsidRDefault="005B2E6A">
      <w:pPr>
        <w:spacing w:line="360" w:lineRule="auto"/>
        <w:ind w:firstLineChars="200" w:firstLine="480"/>
        <w:rPr>
          <w:rFonts w:ascii="宋体" w:hAnsi="宋体"/>
          <w:sz w:val="24"/>
        </w:rPr>
      </w:pPr>
      <w:r>
        <w:rPr>
          <w:rFonts w:ascii="宋体" w:hAnsi="宋体" w:hint="eastAsia"/>
          <w:sz w:val="24"/>
        </w:rPr>
        <w:t>2、议事程序</w:t>
      </w:r>
    </w:p>
    <w:p w14:paraId="784733AB" w14:textId="77777777" w:rsidR="00E82AF4" w:rsidRDefault="005B2E6A">
      <w:pPr>
        <w:spacing w:line="360" w:lineRule="auto"/>
        <w:ind w:firstLineChars="200" w:firstLine="480"/>
        <w:rPr>
          <w:rFonts w:ascii="宋体" w:hAnsi="宋体"/>
          <w:sz w:val="24"/>
        </w:rPr>
      </w:pPr>
      <w:r>
        <w:rPr>
          <w:rFonts w:ascii="宋体" w:hAnsi="宋体" w:hint="eastAsia"/>
          <w:sz w:val="24"/>
        </w:rPr>
        <w:t>（1）现场开会</w:t>
      </w:r>
    </w:p>
    <w:p w14:paraId="4C85D478" w14:textId="77777777" w:rsidR="00E82AF4" w:rsidRDefault="005B2E6A">
      <w:pPr>
        <w:spacing w:line="360" w:lineRule="auto"/>
        <w:ind w:firstLineChars="200" w:firstLine="480"/>
        <w:rPr>
          <w:rFonts w:ascii="宋体" w:hAnsi="宋体"/>
          <w:sz w:val="24"/>
        </w:rPr>
      </w:pPr>
      <w:r>
        <w:rPr>
          <w:rFonts w:ascii="宋体" w:hAnsi="宋体" w:hint="eastAsia"/>
          <w:sz w:val="24"/>
        </w:rPr>
        <w:t>在现场开会的方式下，首先由大会主持人按照规定程序宣布会议议事程序及注意事项，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14:paraId="58FE4BD3" w14:textId="77777777" w:rsidR="00E82AF4" w:rsidRDefault="005B2E6A">
      <w:pPr>
        <w:spacing w:line="360" w:lineRule="auto"/>
        <w:ind w:firstLineChars="200" w:firstLine="480"/>
        <w:rPr>
          <w:rFonts w:ascii="宋体" w:hAnsi="宋体"/>
          <w:sz w:val="24"/>
        </w:rPr>
      </w:pPr>
      <w:r>
        <w:rPr>
          <w:rFonts w:ascii="宋体" w:hAnsi="宋体" w:hint="eastAsia"/>
          <w:sz w:val="24"/>
        </w:rPr>
        <w:t>会议召集人应当制作出席会议人员的签名册。签名册载明参加会议人员姓名（或单位名称）、身份证明文件号码、持有或代表有表决权的基金份额、委托人姓名（或单位名称）和联系方式等事项。</w:t>
      </w:r>
    </w:p>
    <w:p w14:paraId="70D1940B" w14:textId="77777777" w:rsidR="00E82AF4" w:rsidRDefault="005B2E6A">
      <w:pPr>
        <w:spacing w:line="360" w:lineRule="auto"/>
        <w:ind w:firstLineChars="200" w:firstLine="480"/>
        <w:rPr>
          <w:rFonts w:ascii="宋体" w:hAnsi="宋体"/>
          <w:sz w:val="24"/>
        </w:rPr>
      </w:pPr>
      <w:r>
        <w:rPr>
          <w:rFonts w:ascii="宋体" w:hAnsi="宋体" w:hint="eastAsia"/>
          <w:sz w:val="24"/>
        </w:rPr>
        <w:t>（2）通讯开会</w:t>
      </w:r>
    </w:p>
    <w:p w14:paraId="4B6FEBEB" w14:textId="77777777" w:rsidR="00E82AF4" w:rsidRDefault="005B2E6A">
      <w:pPr>
        <w:spacing w:line="360" w:lineRule="auto"/>
        <w:ind w:firstLineChars="200" w:firstLine="480"/>
        <w:rPr>
          <w:rFonts w:ascii="宋体" w:hAnsi="宋体"/>
          <w:sz w:val="24"/>
        </w:rPr>
      </w:pPr>
      <w:r>
        <w:rPr>
          <w:rFonts w:ascii="宋体" w:hAnsi="宋体" w:hint="eastAsia"/>
          <w:sz w:val="24"/>
        </w:rPr>
        <w:t>在通讯开会的情况下，首先由召集人提前30日公布提案，在所通知的表决截止日期后2个工作日内在公证机关监督下由召集人统计全部有效表决，在公证机关监督下形成决议。</w:t>
      </w:r>
    </w:p>
    <w:p w14:paraId="2E31D96A" w14:textId="77777777" w:rsidR="00E82AF4" w:rsidRDefault="005B2E6A">
      <w:pPr>
        <w:spacing w:line="360" w:lineRule="auto"/>
        <w:ind w:firstLineChars="200" w:firstLine="480"/>
        <w:rPr>
          <w:rFonts w:ascii="宋体" w:hAnsi="宋体"/>
          <w:sz w:val="24"/>
        </w:rPr>
      </w:pPr>
      <w:r>
        <w:rPr>
          <w:rFonts w:ascii="宋体" w:hAnsi="宋体" w:hint="eastAsia"/>
          <w:sz w:val="24"/>
        </w:rPr>
        <w:t>（六）表决</w:t>
      </w:r>
    </w:p>
    <w:p w14:paraId="0CBE48D5"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基金份额持有人所持每份基金份额有一票表决权。</w:t>
      </w:r>
    </w:p>
    <w:p w14:paraId="343E277B"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基金份额持有人大会决议分为一般决议和特别决议：</w:t>
      </w:r>
    </w:p>
    <w:p w14:paraId="01431FF6" w14:textId="77777777" w:rsidR="00E82AF4" w:rsidRDefault="005B2E6A">
      <w:pPr>
        <w:spacing w:line="360" w:lineRule="auto"/>
        <w:ind w:firstLineChars="200" w:firstLine="480"/>
        <w:rPr>
          <w:rFonts w:ascii="宋体" w:hAnsi="宋体"/>
          <w:sz w:val="24"/>
        </w:rPr>
      </w:pPr>
      <w:r>
        <w:rPr>
          <w:rFonts w:ascii="宋体" w:hAnsi="宋体" w:hint="eastAsia"/>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570D854D" w14:textId="77777777" w:rsidR="00E82AF4" w:rsidRDefault="005B2E6A">
      <w:pPr>
        <w:spacing w:line="360" w:lineRule="auto"/>
        <w:ind w:firstLineChars="200" w:firstLine="480"/>
        <w:rPr>
          <w:rFonts w:ascii="宋体" w:hAnsi="宋体"/>
          <w:sz w:val="24"/>
        </w:rPr>
      </w:pPr>
      <w:r>
        <w:rPr>
          <w:rFonts w:ascii="宋体" w:hAnsi="宋体" w:hint="eastAsia"/>
          <w:sz w:val="24"/>
        </w:rPr>
        <w:t>2、特别决议，特别决议应当经参加大会的基金份额持有人或其代理人所持表决权的三分之二以上（含三分之二）通过方可做出。除法律法规、监管机构另有规定或本基金合同另有约定外，转换基金运作方式、更换基金管理人或者基金托管人、终止基金合同、本基金与其他基金合并以特别决议通过方为有效。</w:t>
      </w:r>
    </w:p>
    <w:p w14:paraId="642885A9"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基金份额持有人大会采取记名方式进行投票表决。</w:t>
      </w:r>
    </w:p>
    <w:p w14:paraId="0A07F710" w14:textId="77777777" w:rsidR="00E82AF4" w:rsidRDefault="005B2E6A">
      <w:pPr>
        <w:spacing w:line="360" w:lineRule="auto"/>
        <w:ind w:firstLineChars="200" w:firstLine="480"/>
        <w:rPr>
          <w:rFonts w:ascii="宋体" w:hAnsi="宋体"/>
          <w:sz w:val="24"/>
        </w:rPr>
      </w:pPr>
      <w:r>
        <w:rPr>
          <w:rFonts w:ascii="宋体" w:hAnsi="宋体" w:hint="eastAsia"/>
          <w:sz w:val="24"/>
        </w:rPr>
        <w:t>采取通讯方式进行表决时，除非在计票时监督员及公证机关均认为有充分的相反证据证明，否则提交符合会议通知中规定的确认投资人身份文件的表决视为有效出席的投资人，表面符合会议通知规定的表决意见视为有效表决，表决意见模糊不清或相互矛盾的视为弃权表决，但应当计入出具表决意见的基金份额持有人所代表的基金份额总数。</w:t>
      </w:r>
    </w:p>
    <w:p w14:paraId="07F96EDE"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基金份额持有人大会的各项提案或同一项提案内并列的各项议题应当分开审议、逐项表决。</w:t>
      </w:r>
    </w:p>
    <w:p w14:paraId="0386734B" w14:textId="77777777" w:rsidR="00E82AF4" w:rsidRDefault="005B2E6A">
      <w:pPr>
        <w:spacing w:line="360" w:lineRule="auto"/>
        <w:ind w:firstLineChars="200" w:firstLine="480"/>
        <w:rPr>
          <w:rFonts w:ascii="宋体" w:hAnsi="宋体"/>
          <w:sz w:val="24"/>
        </w:rPr>
      </w:pPr>
      <w:r>
        <w:rPr>
          <w:rFonts w:ascii="宋体" w:hAnsi="宋体" w:hint="eastAsia"/>
          <w:sz w:val="24"/>
        </w:rPr>
        <w:t>在上述规则的前提下，具体规则以召集人发布的基金份额持有人大会通知为准。</w:t>
      </w:r>
    </w:p>
    <w:p w14:paraId="5E954F40" w14:textId="77777777" w:rsidR="00E82AF4" w:rsidRDefault="005B2E6A">
      <w:pPr>
        <w:spacing w:line="360" w:lineRule="auto"/>
        <w:ind w:firstLineChars="200" w:firstLine="480"/>
        <w:rPr>
          <w:rFonts w:ascii="宋体" w:hAnsi="宋体"/>
          <w:sz w:val="24"/>
        </w:rPr>
      </w:pPr>
      <w:r>
        <w:rPr>
          <w:rFonts w:ascii="宋体" w:hAnsi="宋体" w:hint="eastAsia"/>
          <w:sz w:val="24"/>
        </w:rPr>
        <w:t>（七）计票</w:t>
      </w:r>
    </w:p>
    <w:p w14:paraId="354A0F11" w14:textId="77777777" w:rsidR="00E82AF4" w:rsidRDefault="005B2E6A">
      <w:pPr>
        <w:spacing w:line="360" w:lineRule="auto"/>
        <w:ind w:firstLineChars="200" w:firstLine="480"/>
        <w:rPr>
          <w:rFonts w:ascii="宋体" w:hAnsi="宋体"/>
          <w:sz w:val="24"/>
        </w:rPr>
      </w:pPr>
      <w:r>
        <w:rPr>
          <w:rFonts w:ascii="宋体" w:hAnsi="宋体" w:hint="eastAsia"/>
          <w:sz w:val="24"/>
        </w:rPr>
        <w:t>1、现场开会</w:t>
      </w:r>
    </w:p>
    <w:p w14:paraId="6570D4AC" w14:textId="77777777" w:rsidR="00E82AF4" w:rsidRDefault="005B2E6A">
      <w:pPr>
        <w:spacing w:line="360" w:lineRule="auto"/>
        <w:ind w:firstLineChars="200" w:firstLine="480"/>
        <w:rPr>
          <w:rFonts w:ascii="宋体" w:hAnsi="宋体"/>
          <w:sz w:val="24"/>
        </w:rPr>
      </w:pPr>
      <w:r>
        <w:rPr>
          <w:rFonts w:ascii="宋体" w:hAnsi="宋体" w:hint="eastAsia"/>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35CD7CDE" w14:textId="77777777" w:rsidR="00E82AF4" w:rsidRDefault="005B2E6A">
      <w:pPr>
        <w:spacing w:line="360" w:lineRule="auto"/>
        <w:ind w:firstLineChars="200" w:firstLine="480"/>
        <w:rPr>
          <w:rFonts w:ascii="宋体" w:hAnsi="宋体"/>
          <w:sz w:val="24"/>
        </w:rPr>
      </w:pPr>
      <w:r>
        <w:rPr>
          <w:rFonts w:ascii="宋体" w:hAnsi="宋体" w:hint="eastAsia"/>
          <w:sz w:val="24"/>
        </w:rPr>
        <w:t>（2）监票人应当在基金份额持有人表决后立即进行清点并由大会主持人当场公布计票结果。</w:t>
      </w:r>
    </w:p>
    <w:p w14:paraId="0C58F9FA" w14:textId="77777777" w:rsidR="00E82AF4" w:rsidRDefault="005B2E6A">
      <w:pPr>
        <w:spacing w:line="360" w:lineRule="auto"/>
        <w:ind w:firstLineChars="200" w:firstLine="480"/>
        <w:rPr>
          <w:rFonts w:ascii="宋体" w:hAnsi="宋体"/>
          <w:sz w:val="24"/>
        </w:rPr>
      </w:pPr>
      <w:r>
        <w:rPr>
          <w:rFonts w:ascii="宋体" w:hAnsi="宋体" w:hint="eastAsia"/>
          <w:sz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5C9D3AD2" w14:textId="77777777" w:rsidR="00E82AF4" w:rsidRDefault="005B2E6A">
      <w:pPr>
        <w:spacing w:line="360" w:lineRule="auto"/>
        <w:ind w:firstLineChars="200" w:firstLine="480"/>
        <w:rPr>
          <w:rFonts w:ascii="宋体" w:hAnsi="宋体"/>
          <w:sz w:val="24"/>
        </w:rPr>
      </w:pPr>
      <w:r>
        <w:rPr>
          <w:rFonts w:ascii="宋体" w:hAnsi="宋体" w:hint="eastAsia"/>
          <w:sz w:val="24"/>
        </w:rPr>
        <w:t>（4）计票过程应由公证机关予以公证，基金管理人或基金托管人拒不出席大会的，不影响计票的效力。</w:t>
      </w:r>
    </w:p>
    <w:p w14:paraId="15F1E366" w14:textId="77777777" w:rsidR="00E82AF4" w:rsidRDefault="005B2E6A">
      <w:pPr>
        <w:spacing w:line="360" w:lineRule="auto"/>
        <w:ind w:firstLineChars="200" w:firstLine="480"/>
        <w:rPr>
          <w:rFonts w:ascii="宋体" w:hAnsi="宋体"/>
          <w:sz w:val="24"/>
        </w:rPr>
      </w:pPr>
      <w:r>
        <w:rPr>
          <w:rFonts w:ascii="宋体" w:hAnsi="宋体" w:hint="eastAsia"/>
          <w:sz w:val="24"/>
        </w:rPr>
        <w:t>2、通讯开会</w:t>
      </w:r>
    </w:p>
    <w:p w14:paraId="279B03E4" w14:textId="77777777" w:rsidR="00E82AF4" w:rsidRDefault="005B2E6A">
      <w:pPr>
        <w:spacing w:line="360" w:lineRule="auto"/>
        <w:ind w:firstLineChars="200" w:firstLine="480"/>
        <w:rPr>
          <w:rFonts w:ascii="宋体" w:hAnsi="宋体"/>
          <w:sz w:val="24"/>
        </w:rPr>
      </w:pPr>
      <w:r>
        <w:rPr>
          <w:rFonts w:ascii="宋体" w:hAnsi="宋体" w:hint="eastAsia"/>
          <w:sz w:val="24"/>
        </w:rPr>
        <w:t>在通讯开会的情况下，计票方式为：由大会召集人授权的两名监督员在基金</w:t>
      </w:r>
      <w:r>
        <w:rPr>
          <w:rFonts w:ascii="宋体" w:hAnsi="宋体" w:hint="eastAsia"/>
          <w:sz w:val="24"/>
        </w:rPr>
        <w:lastRenderedPageBreak/>
        <w:t>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FAD3C27" w14:textId="77777777" w:rsidR="00E82AF4" w:rsidRDefault="005B2E6A">
      <w:pPr>
        <w:spacing w:line="360" w:lineRule="auto"/>
        <w:ind w:firstLineChars="200" w:firstLine="480"/>
        <w:rPr>
          <w:rFonts w:ascii="宋体" w:hAnsi="宋体"/>
          <w:sz w:val="24"/>
        </w:rPr>
      </w:pPr>
      <w:r>
        <w:rPr>
          <w:rFonts w:ascii="宋体" w:hAnsi="宋体" w:hint="eastAsia"/>
          <w:sz w:val="24"/>
        </w:rPr>
        <w:t>（八）生效与公告</w:t>
      </w:r>
    </w:p>
    <w:p w14:paraId="18D8BBDC"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基金份额持有人大会的决议，召集人应当自通过之日起5日内报中国证监会备案。</w:t>
      </w:r>
    </w:p>
    <w:p w14:paraId="584E24DC"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基金份额持有人大会的决议自表决通过之日起生效。</w:t>
      </w:r>
    </w:p>
    <w:p w14:paraId="5DF94AA0" w14:textId="77777777" w:rsidR="00E82AF4" w:rsidRDefault="005B2E6A">
      <w:pPr>
        <w:spacing w:line="360" w:lineRule="auto"/>
        <w:ind w:firstLineChars="200" w:firstLine="480"/>
        <w:rPr>
          <w:rFonts w:ascii="宋体" w:hAnsi="宋体"/>
          <w:sz w:val="24"/>
        </w:rPr>
      </w:pPr>
      <w:r>
        <w:rPr>
          <w:rFonts w:ascii="宋体" w:hAnsi="宋体" w:hint="eastAsia"/>
          <w:sz w:val="24"/>
        </w:rPr>
        <w:t>基金份额持有人大会决议自生效之日起依照《信息披露办法》的有关规定在规定媒介上公告。</w:t>
      </w:r>
    </w:p>
    <w:p w14:paraId="7FDDB192" w14:textId="77777777" w:rsidR="00E82AF4" w:rsidRDefault="005B2E6A">
      <w:pPr>
        <w:spacing w:line="360" w:lineRule="auto"/>
        <w:ind w:firstLineChars="200" w:firstLine="480"/>
        <w:rPr>
          <w:rFonts w:ascii="宋体" w:hAnsi="宋体"/>
          <w:sz w:val="24"/>
        </w:rPr>
      </w:pPr>
      <w:r>
        <w:rPr>
          <w:rFonts w:ascii="宋体" w:hAnsi="宋体"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48963B4D" w14:textId="77777777" w:rsidR="00E82AF4" w:rsidRDefault="005B2E6A">
      <w:pPr>
        <w:spacing w:line="360" w:lineRule="auto"/>
        <w:ind w:firstLineChars="200" w:firstLine="480"/>
        <w:rPr>
          <w:rFonts w:ascii="宋体" w:hAnsi="宋体"/>
          <w:sz w:val="24"/>
        </w:rPr>
      </w:pPr>
      <w:r>
        <w:rPr>
          <w:rFonts w:ascii="宋体" w:hAnsi="宋体" w:hint="eastAsia"/>
          <w:sz w:val="24"/>
        </w:rPr>
        <w:t>（九）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p>
    <w:p w14:paraId="42F362CD" w14:textId="77777777" w:rsidR="00E82AF4" w:rsidRDefault="005B2E6A">
      <w:pPr>
        <w:spacing w:line="360" w:lineRule="auto"/>
        <w:ind w:firstLineChars="200" w:firstLine="480"/>
        <w:rPr>
          <w:rFonts w:ascii="宋体" w:hAnsi="宋体"/>
          <w:sz w:val="24"/>
        </w:rPr>
      </w:pPr>
      <w:r>
        <w:rPr>
          <w:rFonts w:ascii="宋体" w:hAnsi="宋体" w:hint="eastAsia"/>
          <w:sz w:val="24"/>
        </w:rPr>
        <w:t>三、基金收益分配原则、执行方式</w:t>
      </w:r>
    </w:p>
    <w:p w14:paraId="6DFBB9DE" w14:textId="77777777" w:rsidR="00E82AF4" w:rsidRDefault="005B2E6A">
      <w:pPr>
        <w:spacing w:line="360" w:lineRule="auto"/>
        <w:ind w:firstLineChars="200" w:firstLine="480"/>
        <w:rPr>
          <w:rFonts w:ascii="宋体" w:hAnsi="宋体"/>
          <w:sz w:val="24"/>
        </w:rPr>
      </w:pPr>
      <w:r>
        <w:rPr>
          <w:rFonts w:ascii="宋体" w:hAnsi="宋体" w:hint="eastAsia"/>
          <w:sz w:val="24"/>
        </w:rPr>
        <w:t>（一）基金利润的构成</w:t>
      </w:r>
    </w:p>
    <w:p w14:paraId="513C8E35" w14:textId="77777777" w:rsidR="00E82AF4" w:rsidRDefault="005B2E6A">
      <w:pPr>
        <w:spacing w:line="360" w:lineRule="auto"/>
        <w:ind w:firstLineChars="200" w:firstLine="480"/>
        <w:rPr>
          <w:rFonts w:ascii="宋体" w:hAnsi="宋体"/>
          <w:sz w:val="24"/>
        </w:rPr>
      </w:pPr>
      <w:r>
        <w:rPr>
          <w:rFonts w:ascii="宋体" w:hAnsi="宋体" w:hint="eastAsia"/>
          <w:sz w:val="24"/>
        </w:rPr>
        <w:t>基金利润指基金利息收入、投资收益、公允价值变动收益和其他收入扣除相关费用后的余额，基金已实现收益指基金利润减去公允价值变动收益后的余额。</w:t>
      </w:r>
    </w:p>
    <w:p w14:paraId="20DD6068" w14:textId="77777777" w:rsidR="00E82AF4" w:rsidRDefault="005B2E6A">
      <w:pPr>
        <w:spacing w:line="360" w:lineRule="auto"/>
        <w:ind w:firstLineChars="200" w:firstLine="480"/>
        <w:rPr>
          <w:rFonts w:ascii="宋体" w:hAnsi="宋体"/>
          <w:sz w:val="24"/>
        </w:rPr>
      </w:pPr>
      <w:r>
        <w:rPr>
          <w:rFonts w:ascii="宋体" w:hAnsi="宋体" w:hint="eastAsia"/>
          <w:sz w:val="24"/>
        </w:rPr>
        <w:t>（二）基金可供分配利润</w:t>
      </w:r>
    </w:p>
    <w:p w14:paraId="16549C56" w14:textId="77777777" w:rsidR="00E82AF4" w:rsidRDefault="005B2E6A">
      <w:pPr>
        <w:spacing w:line="360" w:lineRule="auto"/>
        <w:ind w:firstLineChars="200" w:firstLine="480"/>
        <w:rPr>
          <w:rFonts w:ascii="宋体" w:hAnsi="宋体"/>
          <w:sz w:val="24"/>
        </w:rPr>
      </w:pPr>
      <w:r>
        <w:rPr>
          <w:rFonts w:ascii="宋体" w:hAnsi="宋体" w:hint="eastAsia"/>
          <w:sz w:val="24"/>
        </w:rPr>
        <w:t>基金可供分配利润指截至收益分配基准日基金未分配利润与未分配利润中已实现收益的孰低数。</w:t>
      </w:r>
    </w:p>
    <w:p w14:paraId="57D43C34" w14:textId="77777777" w:rsidR="00E82AF4" w:rsidRDefault="005B2E6A">
      <w:pPr>
        <w:spacing w:line="360" w:lineRule="auto"/>
        <w:ind w:firstLineChars="200" w:firstLine="480"/>
        <w:rPr>
          <w:rFonts w:ascii="宋体" w:hAnsi="宋体"/>
          <w:sz w:val="24"/>
        </w:rPr>
      </w:pPr>
      <w:r>
        <w:rPr>
          <w:rFonts w:ascii="宋体" w:hAnsi="宋体" w:hint="eastAsia"/>
          <w:sz w:val="24"/>
        </w:rPr>
        <w:t>（三）基金收益分配原则</w:t>
      </w:r>
    </w:p>
    <w:p w14:paraId="5FA99FF1" w14:textId="77777777" w:rsidR="00E82AF4" w:rsidRDefault="005B2E6A">
      <w:pPr>
        <w:spacing w:line="360" w:lineRule="auto"/>
        <w:ind w:firstLineChars="200" w:firstLine="480"/>
        <w:rPr>
          <w:rFonts w:ascii="宋体" w:hAnsi="宋体"/>
          <w:sz w:val="24"/>
        </w:rPr>
      </w:pPr>
      <w:r>
        <w:rPr>
          <w:rFonts w:ascii="宋体" w:hAnsi="宋体" w:hint="eastAsia"/>
          <w:sz w:val="24"/>
        </w:rPr>
        <w:t>1、在符合有关基金分红条件的前提下，本基金管理人可以根据实际情况进行收益分配，具体分配方案以公告为准。若《基金合同》生效不满 3 个月可不进行收益分配；</w:t>
      </w:r>
    </w:p>
    <w:p w14:paraId="61F5F3AD" w14:textId="77777777" w:rsidR="00E82AF4" w:rsidRDefault="005B2E6A">
      <w:pPr>
        <w:spacing w:line="360" w:lineRule="auto"/>
        <w:ind w:firstLineChars="200" w:firstLine="480"/>
        <w:rPr>
          <w:rFonts w:ascii="宋体" w:hAnsi="宋体"/>
          <w:sz w:val="24"/>
        </w:rPr>
      </w:pPr>
      <w:r>
        <w:rPr>
          <w:rFonts w:ascii="宋体" w:hAnsi="宋体" w:hint="eastAsia"/>
          <w:sz w:val="24"/>
        </w:rPr>
        <w:t>2、本基金收益分配采取现金分红方式；</w:t>
      </w:r>
    </w:p>
    <w:p w14:paraId="2C7CF88C" w14:textId="77777777" w:rsidR="00E82AF4" w:rsidRDefault="005B2E6A">
      <w:pPr>
        <w:spacing w:line="360" w:lineRule="auto"/>
        <w:ind w:firstLineChars="200" w:firstLine="480"/>
        <w:rPr>
          <w:rFonts w:ascii="宋体" w:hAnsi="宋体"/>
          <w:sz w:val="24"/>
        </w:rPr>
      </w:pPr>
      <w:r>
        <w:rPr>
          <w:rFonts w:ascii="宋体" w:hAnsi="宋体" w:hint="eastAsia"/>
          <w:sz w:val="24"/>
        </w:rPr>
        <w:t>3、本基金在基金收益评价日核定的基金份额净值增长率超过标的指数同期</w:t>
      </w:r>
      <w:r>
        <w:rPr>
          <w:rFonts w:ascii="宋体" w:hAnsi="宋体" w:hint="eastAsia"/>
          <w:sz w:val="24"/>
        </w:rPr>
        <w:lastRenderedPageBreak/>
        <w:t>增长率时，可进行收益分配。在收益评价日，基金管理人对基金份额净值增长率和标的指数同期增长率进行计算，计算方法详见《招募说明书》；</w:t>
      </w:r>
    </w:p>
    <w:p w14:paraId="38E5A562" w14:textId="77777777" w:rsidR="00E82AF4" w:rsidRDefault="005B2E6A">
      <w:pPr>
        <w:spacing w:line="360" w:lineRule="auto"/>
        <w:ind w:firstLineChars="200" w:firstLine="480"/>
        <w:rPr>
          <w:rFonts w:ascii="宋体" w:hAnsi="宋体"/>
          <w:sz w:val="24"/>
        </w:rPr>
      </w:pPr>
      <w:r>
        <w:rPr>
          <w:rFonts w:ascii="宋体" w:hAnsi="宋体" w:hint="eastAsia"/>
          <w:sz w:val="24"/>
        </w:rPr>
        <w:t>4、本基金可每个月对基金相对业绩比较基准的超额收益率以及基金的可供分配利润进行评价，在符合基金收益分配条件下，可安排收益分配。评估时间、分配时间、分配方案及每次基金收益分配数额等内容，基金管理人可以根据实际情况确定并按照有关规定公告；</w:t>
      </w:r>
    </w:p>
    <w:p w14:paraId="4FFC8502" w14:textId="77777777" w:rsidR="00E82AF4" w:rsidRDefault="005B2E6A">
      <w:pPr>
        <w:spacing w:line="360" w:lineRule="auto"/>
        <w:ind w:firstLineChars="200" w:firstLine="480"/>
        <w:rPr>
          <w:rFonts w:ascii="宋体" w:hAnsi="宋体"/>
          <w:sz w:val="24"/>
        </w:rPr>
      </w:pPr>
      <w:r>
        <w:rPr>
          <w:rFonts w:ascii="宋体" w:hAnsi="宋体" w:hint="eastAsia"/>
          <w:sz w:val="24"/>
        </w:rPr>
        <w:t>5、本基金以使收益分配后基金份额净值增长率尽可能贴近标的指数同期增长率为原则进行收益分配。基于本基金的性质和特点，本基金收益分配不须以弥补浮动亏损为前提，收益分配后有可能使除息后的基金份额净值低于面值；</w:t>
      </w:r>
    </w:p>
    <w:p w14:paraId="0B63135F" w14:textId="77777777" w:rsidR="00E82AF4" w:rsidRDefault="005B2E6A">
      <w:pPr>
        <w:spacing w:line="360" w:lineRule="auto"/>
        <w:ind w:firstLineChars="200" w:firstLine="480"/>
        <w:rPr>
          <w:rFonts w:ascii="宋体" w:hAnsi="宋体"/>
          <w:sz w:val="24"/>
        </w:rPr>
      </w:pPr>
      <w:r>
        <w:rPr>
          <w:rFonts w:ascii="宋体" w:hAnsi="宋体" w:hint="eastAsia"/>
          <w:sz w:val="24"/>
        </w:rPr>
        <w:t>6、每一基金份额享有同等分配权；</w:t>
      </w:r>
    </w:p>
    <w:p w14:paraId="6C88A1A8" w14:textId="77777777" w:rsidR="00E82AF4" w:rsidRDefault="005B2E6A">
      <w:pPr>
        <w:spacing w:line="360" w:lineRule="auto"/>
        <w:ind w:firstLineChars="200" w:firstLine="480"/>
        <w:rPr>
          <w:rFonts w:ascii="宋体" w:hAnsi="宋体"/>
          <w:sz w:val="24"/>
        </w:rPr>
      </w:pPr>
      <w:r>
        <w:rPr>
          <w:rFonts w:ascii="宋体" w:hAnsi="宋体" w:hint="eastAsia"/>
          <w:sz w:val="24"/>
        </w:rPr>
        <w:t>7、法律法规或监管机关、登记机构、深圳证券交易所另有规定的，从其规定。</w:t>
      </w:r>
    </w:p>
    <w:p w14:paraId="76985744" w14:textId="77777777" w:rsidR="00E82AF4" w:rsidRDefault="005B2E6A">
      <w:pPr>
        <w:spacing w:line="360" w:lineRule="auto"/>
        <w:ind w:firstLineChars="200" w:firstLine="480"/>
        <w:rPr>
          <w:rFonts w:ascii="宋体" w:hAnsi="宋体"/>
          <w:sz w:val="24"/>
        </w:rPr>
      </w:pPr>
      <w:r>
        <w:rPr>
          <w:rFonts w:ascii="宋体" w:hAnsi="宋体" w:hint="eastAsia"/>
          <w:sz w:val="24"/>
        </w:rPr>
        <w:t>在不违反法律法规且对基金份额持有人利益无实质性不利影响的前提下，基金管理人经与基金托管人协商一致并履行适当程序后，可酌情调整以上基金收益分配原则和支付方式，并于变更实施日前按照《信息披露办法》的规定在规定媒介上公告。</w:t>
      </w:r>
    </w:p>
    <w:p w14:paraId="2453E9B5" w14:textId="77777777" w:rsidR="00E82AF4" w:rsidRDefault="005B2E6A">
      <w:pPr>
        <w:spacing w:line="360" w:lineRule="auto"/>
        <w:ind w:firstLineChars="200" w:firstLine="480"/>
        <w:rPr>
          <w:rFonts w:ascii="宋体" w:hAnsi="宋体"/>
          <w:sz w:val="24"/>
        </w:rPr>
      </w:pPr>
      <w:r>
        <w:rPr>
          <w:rFonts w:ascii="宋体" w:hAnsi="宋体" w:hint="eastAsia"/>
          <w:sz w:val="24"/>
        </w:rPr>
        <w:t>（四）收益分配方案</w:t>
      </w:r>
    </w:p>
    <w:p w14:paraId="2A45CAB5" w14:textId="77777777" w:rsidR="00E82AF4" w:rsidRDefault="005B2E6A">
      <w:pPr>
        <w:spacing w:line="360" w:lineRule="auto"/>
        <w:ind w:firstLineChars="200" w:firstLine="480"/>
        <w:rPr>
          <w:rFonts w:ascii="宋体" w:hAnsi="宋体"/>
          <w:sz w:val="24"/>
        </w:rPr>
      </w:pPr>
      <w:r>
        <w:rPr>
          <w:rFonts w:ascii="宋体" w:hAnsi="宋体" w:hint="eastAsia"/>
          <w:sz w:val="24"/>
        </w:rPr>
        <w:t>基金收益分配方案中应载明截至收益分配基准日的基金收益分配对象、分配时间、分配数额及比例、分配方式等内容。</w:t>
      </w:r>
    </w:p>
    <w:p w14:paraId="7563A4DC" w14:textId="77777777" w:rsidR="00E82AF4" w:rsidRDefault="005B2E6A">
      <w:pPr>
        <w:spacing w:line="360" w:lineRule="auto"/>
        <w:ind w:firstLineChars="200" w:firstLine="480"/>
        <w:rPr>
          <w:rFonts w:ascii="宋体" w:hAnsi="宋体"/>
          <w:sz w:val="24"/>
        </w:rPr>
      </w:pPr>
      <w:r>
        <w:rPr>
          <w:rFonts w:ascii="宋体" w:hAnsi="宋体" w:hint="eastAsia"/>
          <w:sz w:val="24"/>
        </w:rPr>
        <w:t>（五）收益分配方案的确定、公告与实施</w:t>
      </w:r>
    </w:p>
    <w:p w14:paraId="76C641AF" w14:textId="77777777" w:rsidR="00E82AF4" w:rsidRDefault="005B2E6A">
      <w:pPr>
        <w:spacing w:line="360" w:lineRule="auto"/>
        <w:ind w:firstLineChars="200" w:firstLine="480"/>
        <w:rPr>
          <w:rFonts w:ascii="宋体" w:hAnsi="宋体"/>
          <w:sz w:val="24"/>
        </w:rPr>
      </w:pPr>
      <w:r>
        <w:rPr>
          <w:rFonts w:ascii="宋体" w:hAnsi="宋体" w:hint="eastAsia"/>
          <w:sz w:val="24"/>
        </w:rPr>
        <w:t>本基金收益分配方案由基金管理人拟定，并由基金托管人复核，基金管理人依照《信息披露办法》的有关规定在规定媒介公告。</w:t>
      </w:r>
    </w:p>
    <w:p w14:paraId="2FEF5124" w14:textId="77777777" w:rsidR="00E82AF4" w:rsidRDefault="005B2E6A">
      <w:pPr>
        <w:spacing w:line="360" w:lineRule="auto"/>
        <w:ind w:firstLineChars="200" w:firstLine="480"/>
        <w:rPr>
          <w:rFonts w:ascii="宋体" w:hAnsi="宋体"/>
          <w:sz w:val="24"/>
        </w:rPr>
      </w:pPr>
      <w:r>
        <w:rPr>
          <w:rFonts w:ascii="宋体" w:hAnsi="宋体" w:hint="eastAsia"/>
          <w:sz w:val="24"/>
        </w:rPr>
        <w:t>（六）基金收益分配中发生的费用</w:t>
      </w:r>
    </w:p>
    <w:p w14:paraId="443D0BCF" w14:textId="77777777" w:rsidR="00E82AF4" w:rsidRDefault="005B2E6A">
      <w:pPr>
        <w:spacing w:line="360" w:lineRule="auto"/>
        <w:ind w:firstLineChars="200" w:firstLine="480"/>
        <w:rPr>
          <w:rFonts w:ascii="宋体" w:hAnsi="宋体"/>
          <w:sz w:val="24"/>
        </w:rPr>
      </w:pPr>
      <w:r>
        <w:rPr>
          <w:rFonts w:ascii="宋体" w:hAnsi="宋体" w:hint="eastAsia"/>
          <w:sz w:val="24"/>
        </w:rPr>
        <w:t>基金收益分配时所发生的银行转账或其他手续费用由投资人自行承担。</w:t>
      </w:r>
    </w:p>
    <w:p w14:paraId="0E32B38E" w14:textId="77777777" w:rsidR="00E82AF4" w:rsidRDefault="005B2E6A">
      <w:pPr>
        <w:spacing w:line="360" w:lineRule="auto"/>
        <w:ind w:firstLineChars="200" w:firstLine="480"/>
        <w:rPr>
          <w:rFonts w:ascii="宋体" w:hAnsi="宋体"/>
          <w:sz w:val="24"/>
        </w:rPr>
      </w:pPr>
      <w:r>
        <w:rPr>
          <w:rFonts w:ascii="宋体" w:hAnsi="宋体" w:hint="eastAsia"/>
          <w:sz w:val="24"/>
        </w:rPr>
        <w:t>四、与基金财产管理、运用有关费用的提取、支付方式与比例</w:t>
      </w:r>
    </w:p>
    <w:p w14:paraId="0F584047" w14:textId="77777777" w:rsidR="00E82AF4" w:rsidRDefault="005B2E6A">
      <w:pPr>
        <w:spacing w:line="360" w:lineRule="auto"/>
        <w:ind w:firstLineChars="200" w:firstLine="480"/>
        <w:rPr>
          <w:rFonts w:ascii="宋体" w:hAnsi="宋体"/>
          <w:sz w:val="24"/>
        </w:rPr>
      </w:pPr>
      <w:r>
        <w:rPr>
          <w:rFonts w:ascii="宋体" w:hAnsi="宋体" w:hint="eastAsia"/>
          <w:sz w:val="24"/>
        </w:rPr>
        <w:t>（一）基金费用的种类</w:t>
      </w:r>
    </w:p>
    <w:p w14:paraId="1BB6AA57" w14:textId="77777777" w:rsidR="00E82AF4" w:rsidRDefault="005B2E6A">
      <w:pPr>
        <w:spacing w:line="360" w:lineRule="auto"/>
        <w:ind w:firstLineChars="200" w:firstLine="480"/>
        <w:rPr>
          <w:rFonts w:ascii="宋体" w:hAnsi="宋体"/>
          <w:sz w:val="24"/>
        </w:rPr>
      </w:pPr>
      <w:r>
        <w:rPr>
          <w:rFonts w:ascii="宋体" w:hAnsi="宋体" w:hint="eastAsia"/>
          <w:sz w:val="24"/>
        </w:rPr>
        <w:t>1、基金管理人的管理费；</w:t>
      </w:r>
    </w:p>
    <w:p w14:paraId="542F9467" w14:textId="77777777" w:rsidR="00E82AF4" w:rsidRDefault="005B2E6A">
      <w:pPr>
        <w:spacing w:line="360" w:lineRule="auto"/>
        <w:ind w:firstLineChars="200" w:firstLine="480"/>
        <w:rPr>
          <w:rFonts w:ascii="宋体" w:hAnsi="宋体"/>
          <w:sz w:val="24"/>
        </w:rPr>
      </w:pPr>
      <w:r>
        <w:rPr>
          <w:rFonts w:ascii="宋体" w:hAnsi="宋体" w:hint="eastAsia"/>
          <w:sz w:val="24"/>
        </w:rPr>
        <w:t>2、基金托管人的托管费；</w:t>
      </w:r>
    </w:p>
    <w:p w14:paraId="1C007649" w14:textId="77777777" w:rsidR="00E82AF4" w:rsidRDefault="005B2E6A">
      <w:pPr>
        <w:spacing w:line="360" w:lineRule="auto"/>
        <w:ind w:firstLineChars="200" w:firstLine="480"/>
        <w:rPr>
          <w:rFonts w:ascii="宋体" w:hAnsi="宋体"/>
          <w:sz w:val="24"/>
        </w:rPr>
      </w:pPr>
      <w:r>
        <w:rPr>
          <w:rFonts w:ascii="宋体" w:hAnsi="宋体" w:hint="eastAsia"/>
          <w:sz w:val="24"/>
        </w:rPr>
        <w:t>3、基金合同生效后与基金相关的信息披露费用；</w:t>
      </w:r>
    </w:p>
    <w:p w14:paraId="1F49BF76"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4、基金合同生效后与基金相关的会计师费、审计费、律师费和诉讼费、仲裁费等费用；</w:t>
      </w:r>
    </w:p>
    <w:p w14:paraId="39C6C5F2" w14:textId="77777777" w:rsidR="00E82AF4" w:rsidRDefault="005B2E6A">
      <w:pPr>
        <w:spacing w:line="360" w:lineRule="auto"/>
        <w:ind w:firstLineChars="200" w:firstLine="480"/>
        <w:rPr>
          <w:rFonts w:ascii="宋体" w:hAnsi="宋体"/>
          <w:sz w:val="24"/>
        </w:rPr>
      </w:pPr>
      <w:r>
        <w:rPr>
          <w:rFonts w:ascii="宋体" w:hAnsi="宋体" w:hint="eastAsia"/>
          <w:sz w:val="24"/>
        </w:rPr>
        <w:t>5、基金份额持有人大会费用；</w:t>
      </w:r>
    </w:p>
    <w:p w14:paraId="637E8B32" w14:textId="77777777" w:rsidR="00E82AF4" w:rsidRDefault="005B2E6A">
      <w:pPr>
        <w:spacing w:line="360" w:lineRule="auto"/>
        <w:ind w:firstLineChars="200" w:firstLine="480"/>
        <w:rPr>
          <w:rFonts w:ascii="宋体" w:hAnsi="宋体"/>
          <w:sz w:val="24"/>
        </w:rPr>
      </w:pPr>
      <w:r>
        <w:rPr>
          <w:rFonts w:ascii="宋体" w:hAnsi="宋体" w:hint="eastAsia"/>
          <w:sz w:val="24"/>
        </w:rPr>
        <w:t>6、基金的证券、期货、股票期权等投资标的交易结算费用；</w:t>
      </w:r>
    </w:p>
    <w:p w14:paraId="12D759AF" w14:textId="77777777" w:rsidR="00E82AF4" w:rsidRDefault="005B2E6A">
      <w:pPr>
        <w:spacing w:line="360" w:lineRule="auto"/>
        <w:ind w:firstLineChars="200" w:firstLine="480"/>
        <w:rPr>
          <w:rFonts w:ascii="宋体" w:hAnsi="宋体"/>
          <w:sz w:val="24"/>
        </w:rPr>
      </w:pPr>
      <w:r>
        <w:rPr>
          <w:rFonts w:ascii="宋体" w:hAnsi="宋体" w:hint="eastAsia"/>
          <w:sz w:val="24"/>
        </w:rPr>
        <w:t>7、基金的银行汇划费用；</w:t>
      </w:r>
    </w:p>
    <w:p w14:paraId="792A22A0" w14:textId="77777777" w:rsidR="00E82AF4" w:rsidRDefault="005B2E6A">
      <w:pPr>
        <w:spacing w:line="360" w:lineRule="auto"/>
        <w:ind w:firstLineChars="200" w:firstLine="480"/>
        <w:rPr>
          <w:rFonts w:ascii="宋体" w:hAnsi="宋体"/>
          <w:sz w:val="24"/>
        </w:rPr>
      </w:pPr>
      <w:r>
        <w:rPr>
          <w:rFonts w:ascii="宋体" w:hAnsi="宋体" w:hint="eastAsia"/>
          <w:sz w:val="24"/>
        </w:rPr>
        <w:t>8、基金上市初费及年费、登记结算费用、IOPV计算与发布费用；</w:t>
      </w:r>
    </w:p>
    <w:p w14:paraId="76C4D183" w14:textId="77777777" w:rsidR="00E82AF4" w:rsidRDefault="005B2E6A">
      <w:pPr>
        <w:spacing w:line="360" w:lineRule="auto"/>
        <w:ind w:firstLineChars="200" w:firstLine="480"/>
        <w:rPr>
          <w:rFonts w:ascii="宋体" w:hAnsi="宋体"/>
          <w:sz w:val="24"/>
        </w:rPr>
      </w:pPr>
      <w:r>
        <w:rPr>
          <w:rFonts w:ascii="宋体" w:hAnsi="宋体" w:hint="eastAsia"/>
          <w:sz w:val="24"/>
        </w:rPr>
        <w:t>9、证券、期货账户开户费、银行账户维护费；</w:t>
      </w:r>
    </w:p>
    <w:p w14:paraId="7571DA5F" w14:textId="77777777" w:rsidR="00E82AF4" w:rsidRDefault="005B2E6A">
      <w:pPr>
        <w:spacing w:line="360" w:lineRule="auto"/>
        <w:ind w:firstLineChars="200" w:firstLine="480"/>
        <w:rPr>
          <w:rFonts w:ascii="宋体" w:hAnsi="宋体"/>
          <w:sz w:val="24"/>
        </w:rPr>
      </w:pPr>
      <w:r>
        <w:rPr>
          <w:rFonts w:ascii="宋体" w:hAnsi="宋体" w:hint="eastAsia"/>
          <w:sz w:val="24"/>
        </w:rPr>
        <w:t>10、收益分配中发生的费用；</w:t>
      </w:r>
    </w:p>
    <w:p w14:paraId="7E984BEB" w14:textId="77777777" w:rsidR="00E82AF4" w:rsidRDefault="005B2E6A">
      <w:pPr>
        <w:spacing w:line="360" w:lineRule="auto"/>
        <w:ind w:firstLineChars="200" w:firstLine="480"/>
        <w:rPr>
          <w:rFonts w:ascii="宋体" w:hAnsi="宋体"/>
          <w:sz w:val="24"/>
        </w:rPr>
      </w:pPr>
      <w:r>
        <w:rPr>
          <w:rFonts w:ascii="宋体" w:hAnsi="宋体" w:hint="eastAsia"/>
          <w:sz w:val="24"/>
        </w:rPr>
        <w:t>11、按照国家有关规定和《基金合同》约定，可以在基金财产中列支的其他费用。</w:t>
      </w:r>
    </w:p>
    <w:p w14:paraId="09D2F673" w14:textId="77777777" w:rsidR="00E82AF4" w:rsidRDefault="005B2E6A">
      <w:pPr>
        <w:spacing w:line="360" w:lineRule="auto"/>
        <w:ind w:firstLineChars="200" w:firstLine="480"/>
        <w:rPr>
          <w:rFonts w:ascii="宋体" w:hAnsi="宋体"/>
          <w:sz w:val="24"/>
        </w:rPr>
      </w:pPr>
      <w:r>
        <w:rPr>
          <w:rFonts w:ascii="宋体" w:hAnsi="宋体" w:hint="eastAsia"/>
          <w:sz w:val="24"/>
        </w:rPr>
        <w:t>本基金终止清算时所发生所有与清算相关的合理费用，按实际支出额从基金剩余财产中扣除。</w:t>
      </w:r>
    </w:p>
    <w:p w14:paraId="4487E75B" w14:textId="77777777" w:rsidR="00E82AF4" w:rsidRDefault="005B2E6A">
      <w:pPr>
        <w:spacing w:line="360" w:lineRule="auto"/>
        <w:ind w:firstLineChars="200" w:firstLine="480"/>
        <w:rPr>
          <w:rFonts w:ascii="宋体" w:hAnsi="宋体"/>
          <w:sz w:val="24"/>
        </w:rPr>
      </w:pPr>
      <w:r>
        <w:rPr>
          <w:rFonts w:ascii="宋体" w:hAnsi="宋体" w:hint="eastAsia"/>
          <w:sz w:val="24"/>
        </w:rPr>
        <w:t>（二）基金费用计提方法、计提标准和支付方式</w:t>
      </w:r>
    </w:p>
    <w:p w14:paraId="01B0EA02" w14:textId="77777777" w:rsidR="00E82AF4" w:rsidRDefault="005B2E6A">
      <w:pPr>
        <w:spacing w:line="360" w:lineRule="auto"/>
        <w:ind w:firstLineChars="200" w:firstLine="480"/>
        <w:rPr>
          <w:rFonts w:ascii="宋体" w:hAnsi="宋体"/>
          <w:sz w:val="24"/>
        </w:rPr>
      </w:pPr>
      <w:r>
        <w:rPr>
          <w:rFonts w:ascii="宋体" w:hAnsi="宋体" w:hint="eastAsia"/>
          <w:sz w:val="24"/>
        </w:rPr>
        <w:t>1、基金管理人的管理费</w:t>
      </w:r>
    </w:p>
    <w:p w14:paraId="79C7B507" w14:textId="77777777" w:rsidR="00E82AF4" w:rsidRDefault="005B2E6A">
      <w:pPr>
        <w:spacing w:line="360" w:lineRule="auto"/>
        <w:ind w:firstLineChars="200" w:firstLine="480"/>
        <w:rPr>
          <w:rFonts w:ascii="宋体" w:hAnsi="宋体"/>
          <w:sz w:val="24"/>
        </w:rPr>
      </w:pPr>
      <w:r>
        <w:rPr>
          <w:rFonts w:ascii="宋体" w:hAnsi="宋体" w:hint="eastAsia"/>
          <w:sz w:val="24"/>
        </w:rPr>
        <w:t>本基金的管理费按前一日基金资产净值的0.50%年费率计提。管理费的计算方法如下：</w:t>
      </w:r>
    </w:p>
    <w:p w14:paraId="7B276B70" w14:textId="77777777" w:rsidR="00E82AF4" w:rsidRDefault="005B2E6A">
      <w:pPr>
        <w:spacing w:line="360" w:lineRule="auto"/>
        <w:ind w:firstLineChars="200" w:firstLine="480"/>
        <w:rPr>
          <w:rFonts w:ascii="宋体" w:hAnsi="宋体"/>
          <w:sz w:val="24"/>
        </w:rPr>
      </w:pPr>
      <w:r>
        <w:rPr>
          <w:rFonts w:ascii="宋体" w:hAnsi="宋体" w:hint="eastAsia"/>
          <w:sz w:val="24"/>
        </w:rPr>
        <w:t>H＝E×0.50%÷当年天数</w:t>
      </w:r>
    </w:p>
    <w:p w14:paraId="61688F33" w14:textId="77777777" w:rsidR="00E82AF4" w:rsidRDefault="005B2E6A">
      <w:pPr>
        <w:spacing w:line="360" w:lineRule="auto"/>
        <w:ind w:firstLineChars="200" w:firstLine="480"/>
        <w:rPr>
          <w:rFonts w:ascii="宋体" w:hAnsi="宋体"/>
          <w:sz w:val="24"/>
        </w:rPr>
      </w:pPr>
      <w:r>
        <w:rPr>
          <w:rFonts w:ascii="宋体" w:hAnsi="宋体" w:hint="eastAsia"/>
          <w:sz w:val="24"/>
        </w:rPr>
        <w:t>H为每日应计提的基金管理费</w:t>
      </w:r>
    </w:p>
    <w:p w14:paraId="319D7CC1" w14:textId="77777777" w:rsidR="00E82AF4" w:rsidRDefault="005B2E6A">
      <w:pPr>
        <w:spacing w:line="360" w:lineRule="auto"/>
        <w:ind w:firstLineChars="200" w:firstLine="480"/>
        <w:rPr>
          <w:rFonts w:ascii="宋体" w:hAnsi="宋体"/>
          <w:sz w:val="24"/>
        </w:rPr>
      </w:pPr>
      <w:r>
        <w:rPr>
          <w:rFonts w:ascii="宋体" w:hAnsi="宋体" w:hint="eastAsia"/>
          <w:sz w:val="24"/>
        </w:rPr>
        <w:t>E为前一日的基金资产净值</w:t>
      </w:r>
    </w:p>
    <w:p w14:paraId="0B178487" w14:textId="77777777" w:rsidR="00E82AF4" w:rsidRDefault="005B2E6A">
      <w:pPr>
        <w:spacing w:line="360" w:lineRule="auto"/>
        <w:ind w:firstLineChars="200" w:firstLine="480"/>
        <w:rPr>
          <w:rFonts w:ascii="宋体" w:hAnsi="宋体"/>
          <w:sz w:val="24"/>
        </w:rPr>
      </w:pPr>
      <w:r>
        <w:rPr>
          <w:rFonts w:ascii="宋体" w:hAnsi="宋体" w:hint="eastAsia"/>
          <w:sz w:val="24"/>
        </w:rPr>
        <w:t>基金管理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72201924" w14:textId="77777777" w:rsidR="00E82AF4" w:rsidRDefault="005B2E6A">
      <w:pPr>
        <w:spacing w:line="360" w:lineRule="auto"/>
        <w:ind w:firstLineChars="200" w:firstLine="480"/>
        <w:rPr>
          <w:rFonts w:ascii="宋体" w:hAnsi="宋体"/>
          <w:sz w:val="24"/>
        </w:rPr>
      </w:pPr>
      <w:r>
        <w:rPr>
          <w:rFonts w:ascii="宋体" w:hAnsi="宋体" w:hint="eastAsia"/>
          <w:sz w:val="24"/>
        </w:rPr>
        <w:t>2、基金托管人的托管费</w:t>
      </w:r>
    </w:p>
    <w:p w14:paraId="360A0592" w14:textId="77777777" w:rsidR="00E82AF4" w:rsidRDefault="005B2E6A">
      <w:pPr>
        <w:spacing w:line="360" w:lineRule="auto"/>
        <w:ind w:firstLineChars="200" w:firstLine="480"/>
        <w:rPr>
          <w:rFonts w:ascii="宋体" w:hAnsi="宋体"/>
          <w:sz w:val="24"/>
        </w:rPr>
      </w:pPr>
      <w:r>
        <w:rPr>
          <w:rFonts w:ascii="宋体" w:hAnsi="宋体" w:hint="eastAsia"/>
          <w:sz w:val="24"/>
        </w:rPr>
        <w:t>本基金的托管费按前一日基金资产净值的0.10%年费率计提。托管费的计算方法如下：</w:t>
      </w:r>
    </w:p>
    <w:p w14:paraId="06A8DE46" w14:textId="77777777" w:rsidR="00E82AF4" w:rsidRDefault="005B2E6A">
      <w:pPr>
        <w:spacing w:line="360" w:lineRule="auto"/>
        <w:ind w:firstLineChars="200" w:firstLine="480"/>
        <w:rPr>
          <w:rFonts w:ascii="宋体" w:hAnsi="宋体"/>
          <w:sz w:val="24"/>
        </w:rPr>
      </w:pPr>
      <w:r>
        <w:rPr>
          <w:rFonts w:ascii="宋体" w:hAnsi="宋体" w:hint="eastAsia"/>
          <w:sz w:val="24"/>
        </w:rPr>
        <w:t>H＝E×0.10%÷当年天数</w:t>
      </w:r>
    </w:p>
    <w:p w14:paraId="0FA3739D" w14:textId="77777777" w:rsidR="00E82AF4" w:rsidRDefault="005B2E6A">
      <w:pPr>
        <w:spacing w:line="360" w:lineRule="auto"/>
        <w:ind w:firstLineChars="200" w:firstLine="480"/>
        <w:rPr>
          <w:rFonts w:ascii="宋体" w:hAnsi="宋体"/>
          <w:sz w:val="24"/>
        </w:rPr>
      </w:pPr>
      <w:r>
        <w:rPr>
          <w:rFonts w:ascii="宋体" w:hAnsi="宋体" w:hint="eastAsia"/>
          <w:sz w:val="24"/>
        </w:rPr>
        <w:t>H为每日应计提的基金托管费</w:t>
      </w:r>
    </w:p>
    <w:p w14:paraId="333CC9DC"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E为前一日的基金资产净值</w:t>
      </w:r>
    </w:p>
    <w:p w14:paraId="1875D083" w14:textId="77777777" w:rsidR="00E82AF4" w:rsidRDefault="005B2E6A">
      <w:pPr>
        <w:spacing w:line="360" w:lineRule="auto"/>
        <w:ind w:firstLineChars="200" w:firstLine="480"/>
        <w:rPr>
          <w:rFonts w:ascii="宋体" w:hAnsi="宋体"/>
          <w:sz w:val="24"/>
        </w:rPr>
      </w:pPr>
      <w:r>
        <w:rPr>
          <w:rFonts w:ascii="宋体" w:hAnsi="宋体" w:hint="eastAsia"/>
          <w:sz w:val="24"/>
        </w:rPr>
        <w:t>基金托管费每日计提，逐日累计至每月月末，按月支付。由基金托管人根据与基金管理人核对一致的财务数据，自动在月初5个工作日内、按照指定的账户路径进行资金支取，基金管理人无需再出具资金划拨指令。若遇法定节假日、休息日或不可抗力等致使无法按时支取的，顺延至最近可支付日支取。费用自动扣划后，基金管理人应进行核对，如发现数据不符，及时联系基金托管人协商解决。</w:t>
      </w:r>
    </w:p>
    <w:p w14:paraId="6C8D9E66" w14:textId="77777777" w:rsidR="00E82AF4" w:rsidRDefault="005B2E6A">
      <w:pPr>
        <w:spacing w:line="360" w:lineRule="auto"/>
        <w:ind w:firstLineChars="200" w:firstLine="480"/>
        <w:rPr>
          <w:rFonts w:ascii="宋体" w:hAnsi="宋体"/>
          <w:sz w:val="24"/>
        </w:rPr>
      </w:pPr>
      <w:r>
        <w:rPr>
          <w:rFonts w:ascii="宋体" w:hAnsi="宋体" w:hint="eastAsia"/>
          <w:sz w:val="24"/>
        </w:rPr>
        <w:t>上述“（一）基金费用的种类”中第3－11项费用，根据有关法规及相应协议规定，按费用实际支出金额列入当期费用，由基金托管人从基金财产中支付。基金综合费用水平请参见基金产品资料概要等文件。</w:t>
      </w:r>
    </w:p>
    <w:p w14:paraId="0D9FCA73" w14:textId="77777777" w:rsidR="00E82AF4" w:rsidRDefault="005B2E6A">
      <w:pPr>
        <w:spacing w:line="360" w:lineRule="auto"/>
        <w:ind w:firstLineChars="200" w:firstLine="480"/>
        <w:rPr>
          <w:rFonts w:ascii="宋体" w:hAnsi="宋体"/>
          <w:sz w:val="24"/>
        </w:rPr>
      </w:pPr>
      <w:r>
        <w:rPr>
          <w:rFonts w:ascii="宋体" w:hAnsi="宋体" w:hint="eastAsia"/>
          <w:sz w:val="24"/>
        </w:rPr>
        <w:t>（三）不列入基金费用的项目</w:t>
      </w:r>
    </w:p>
    <w:p w14:paraId="2FC8BD24" w14:textId="77777777" w:rsidR="00E82AF4" w:rsidRDefault="005B2E6A">
      <w:pPr>
        <w:spacing w:line="360" w:lineRule="auto"/>
        <w:ind w:firstLineChars="200" w:firstLine="480"/>
        <w:rPr>
          <w:rFonts w:ascii="宋体" w:hAnsi="宋体"/>
          <w:sz w:val="24"/>
        </w:rPr>
      </w:pPr>
      <w:r>
        <w:rPr>
          <w:rFonts w:ascii="宋体" w:hAnsi="宋体" w:hint="eastAsia"/>
          <w:sz w:val="24"/>
        </w:rPr>
        <w:t>下列费用不列入基金费用：</w:t>
      </w:r>
    </w:p>
    <w:p w14:paraId="1EA9AEB7" w14:textId="77777777" w:rsidR="00E82AF4" w:rsidRDefault="005B2E6A">
      <w:pPr>
        <w:spacing w:line="360" w:lineRule="auto"/>
        <w:ind w:firstLineChars="200" w:firstLine="480"/>
        <w:rPr>
          <w:rFonts w:ascii="宋体" w:hAnsi="宋体"/>
          <w:sz w:val="24"/>
        </w:rPr>
      </w:pPr>
      <w:r>
        <w:rPr>
          <w:rFonts w:ascii="宋体" w:hAnsi="宋体" w:hint="eastAsia"/>
          <w:sz w:val="24"/>
        </w:rPr>
        <w:t>1、基金管理人和基金托管人因未履行或未完全履行义务导致的费用支出或基金财产的损失；</w:t>
      </w:r>
    </w:p>
    <w:p w14:paraId="1779EE6E" w14:textId="77777777" w:rsidR="00E82AF4" w:rsidRDefault="005B2E6A">
      <w:pPr>
        <w:spacing w:line="360" w:lineRule="auto"/>
        <w:ind w:firstLineChars="200" w:firstLine="480"/>
        <w:rPr>
          <w:rFonts w:ascii="宋体" w:hAnsi="宋体"/>
          <w:sz w:val="24"/>
        </w:rPr>
      </w:pPr>
      <w:r>
        <w:rPr>
          <w:rFonts w:ascii="宋体" w:hAnsi="宋体" w:hint="eastAsia"/>
          <w:sz w:val="24"/>
        </w:rPr>
        <w:t>2、基金管理人和基金托管人处理与基金运作无关的事项发生的费用；</w:t>
      </w:r>
    </w:p>
    <w:p w14:paraId="52254A07" w14:textId="77777777" w:rsidR="00E82AF4" w:rsidRDefault="005B2E6A">
      <w:pPr>
        <w:spacing w:line="360" w:lineRule="auto"/>
        <w:ind w:firstLineChars="200" w:firstLine="480"/>
        <w:rPr>
          <w:rFonts w:ascii="宋体" w:hAnsi="宋体"/>
          <w:sz w:val="24"/>
        </w:rPr>
      </w:pPr>
      <w:r>
        <w:rPr>
          <w:rFonts w:ascii="宋体" w:hAnsi="宋体" w:hint="eastAsia"/>
          <w:sz w:val="24"/>
        </w:rPr>
        <w:t>3、《基金合同》生效前的相关费用；</w:t>
      </w:r>
    </w:p>
    <w:p w14:paraId="0E68FE13" w14:textId="77777777" w:rsidR="00E82AF4" w:rsidRDefault="005B2E6A">
      <w:pPr>
        <w:spacing w:line="360" w:lineRule="auto"/>
        <w:ind w:firstLineChars="200" w:firstLine="480"/>
        <w:rPr>
          <w:rFonts w:ascii="宋体" w:hAnsi="宋体"/>
          <w:sz w:val="24"/>
        </w:rPr>
      </w:pPr>
      <w:r>
        <w:rPr>
          <w:rFonts w:ascii="宋体" w:hAnsi="宋体" w:hint="eastAsia"/>
          <w:sz w:val="24"/>
        </w:rPr>
        <w:t>4、标的指数许可使用费；标的指数许可使用费由基金管理人承担，不从基金财产中列支；</w:t>
      </w:r>
    </w:p>
    <w:p w14:paraId="6DB135A1" w14:textId="77777777" w:rsidR="00E82AF4" w:rsidRDefault="005B2E6A">
      <w:pPr>
        <w:spacing w:line="360" w:lineRule="auto"/>
        <w:ind w:firstLineChars="200" w:firstLine="480"/>
        <w:rPr>
          <w:rFonts w:ascii="宋体" w:hAnsi="宋体"/>
          <w:sz w:val="24"/>
        </w:rPr>
      </w:pPr>
      <w:r>
        <w:rPr>
          <w:rFonts w:ascii="宋体" w:hAnsi="宋体" w:hint="eastAsia"/>
          <w:sz w:val="24"/>
        </w:rPr>
        <w:t>5、其他根据相关法律法规及中国证监会的有关规定不得列入基金费用的项目。</w:t>
      </w:r>
    </w:p>
    <w:p w14:paraId="7006D601" w14:textId="77777777" w:rsidR="00E82AF4" w:rsidRDefault="005B2E6A">
      <w:pPr>
        <w:spacing w:line="360" w:lineRule="auto"/>
        <w:ind w:firstLineChars="200" w:firstLine="480"/>
        <w:rPr>
          <w:rFonts w:ascii="宋体" w:hAnsi="宋体"/>
          <w:sz w:val="24"/>
        </w:rPr>
      </w:pPr>
      <w:r>
        <w:rPr>
          <w:rFonts w:ascii="宋体" w:hAnsi="宋体" w:hint="eastAsia"/>
          <w:sz w:val="24"/>
        </w:rPr>
        <w:t>（四）基金税收</w:t>
      </w:r>
    </w:p>
    <w:p w14:paraId="204BFB65" w14:textId="77777777" w:rsidR="00E82AF4" w:rsidRDefault="005B2E6A">
      <w:pPr>
        <w:spacing w:line="360" w:lineRule="auto"/>
        <w:ind w:firstLineChars="200" w:firstLine="480"/>
        <w:rPr>
          <w:rFonts w:ascii="宋体" w:hAnsi="宋体"/>
          <w:sz w:val="24"/>
        </w:rPr>
      </w:pPr>
      <w:r>
        <w:rPr>
          <w:rFonts w:ascii="宋体" w:hAnsi="宋体" w:hint="eastAsia"/>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46AFBA05" w14:textId="77777777" w:rsidR="00E82AF4" w:rsidRDefault="005B2E6A">
      <w:pPr>
        <w:spacing w:line="360" w:lineRule="auto"/>
        <w:ind w:firstLineChars="200" w:firstLine="480"/>
        <w:rPr>
          <w:rFonts w:ascii="宋体" w:hAnsi="宋体"/>
          <w:sz w:val="24"/>
        </w:rPr>
      </w:pPr>
      <w:r>
        <w:rPr>
          <w:rFonts w:ascii="宋体" w:hAnsi="宋体" w:hint="eastAsia"/>
          <w:sz w:val="24"/>
        </w:rPr>
        <w:t>五、基金财产的投资方向和投资限制</w:t>
      </w:r>
    </w:p>
    <w:p w14:paraId="1F3E38F2" w14:textId="77777777" w:rsidR="00E82AF4" w:rsidRDefault="005B2E6A">
      <w:pPr>
        <w:spacing w:line="360" w:lineRule="auto"/>
        <w:ind w:firstLineChars="200" w:firstLine="480"/>
        <w:rPr>
          <w:rFonts w:ascii="宋体" w:hAnsi="宋体"/>
          <w:sz w:val="24"/>
        </w:rPr>
      </w:pPr>
      <w:r>
        <w:rPr>
          <w:rFonts w:ascii="宋体" w:hAnsi="宋体" w:hint="eastAsia"/>
          <w:sz w:val="24"/>
        </w:rPr>
        <w:t>（一）投资范围</w:t>
      </w:r>
    </w:p>
    <w:p w14:paraId="5733A848" w14:textId="77777777" w:rsidR="00E82AF4" w:rsidRDefault="005B2E6A">
      <w:pPr>
        <w:spacing w:line="360" w:lineRule="auto"/>
        <w:ind w:firstLineChars="200" w:firstLine="480"/>
        <w:rPr>
          <w:rFonts w:ascii="宋体" w:hAnsi="宋体"/>
          <w:sz w:val="24"/>
        </w:rPr>
      </w:pPr>
      <w:r>
        <w:rPr>
          <w:rFonts w:ascii="宋体" w:hAnsi="宋体" w:hint="eastAsia"/>
          <w:sz w:val="24"/>
        </w:rPr>
        <w:t>本基金主要投资于标的指数成份股及备选成份股（均含存托凭证，下同）。同时，为更好地实现投资目标，本基金可少量投资于部分非成份股（包含主板股票、创业板股票、科创板股票、存托凭证及其他经中国证监会核准或注册上市的股票）、债券资产（包括国债、金融债券、企业债券、公司债券、公开发行的次</w:t>
      </w:r>
      <w:r>
        <w:rPr>
          <w:rFonts w:ascii="宋体" w:hAnsi="宋体" w:hint="eastAsia"/>
          <w:sz w:val="24"/>
        </w:rPr>
        <w:lastRenderedPageBreak/>
        <w:t>级债券、可转换公司债券（含分离交易的可转换公司债券）、央行票据、短期融资券、超短期融资券、地方政府债券、政府支持机构债券、中期票据、可交换债券以及其他中国证监会允许投资的债券）、银行存款（包括银行定期存款、协议存款及其他银行存款）、资产支持证券、债券回购、同业存单、现金、衍生工具（股指期货、股票期权、国债期货）以及法律法规或中国证监会允许基金投资的其他金融工具（但须符合中国证监会相关规定）。</w:t>
      </w:r>
    </w:p>
    <w:p w14:paraId="055F5673" w14:textId="77777777" w:rsidR="00E82AF4" w:rsidRDefault="005B2E6A">
      <w:pPr>
        <w:spacing w:line="360" w:lineRule="auto"/>
        <w:ind w:firstLineChars="200" w:firstLine="480"/>
        <w:rPr>
          <w:rFonts w:ascii="宋体" w:hAnsi="宋体"/>
          <w:sz w:val="24"/>
        </w:rPr>
      </w:pPr>
      <w:r>
        <w:rPr>
          <w:rFonts w:ascii="宋体" w:hAnsi="宋体" w:hint="eastAsia"/>
          <w:sz w:val="24"/>
        </w:rPr>
        <w:t>本基金可以根据相关法律法规，参与融资及转融通证券出借业务。</w:t>
      </w:r>
    </w:p>
    <w:p w14:paraId="68104425" w14:textId="77777777" w:rsidR="00E82AF4" w:rsidRDefault="005B2E6A">
      <w:pPr>
        <w:spacing w:line="360" w:lineRule="auto"/>
        <w:ind w:firstLineChars="200" w:firstLine="480"/>
        <w:rPr>
          <w:rFonts w:ascii="宋体" w:hAnsi="宋体"/>
          <w:sz w:val="24"/>
        </w:rPr>
      </w:pPr>
      <w:r>
        <w:rPr>
          <w:rFonts w:ascii="宋体" w:hAnsi="宋体" w:hint="eastAsia"/>
          <w:sz w:val="24"/>
        </w:rPr>
        <w:t>如法律法规或监管机构以后允许基金投资其他品种，基金管理人在履行适当程序后，可以将其纳入投资范围，其投资原则及投资比例限制按法律法规或监管机构的相关规定执行。</w:t>
      </w:r>
    </w:p>
    <w:p w14:paraId="481E5F3C" w14:textId="77777777" w:rsidR="00E82AF4" w:rsidRDefault="005B2E6A">
      <w:pPr>
        <w:spacing w:line="360" w:lineRule="auto"/>
        <w:ind w:firstLineChars="200" w:firstLine="480"/>
        <w:rPr>
          <w:rFonts w:ascii="宋体" w:hAnsi="宋体"/>
          <w:sz w:val="24"/>
        </w:rPr>
      </w:pPr>
      <w:r>
        <w:rPr>
          <w:rFonts w:ascii="宋体" w:hAnsi="宋体" w:hint="eastAsia"/>
          <w:sz w:val="24"/>
        </w:rPr>
        <w:t>在建仓完成后，本基金投资于标的指数成份股及备选成份股的资产不低于基金资产净值的90%，且不低于非现金基金资产的80%，每个交易日日终在扣除股指期货合约、股票期权合约和国债期货合约需缴纳的交易保证金后，应当保持不低于交易保证金一倍的现金，其中，现金不包括结算备付金、存出保证金和应收申购款等，因法律法规的规定而受限制的情形除外。</w:t>
      </w:r>
    </w:p>
    <w:p w14:paraId="52D46CA5" w14:textId="77777777" w:rsidR="00E82AF4" w:rsidRDefault="005B2E6A">
      <w:pPr>
        <w:spacing w:line="360" w:lineRule="auto"/>
        <w:ind w:firstLineChars="200" w:firstLine="480"/>
        <w:rPr>
          <w:rFonts w:ascii="宋体" w:hAnsi="宋体"/>
          <w:sz w:val="24"/>
        </w:rPr>
      </w:pPr>
      <w:r>
        <w:rPr>
          <w:rFonts w:ascii="宋体" w:hAnsi="宋体" w:hint="eastAsia"/>
          <w:sz w:val="24"/>
        </w:rPr>
        <w:t>如果法律法规或中国证监会变更相关投资品种的投资比例限制，基金管理人在履行适当程序后，可以调整上述投资品种的投资比例或按变更后的规定执行。</w:t>
      </w:r>
    </w:p>
    <w:p w14:paraId="0783336C" w14:textId="77777777" w:rsidR="00E82AF4" w:rsidRDefault="005B2E6A">
      <w:pPr>
        <w:spacing w:line="360" w:lineRule="auto"/>
        <w:ind w:firstLineChars="200" w:firstLine="480"/>
        <w:rPr>
          <w:rFonts w:ascii="宋体" w:hAnsi="宋体"/>
          <w:sz w:val="24"/>
        </w:rPr>
      </w:pPr>
      <w:r>
        <w:rPr>
          <w:rFonts w:ascii="宋体" w:hAnsi="宋体" w:hint="eastAsia"/>
          <w:sz w:val="24"/>
        </w:rPr>
        <w:t>（二）投资限制</w:t>
      </w:r>
    </w:p>
    <w:p w14:paraId="17359B6C" w14:textId="77777777" w:rsidR="00E82AF4" w:rsidRDefault="005B2E6A">
      <w:pPr>
        <w:spacing w:line="360" w:lineRule="auto"/>
        <w:ind w:firstLineChars="200" w:firstLine="480"/>
        <w:rPr>
          <w:rFonts w:ascii="宋体" w:hAnsi="宋体"/>
          <w:sz w:val="24"/>
        </w:rPr>
      </w:pPr>
      <w:r>
        <w:rPr>
          <w:rFonts w:ascii="宋体" w:hAnsi="宋体" w:hint="eastAsia"/>
          <w:sz w:val="24"/>
        </w:rPr>
        <w:t>1、组合限制</w:t>
      </w:r>
    </w:p>
    <w:p w14:paraId="2797CBFF" w14:textId="77777777" w:rsidR="00E82AF4" w:rsidRDefault="005B2E6A">
      <w:pPr>
        <w:spacing w:line="360" w:lineRule="auto"/>
        <w:ind w:firstLineChars="200" w:firstLine="480"/>
        <w:rPr>
          <w:rFonts w:ascii="宋体" w:hAnsi="宋体"/>
          <w:sz w:val="24"/>
        </w:rPr>
      </w:pPr>
      <w:r>
        <w:rPr>
          <w:rFonts w:ascii="宋体" w:hAnsi="宋体" w:hint="eastAsia"/>
          <w:sz w:val="24"/>
        </w:rPr>
        <w:t>基金的投资组合应遵循以下限制：</w:t>
      </w:r>
    </w:p>
    <w:p w14:paraId="5BB729DC" w14:textId="77777777" w:rsidR="00E82AF4" w:rsidRDefault="005B2E6A">
      <w:pPr>
        <w:spacing w:line="360" w:lineRule="auto"/>
        <w:ind w:firstLineChars="200" w:firstLine="480"/>
        <w:rPr>
          <w:rFonts w:ascii="宋体" w:hAnsi="宋体"/>
          <w:sz w:val="24"/>
        </w:rPr>
      </w:pPr>
      <w:r>
        <w:rPr>
          <w:rFonts w:ascii="宋体" w:hAnsi="宋体" w:hint="eastAsia"/>
          <w:sz w:val="24"/>
        </w:rPr>
        <w:t>（1）在建仓完成后，本基金投资于标的指数成份股及备选成份股的资产不低于基金资产净值的90%，且不低于非现金基金资产的80%；</w:t>
      </w:r>
    </w:p>
    <w:p w14:paraId="2385403C" w14:textId="77777777" w:rsidR="00E82AF4" w:rsidRDefault="005B2E6A">
      <w:pPr>
        <w:spacing w:line="360" w:lineRule="auto"/>
        <w:ind w:firstLineChars="200" w:firstLine="480"/>
        <w:rPr>
          <w:rFonts w:ascii="宋体" w:hAnsi="宋体"/>
          <w:sz w:val="24"/>
        </w:rPr>
      </w:pPr>
      <w:r>
        <w:rPr>
          <w:rFonts w:ascii="宋体" w:hAnsi="宋体" w:hint="eastAsia"/>
          <w:sz w:val="24"/>
        </w:rPr>
        <w:t>（2）每个交易日日终在扣除股指期货合约、股票期权合约和国债期货合约需缴纳的交易保证金后，本基金应当保持不低于交易保证金一倍的现金，其中，现金不包括结算备付金、存出保证金和应收申购款等；</w:t>
      </w:r>
    </w:p>
    <w:p w14:paraId="5B4E10E7" w14:textId="77777777" w:rsidR="00E82AF4" w:rsidRDefault="005B2E6A">
      <w:pPr>
        <w:spacing w:line="360" w:lineRule="auto"/>
        <w:ind w:firstLineChars="200" w:firstLine="480"/>
        <w:rPr>
          <w:rFonts w:ascii="宋体" w:hAnsi="宋体"/>
          <w:sz w:val="24"/>
        </w:rPr>
      </w:pPr>
      <w:r>
        <w:rPr>
          <w:rFonts w:ascii="宋体" w:hAnsi="宋体" w:hint="eastAsia"/>
          <w:sz w:val="24"/>
        </w:rPr>
        <w:t>（3）基金财产参与股票发行申购，本基金所申报的金额不超过本基金的总资产，本基金所申报的股票数量不超过拟发行股票公司本次发行股票的总量；</w:t>
      </w:r>
    </w:p>
    <w:p w14:paraId="5BAFC3C0" w14:textId="77777777" w:rsidR="00E82AF4" w:rsidRDefault="005B2E6A">
      <w:pPr>
        <w:spacing w:line="360" w:lineRule="auto"/>
        <w:ind w:firstLineChars="200" w:firstLine="480"/>
        <w:rPr>
          <w:rFonts w:ascii="宋体" w:hAnsi="宋体"/>
          <w:sz w:val="24"/>
        </w:rPr>
      </w:pPr>
      <w:r>
        <w:rPr>
          <w:rFonts w:ascii="宋体" w:hAnsi="宋体" w:hint="eastAsia"/>
          <w:sz w:val="24"/>
        </w:rPr>
        <w:t>（4）本基金基金资产总值不超过基金资产净值的140%；</w:t>
      </w:r>
    </w:p>
    <w:p w14:paraId="47721AC9" w14:textId="77777777" w:rsidR="00E82AF4" w:rsidRDefault="005B2E6A">
      <w:pPr>
        <w:spacing w:line="360" w:lineRule="auto"/>
        <w:ind w:firstLineChars="200" w:firstLine="480"/>
        <w:rPr>
          <w:rFonts w:ascii="宋体" w:hAnsi="宋体"/>
          <w:sz w:val="24"/>
        </w:rPr>
      </w:pPr>
      <w:r>
        <w:rPr>
          <w:rFonts w:ascii="宋体" w:hAnsi="宋体" w:hint="eastAsia"/>
          <w:sz w:val="24"/>
        </w:rPr>
        <w:t>（5）本基金参与股指期货交易的，需遵循以下投资比例限制：</w:t>
      </w:r>
    </w:p>
    <w:p w14:paraId="0BF76529"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在任何交易日日终，持有的买入股指期货合约价值，不得超过基金资产净值的10%；在任何交易日日终，持有的卖出股指期货合约价值不得超过基金持有的股票总市值的20%；基金所持有的股票市值和买入、卖出股指期货合约价值，合计（轧差计算）应当符合基金合同关于股票投资比例的有关约定；在任何交易日内交易（不包括平仓）的股指期货合约的成交金额不得超过上一交易日基金资产净值的20%；</w:t>
      </w:r>
    </w:p>
    <w:p w14:paraId="0EBAD5DC" w14:textId="77777777" w:rsidR="00E82AF4" w:rsidRDefault="005B2E6A">
      <w:pPr>
        <w:spacing w:line="360" w:lineRule="auto"/>
        <w:ind w:firstLineChars="200" w:firstLine="480"/>
        <w:rPr>
          <w:rFonts w:ascii="宋体" w:hAnsi="宋体"/>
          <w:sz w:val="24"/>
        </w:rPr>
      </w:pPr>
      <w:r>
        <w:rPr>
          <w:rFonts w:ascii="宋体" w:hAnsi="宋体" w:hint="eastAsia"/>
          <w:sz w:val="24"/>
        </w:rPr>
        <w:t>（6）本基金投资于同一原始权益人的各类资产支持证券的比例，不得超过基金资产净值的10%；本基金持有的全部资产支持证券，其市值不得超过基金资产净值的20%，中国证监会规定的特殊品种除外；</w:t>
      </w:r>
    </w:p>
    <w:p w14:paraId="4542ABE4" w14:textId="77777777" w:rsidR="00E82AF4" w:rsidRDefault="005B2E6A">
      <w:pPr>
        <w:spacing w:line="360" w:lineRule="auto"/>
        <w:ind w:firstLineChars="200" w:firstLine="480"/>
        <w:rPr>
          <w:rFonts w:ascii="宋体" w:hAnsi="宋体"/>
          <w:sz w:val="24"/>
        </w:rPr>
      </w:pPr>
      <w:r>
        <w:rPr>
          <w:rFonts w:ascii="宋体" w:hAnsi="宋体" w:hint="eastAsia"/>
          <w:sz w:val="24"/>
        </w:rPr>
        <w:t>（7）本基金持有的同一（指同一信用级别）资产支持证券的比例，不得超过该资产支持证券规模的10%；本基金管理人管理的全部基金投资于同一原始权益人的各类资产支持证券，不得超过其各类资产支持证券合计规模的10%；</w:t>
      </w:r>
    </w:p>
    <w:p w14:paraId="710F7ED2" w14:textId="77777777" w:rsidR="00E82AF4" w:rsidRDefault="005B2E6A">
      <w:pPr>
        <w:spacing w:line="360" w:lineRule="auto"/>
        <w:ind w:firstLineChars="200" w:firstLine="480"/>
        <w:rPr>
          <w:rFonts w:ascii="宋体" w:hAnsi="宋体"/>
          <w:sz w:val="24"/>
        </w:rPr>
      </w:pPr>
      <w:r>
        <w:rPr>
          <w:rFonts w:ascii="宋体" w:hAnsi="宋体" w:hint="eastAsia"/>
          <w:sz w:val="24"/>
        </w:rPr>
        <w:t>（8）本基金应投资于信用级别评级为BBB以上（含BBB）的资产支持证券。基金持有资产支持证券期间，如果其信用等级下降、不再符合投资标准，应在评级报告发布之日起3个月内予以全部卖出；</w:t>
      </w:r>
    </w:p>
    <w:p w14:paraId="2326F934" w14:textId="77777777" w:rsidR="00E82AF4" w:rsidRDefault="005B2E6A">
      <w:pPr>
        <w:spacing w:line="360" w:lineRule="auto"/>
        <w:ind w:firstLineChars="200" w:firstLine="480"/>
        <w:rPr>
          <w:rFonts w:ascii="宋体" w:hAnsi="宋体"/>
          <w:sz w:val="24"/>
        </w:rPr>
      </w:pPr>
      <w:r>
        <w:rPr>
          <w:rFonts w:ascii="宋体" w:hAnsi="宋体" w:hint="eastAsia"/>
          <w:sz w:val="24"/>
        </w:rPr>
        <w:t>（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121F0DD0" w14:textId="77777777" w:rsidR="00E82AF4" w:rsidRDefault="005B2E6A">
      <w:pPr>
        <w:spacing w:line="360" w:lineRule="auto"/>
        <w:ind w:firstLineChars="200" w:firstLine="480"/>
        <w:rPr>
          <w:rFonts w:ascii="宋体" w:hAnsi="宋体"/>
          <w:sz w:val="24"/>
        </w:rPr>
      </w:pPr>
      <w:r>
        <w:rPr>
          <w:rFonts w:ascii="宋体" w:hAnsi="宋体" w:hint="eastAsia"/>
          <w:sz w:val="24"/>
        </w:rPr>
        <w:t>（10）本基金与私募类证券资管产品及中国证监会认定的其他主体为交易对手开展逆回购交易的，可接受质押品的资质要求应当与基金合同约定的投资范围保持一致；</w:t>
      </w:r>
    </w:p>
    <w:p w14:paraId="2380ED75" w14:textId="77777777" w:rsidR="00E82AF4" w:rsidRDefault="005B2E6A">
      <w:pPr>
        <w:spacing w:line="360" w:lineRule="auto"/>
        <w:ind w:firstLineChars="200" w:firstLine="480"/>
        <w:rPr>
          <w:rFonts w:ascii="宋体" w:hAnsi="宋体"/>
          <w:sz w:val="24"/>
        </w:rPr>
      </w:pPr>
      <w:r>
        <w:rPr>
          <w:rFonts w:ascii="宋体" w:hAnsi="宋体" w:hint="eastAsia"/>
          <w:sz w:val="24"/>
        </w:rPr>
        <w:t>（11）本基金参与融资的，每个交易日日终，本基金持有的融资买入股票与其他有价证券市值之和，不得超过基金资产净值的95%；</w:t>
      </w:r>
    </w:p>
    <w:p w14:paraId="156F910A" w14:textId="77777777" w:rsidR="00E82AF4" w:rsidRDefault="005B2E6A">
      <w:pPr>
        <w:spacing w:line="360" w:lineRule="auto"/>
        <w:ind w:firstLineChars="200" w:firstLine="480"/>
        <w:rPr>
          <w:rFonts w:ascii="宋体" w:hAnsi="宋体"/>
          <w:sz w:val="24"/>
        </w:rPr>
      </w:pPr>
      <w:r>
        <w:rPr>
          <w:rFonts w:ascii="宋体" w:hAnsi="宋体" w:hint="eastAsia"/>
          <w:sz w:val="24"/>
        </w:rPr>
        <w:t>（12）本基金参与转融通证券出借业务的，应当符合下列要求：</w:t>
      </w:r>
    </w:p>
    <w:p w14:paraId="3DF164A9" w14:textId="77777777" w:rsidR="00E82AF4" w:rsidRDefault="005B2E6A">
      <w:pPr>
        <w:spacing w:line="360" w:lineRule="auto"/>
        <w:ind w:firstLineChars="200" w:firstLine="480"/>
        <w:rPr>
          <w:rFonts w:ascii="宋体" w:hAnsi="宋体"/>
          <w:sz w:val="24"/>
        </w:rPr>
      </w:pPr>
      <w:r>
        <w:rPr>
          <w:rFonts w:ascii="宋体" w:hAnsi="宋体" w:hint="eastAsia"/>
          <w:sz w:val="24"/>
        </w:rPr>
        <w:t>1）参与转融通证券出借业务的资产，不得超过基金资产净值的30%，其中，出借期限在10个交易日以上的出借证券纳入《流动性风险管理规定》所述流动性受限证券的范围；</w:t>
      </w:r>
    </w:p>
    <w:p w14:paraId="67FFC338" w14:textId="77777777" w:rsidR="00E82AF4" w:rsidRDefault="005B2E6A">
      <w:pPr>
        <w:spacing w:line="360" w:lineRule="auto"/>
        <w:ind w:firstLineChars="200" w:firstLine="480"/>
        <w:rPr>
          <w:rFonts w:ascii="宋体" w:hAnsi="宋体"/>
          <w:sz w:val="24"/>
        </w:rPr>
      </w:pPr>
      <w:r>
        <w:rPr>
          <w:rFonts w:ascii="宋体" w:hAnsi="宋体" w:hint="eastAsia"/>
          <w:sz w:val="24"/>
        </w:rPr>
        <w:t>2）参与转融通证券出借业务的单只证券不得超过基金持有该证券总量的</w:t>
      </w:r>
      <w:r>
        <w:rPr>
          <w:rFonts w:ascii="宋体" w:hAnsi="宋体" w:hint="eastAsia"/>
          <w:sz w:val="24"/>
        </w:rPr>
        <w:lastRenderedPageBreak/>
        <w:t>30%；</w:t>
      </w:r>
    </w:p>
    <w:p w14:paraId="7643497B" w14:textId="77777777" w:rsidR="00E82AF4" w:rsidRDefault="005B2E6A">
      <w:pPr>
        <w:spacing w:line="360" w:lineRule="auto"/>
        <w:ind w:firstLineChars="200" w:firstLine="480"/>
        <w:rPr>
          <w:rFonts w:ascii="宋体" w:hAnsi="宋体"/>
          <w:sz w:val="24"/>
        </w:rPr>
      </w:pPr>
      <w:r>
        <w:rPr>
          <w:rFonts w:ascii="宋体" w:hAnsi="宋体" w:hint="eastAsia"/>
          <w:sz w:val="24"/>
        </w:rPr>
        <w:t>3）最近6个月内日均基金资产净值不得低于2亿元；</w:t>
      </w:r>
    </w:p>
    <w:p w14:paraId="100D4B3B" w14:textId="77777777" w:rsidR="00E82AF4" w:rsidRDefault="005B2E6A">
      <w:pPr>
        <w:spacing w:line="360" w:lineRule="auto"/>
        <w:ind w:firstLineChars="200" w:firstLine="480"/>
        <w:rPr>
          <w:rFonts w:ascii="宋体" w:hAnsi="宋体"/>
          <w:sz w:val="24"/>
        </w:rPr>
      </w:pPr>
      <w:r>
        <w:rPr>
          <w:rFonts w:ascii="宋体" w:hAnsi="宋体" w:hint="eastAsia"/>
          <w:sz w:val="24"/>
        </w:rPr>
        <w:t>4）证券出借的平均剩余期限不得超过30天，平均剩余期限按照市值加权平均计算；</w:t>
      </w:r>
    </w:p>
    <w:p w14:paraId="37230FB8" w14:textId="77777777" w:rsidR="00E82AF4" w:rsidRDefault="005B2E6A">
      <w:pPr>
        <w:spacing w:line="360" w:lineRule="auto"/>
        <w:ind w:firstLineChars="200" w:firstLine="480"/>
        <w:rPr>
          <w:rFonts w:ascii="宋体" w:hAnsi="宋体"/>
          <w:sz w:val="24"/>
        </w:rPr>
      </w:pPr>
      <w:r>
        <w:rPr>
          <w:rFonts w:ascii="宋体" w:hAnsi="宋体" w:hint="eastAsia"/>
          <w:sz w:val="24"/>
        </w:rPr>
        <w:t>（13）本基金参与股票期权交易，需遵守下列投资比例限制：</w:t>
      </w:r>
    </w:p>
    <w:p w14:paraId="4C32CD49" w14:textId="77777777" w:rsidR="00E82AF4" w:rsidRDefault="005B2E6A">
      <w:pPr>
        <w:spacing w:line="360" w:lineRule="auto"/>
        <w:ind w:firstLineChars="200" w:firstLine="480"/>
        <w:rPr>
          <w:rFonts w:ascii="宋体" w:hAnsi="宋体"/>
          <w:sz w:val="24"/>
        </w:rPr>
      </w:pPr>
      <w:r>
        <w:rPr>
          <w:rFonts w:ascii="宋体" w:hAnsi="宋体" w:hint="eastAsia"/>
          <w:sz w:val="24"/>
        </w:rPr>
        <w:t>因未平仓的股票期权合约支付和收取的权利金总额不得超过基金资产净值的10%；开仓卖出认购股票期权的，应持有足额标的证券；开仓卖出认沽股票期权的，应持有合约行权所需的全额现金或交易所规则认可的可冲抵股票期权保证金的现金等价物；未平仓的股票期权合约面值不得超过基金资产净值的20%。其中，合约面值按照行权价乘以合约乘数计算；</w:t>
      </w:r>
    </w:p>
    <w:p w14:paraId="3188E8CA" w14:textId="77777777" w:rsidR="00E82AF4" w:rsidRDefault="005B2E6A">
      <w:pPr>
        <w:spacing w:line="360" w:lineRule="auto"/>
        <w:ind w:firstLineChars="200" w:firstLine="480"/>
        <w:rPr>
          <w:rFonts w:ascii="宋体" w:hAnsi="宋体"/>
          <w:sz w:val="24"/>
        </w:rPr>
      </w:pPr>
      <w:r>
        <w:rPr>
          <w:rFonts w:ascii="宋体" w:hAnsi="宋体" w:hint="eastAsia"/>
          <w:sz w:val="24"/>
        </w:rPr>
        <w:t>（14）本基金参与国债期货交易，需遵守下列投资比例限制：</w:t>
      </w:r>
    </w:p>
    <w:p w14:paraId="3AEC05BA" w14:textId="77777777" w:rsidR="00E82AF4" w:rsidRDefault="005B2E6A">
      <w:pPr>
        <w:spacing w:line="360" w:lineRule="auto"/>
        <w:ind w:firstLineChars="200" w:firstLine="480"/>
        <w:rPr>
          <w:rFonts w:ascii="宋体" w:hAnsi="宋体"/>
          <w:sz w:val="24"/>
        </w:rPr>
      </w:pPr>
      <w:r>
        <w:rPr>
          <w:rFonts w:ascii="宋体" w:hAnsi="宋体" w:hint="eastAsia"/>
          <w:sz w:val="24"/>
        </w:rPr>
        <w:t>1）本基金在任何交易日日终，持有的买入国债期货合约价值，不得超过基金资产净值的15%；</w:t>
      </w:r>
    </w:p>
    <w:p w14:paraId="678A2AE0" w14:textId="77777777" w:rsidR="00E82AF4" w:rsidRDefault="005B2E6A">
      <w:pPr>
        <w:spacing w:line="360" w:lineRule="auto"/>
        <w:ind w:firstLineChars="200" w:firstLine="480"/>
        <w:rPr>
          <w:rFonts w:ascii="宋体" w:hAnsi="宋体"/>
          <w:sz w:val="24"/>
        </w:rPr>
      </w:pPr>
      <w:r>
        <w:rPr>
          <w:rFonts w:ascii="宋体" w:hAnsi="宋体" w:hint="eastAsia"/>
          <w:sz w:val="24"/>
        </w:rPr>
        <w:t>2）本基金在任何交易日日终，持有的卖出国债期货合约价值不得超过基金持有的债券总市值的30%；</w:t>
      </w:r>
    </w:p>
    <w:p w14:paraId="4CBED6C4" w14:textId="77777777" w:rsidR="00E82AF4" w:rsidRDefault="005B2E6A">
      <w:pPr>
        <w:spacing w:line="360" w:lineRule="auto"/>
        <w:ind w:firstLineChars="200" w:firstLine="480"/>
        <w:rPr>
          <w:rFonts w:ascii="宋体" w:hAnsi="宋体"/>
          <w:sz w:val="24"/>
        </w:rPr>
      </w:pPr>
      <w:r>
        <w:rPr>
          <w:rFonts w:ascii="宋体" w:hAnsi="宋体" w:hint="eastAsia"/>
          <w:sz w:val="24"/>
        </w:rPr>
        <w:t>3）本基金在任何交易日内交易（不包括平仓）的国债期货合约的成交金额不得超过上一交易日基金资产净值的30%；</w:t>
      </w:r>
    </w:p>
    <w:p w14:paraId="32710957" w14:textId="77777777" w:rsidR="00E82AF4" w:rsidRDefault="005B2E6A">
      <w:pPr>
        <w:spacing w:line="360" w:lineRule="auto"/>
        <w:ind w:firstLineChars="200" w:firstLine="480"/>
        <w:rPr>
          <w:rFonts w:ascii="宋体" w:hAnsi="宋体"/>
          <w:sz w:val="24"/>
        </w:rPr>
      </w:pPr>
      <w:r>
        <w:rPr>
          <w:rFonts w:ascii="宋体" w:hAnsi="宋体" w:hint="eastAsia"/>
          <w:sz w:val="24"/>
        </w:rPr>
        <w:t>4）本基金所持有的债券（不含到期日在一年以内的政府债券）市值和买入、卖出国债期货合约价值，合计（轧差计算）应当符合基金合同关于债券投资比例的有关约定；</w:t>
      </w:r>
    </w:p>
    <w:p w14:paraId="48DF2DAE" w14:textId="77777777" w:rsidR="00E82AF4" w:rsidRDefault="005B2E6A">
      <w:pPr>
        <w:spacing w:line="360" w:lineRule="auto"/>
        <w:ind w:firstLineChars="200" w:firstLine="480"/>
        <w:rPr>
          <w:rFonts w:ascii="宋体" w:hAnsi="宋体"/>
          <w:sz w:val="24"/>
        </w:rPr>
      </w:pPr>
      <w:r>
        <w:rPr>
          <w:rFonts w:ascii="宋体" w:hAnsi="宋体" w:hint="eastAsia"/>
          <w:sz w:val="24"/>
        </w:rPr>
        <w:t>（15）本基金参与股指期货或国债期货交易的，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w:t>
      </w:r>
    </w:p>
    <w:p w14:paraId="528E96E3" w14:textId="77777777" w:rsidR="00E82AF4" w:rsidRDefault="005B2E6A">
      <w:pPr>
        <w:spacing w:line="360" w:lineRule="auto"/>
        <w:ind w:firstLineChars="200" w:firstLine="480"/>
        <w:rPr>
          <w:rFonts w:ascii="宋体" w:hAnsi="宋体"/>
          <w:sz w:val="24"/>
        </w:rPr>
      </w:pPr>
      <w:r>
        <w:rPr>
          <w:rFonts w:ascii="宋体" w:hAnsi="宋体" w:hint="eastAsia"/>
          <w:sz w:val="24"/>
        </w:rPr>
        <w:t>（16）本基金投资存托凭证的比例限制依照境内上市交易的股票执行，与境内上市交易的股票合并计算；</w:t>
      </w:r>
    </w:p>
    <w:p w14:paraId="3A8756F0" w14:textId="77777777" w:rsidR="00E82AF4" w:rsidRDefault="005B2E6A">
      <w:pPr>
        <w:spacing w:line="360" w:lineRule="auto"/>
        <w:ind w:firstLineChars="200" w:firstLine="480"/>
        <w:rPr>
          <w:rFonts w:ascii="宋体" w:hAnsi="宋体"/>
          <w:sz w:val="24"/>
        </w:rPr>
      </w:pPr>
      <w:r>
        <w:rPr>
          <w:rFonts w:ascii="宋体" w:hAnsi="宋体" w:hint="eastAsia"/>
          <w:sz w:val="24"/>
        </w:rPr>
        <w:t>（17）法律法规及中国证监会规定的和基金合同约定的其他投资限制。</w:t>
      </w:r>
    </w:p>
    <w:p w14:paraId="09C9B81F" w14:textId="77777777" w:rsidR="00E82AF4" w:rsidRDefault="005B2E6A">
      <w:pPr>
        <w:spacing w:line="360" w:lineRule="auto"/>
        <w:ind w:firstLineChars="200" w:firstLine="480"/>
        <w:rPr>
          <w:rFonts w:ascii="宋体" w:hAnsi="宋体"/>
          <w:sz w:val="24"/>
        </w:rPr>
      </w:pPr>
      <w:r>
        <w:rPr>
          <w:rFonts w:ascii="宋体" w:hAnsi="宋体" w:hint="eastAsia"/>
          <w:sz w:val="24"/>
        </w:rPr>
        <w:t>除上述（8）、（9）、（10）、（12）项情形之外，因证券、期货市场波动、证券发行人合并、基金规模变动、标的指数成份股调整或价格变化、标的指数成</w:t>
      </w:r>
      <w:r>
        <w:rPr>
          <w:rFonts w:ascii="宋体" w:hAnsi="宋体" w:hint="eastAsia"/>
          <w:sz w:val="24"/>
        </w:rPr>
        <w:lastRenderedPageBreak/>
        <w:t>份股流动性限制等基金管理人之外的因素致使基金投资比例不符合上述规定投资比例的，基金管理人应当在可调整之日起10个交易日内进行调整，但中国证监会规定的特殊情形除外。因证券市场波动、上市公司合并、基金规模变动等基金管理人之外的因素致使基金投资不符合上述第（12）项规定的，基金管理人不得新增出借业务。法律法规另有规定的，从其规定。</w:t>
      </w:r>
    </w:p>
    <w:p w14:paraId="570F7001" w14:textId="77777777" w:rsidR="00E82AF4" w:rsidRDefault="005B2E6A">
      <w:pPr>
        <w:spacing w:line="360" w:lineRule="auto"/>
        <w:ind w:firstLineChars="200" w:firstLine="480"/>
        <w:rPr>
          <w:rFonts w:ascii="宋体" w:hAnsi="宋体"/>
          <w:sz w:val="24"/>
        </w:rPr>
      </w:pPr>
      <w:r>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710D4AFC" w14:textId="77777777" w:rsidR="00E82AF4" w:rsidRDefault="005B2E6A">
      <w:pPr>
        <w:spacing w:line="360" w:lineRule="auto"/>
        <w:ind w:firstLineChars="200" w:firstLine="480"/>
        <w:rPr>
          <w:rFonts w:ascii="宋体" w:hAnsi="宋体"/>
          <w:sz w:val="24"/>
        </w:rPr>
      </w:pPr>
      <w:r>
        <w:rPr>
          <w:rFonts w:ascii="宋体" w:hAnsi="宋体" w:hint="eastAsia"/>
          <w:sz w:val="24"/>
        </w:rPr>
        <w:t>如果法律法规或监管部门对上述投资组合比例限制进行变更的，基金管理人在履行适当程序后，可相应调整投资比例限制规定或按变更后的规定执行，不需经基金份额持有人大会审议。法律法规或监管部门取消上述限制，如适用于本基金，基金管理人在履行适当程序后，则本基金投资不再受相关限制。</w:t>
      </w:r>
    </w:p>
    <w:p w14:paraId="0B5FCB33" w14:textId="77777777" w:rsidR="00E82AF4" w:rsidRDefault="005B2E6A">
      <w:pPr>
        <w:spacing w:line="360" w:lineRule="auto"/>
        <w:ind w:firstLineChars="200" w:firstLine="480"/>
        <w:rPr>
          <w:rFonts w:ascii="宋体" w:hAnsi="宋体"/>
          <w:sz w:val="24"/>
        </w:rPr>
      </w:pPr>
      <w:r>
        <w:rPr>
          <w:rFonts w:ascii="宋体" w:hAnsi="宋体" w:hint="eastAsia"/>
          <w:sz w:val="24"/>
        </w:rPr>
        <w:t>2、禁止行为</w:t>
      </w:r>
    </w:p>
    <w:p w14:paraId="26811FB0" w14:textId="77777777" w:rsidR="00E82AF4" w:rsidRDefault="005B2E6A">
      <w:pPr>
        <w:spacing w:line="360" w:lineRule="auto"/>
        <w:ind w:firstLineChars="200" w:firstLine="480"/>
        <w:rPr>
          <w:rFonts w:ascii="宋体" w:hAnsi="宋体"/>
          <w:sz w:val="24"/>
        </w:rPr>
      </w:pPr>
      <w:r>
        <w:rPr>
          <w:rFonts w:ascii="宋体" w:hAnsi="宋体" w:hint="eastAsia"/>
          <w:sz w:val="24"/>
        </w:rPr>
        <w:t>为维护基金份额持有人的合法权益，基金财产不得用于下列投资或者活动：</w:t>
      </w:r>
    </w:p>
    <w:p w14:paraId="41AA4BA2" w14:textId="77777777" w:rsidR="00E82AF4" w:rsidRDefault="005B2E6A">
      <w:pPr>
        <w:spacing w:line="360" w:lineRule="auto"/>
        <w:ind w:firstLineChars="200" w:firstLine="480"/>
        <w:rPr>
          <w:rFonts w:ascii="宋体" w:hAnsi="宋体"/>
          <w:sz w:val="24"/>
        </w:rPr>
      </w:pPr>
      <w:r>
        <w:rPr>
          <w:rFonts w:ascii="宋体" w:hAnsi="宋体" w:hint="eastAsia"/>
          <w:sz w:val="24"/>
        </w:rPr>
        <w:t>（1）承销证券；</w:t>
      </w:r>
    </w:p>
    <w:p w14:paraId="1347D6A0" w14:textId="77777777" w:rsidR="00E82AF4" w:rsidRDefault="005B2E6A">
      <w:pPr>
        <w:spacing w:line="360" w:lineRule="auto"/>
        <w:ind w:firstLineChars="200" w:firstLine="480"/>
        <w:rPr>
          <w:rFonts w:ascii="宋体" w:hAnsi="宋体"/>
          <w:sz w:val="24"/>
        </w:rPr>
      </w:pPr>
      <w:r>
        <w:rPr>
          <w:rFonts w:ascii="宋体" w:hAnsi="宋体" w:hint="eastAsia"/>
          <w:sz w:val="24"/>
        </w:rPr>
        <w:t>（2）违反规定向他人贷款或者提供担保；</w:t>
      </w:r>
    </w:p>
    <w:p w14:paraId="23D8FF03" w14:textId="77777777" w:rsidR="00E82AF4" w:rsidRDefault="005B2E6A">
      <w:pPr>
        <w:spacing w:line="360" w:lineRule="auto"/>
        <w:ind w:firstLineChars="200" w:firstLine="480"/>
        <w:rPr>
          <w:rFonts w:ascii="宋体" w:hAnsi="宋体"/>
          <w:sz w:val="24"/>
        </w:rPr>
      </w:pPr>
      <w:r>
        <w:rPr>
          <w:rFonts w:ascii="宋体" w:hAnsi="宋体" w:hint="eastAsia"/>
          <w:sz w:val="24"/>
        </w:rPr>
        <w:t>（3）从事承担无限责任的投资；</w:t>
      </w:r>
    </w:p>
    <w:p w14:paraId="6D3A1201" w14:textId="77777777" w:rsidR="00E82AF4" w:rsidRDefault="005B2E6A">
      <w:pPr>
        <w:spacing w:line="360" w:lineRule="auto"/>
        <w:ind w:firstLineChars="200" w:firstLine="480"/>
        <w:rPr>
          <w:rFonts w:ascii="宋体" w:hAnsi="宋体"/>
          <w:sz w:val="24"/>
        </w:rPr>
      </w:pPr>
      <w:r>
        <w:rPr>
          <w:rFonts w:ascii="宋体" w:hAnsi="宋体" w:hint="eastAsia"/>
          <w:sz w:val="24"/>
        </w:rPr>
        <w:t>（4）买卖其他基金份额，但是中国证监会另有规定的除外；</w:t>
      </w:r>
    </w:p>
    <w:p w14:paraId="020EC900" w14:textId="77777777" w:rsidR="00E82AF4" w:rsidRDefault="005B2E6A">
      <w:pPr>
        <w:spacing w:line="360" w:lineRule="auto"/>
        <w:ind w:firstLineChars="200" w:firstLine="480"/>
        <w:rPr>
          <w:rFonts w:ascii="宋体" w:hAnsi="宋体"/>
          <w:sz w:val="24"/>
        </w:rPr>
      </w:pPr>
      <w:r>
        <w:rPr>
          <w:rFonts w:ascii="宋体" w:hAnsi="宋体" w:hint="eastAsia"/>
          <w:sz w:val="24"/>
        </w:rPr>
        <w:t>（5）向其基金管理人、基金托管人出资；</w:t>
      </w:r>
    </w:p>
    <w:p w14:paraId="15BB27A8" w14:textId="77777777" w:rsidR="00E82AF4" w:rsidRDefault="005B2E6A">
      <w:pPr>
        <w:spacing w:line="360" w:lineRule="auto"/>
        <w:ind w:firstLineChars="200" w:firstLine="480"/>
        <w:rPr>
          <w:rFonts w:ascii="宋体" w:hAnsi="宋体"/>
          <w:sz w:val="24"/>
        </w:rPr>
      </w:pPr>
      <w:r>
        <w:rPr>
          <w:rFonts w:ascii="宋体" w:hAnsi="宋体" w:hint="eastAsia"/>
          <w:sz w:val="24"/>
        </w:rPr>
        <w:t>（6）从事内幕交易、操纵证券交易价格及其他不正当的证券交易活动；</w:t>
      </w:r>
    </w:p>
    <w:p w14:paraId="09EBF85C" w14:textId="77777777" w:rsidR="00E82AF4" w:rsidRDefault="005B2E6A">
      <w:pPr>
        <w:spacing w:line="360" w:lineRule="auto"/>
        <w:ind w:firstLineChars="200" w:firstLine="480"/>
        <w:rPr>
          <w:rFonts w:ascii="宋体" w:hAnsi="宋体"/>
          <w:sz w:val="24"/>
        </w:rPr>
      </w:pPr>
      <w:r>
        <w:rPr>
          <w:rFonts w:ascii="宋体" w:hAnsi="宋体" w:hint="eastAsia"/>
          <w:sz w:val="24"/>
        </w:rPr>
        <w:t>（7）法律、行政法规和中国证监会规定禁止的其他活动。</w:t>
      </w:r>
    </w:p>
    <w:p w14:paraId="272EC38F" w14:textId="77777777" w:rsidR="00E82AF4" w:rsidRDefault="005B2E6A">
      <w:pPr>
        <w:spacing w:line="360" w:lineRule="auto"/>
        <w:ind w:firstLineChars="200" w:firstLine="480"/>
        <w:rPr>
          <w:rFonts w:ascii="宋体" w:hAnsi="宋体"/>
          <w:sz w:val="24"/>
        </w:rPr>
      </w:pP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0A38625"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法律、行政法规或监管部门取消或变更上述限制，如适用于本基金，基金管理人在履行适当程序后，则本基金投资不再受相关限制或按变更后的规定执行。</w:t>
      </w:r>
    </w:p>
    <w:p w14:paraId="59DB3222" w14:textId="77777777" w:rsidR="00E82AF4" w:rsidRDefault="005B2E6A">
      <w:pPr>
        <w:spacing w:line="360" w:lineRule="auto"/>
        <w:ind w:firstLineChars="200" w:firstLine="480"/>
        <w:rPr>
          <w:rFonts w:ascii="宋体" w:hAnsi="宋体"/>
          <w:sz w:val="24"/>
        </w:rPr>
      </w:pPr>
      <w:r>
        <w:rPr>
          <w:rFonts w:ascii="宋体" w:hAnsi="宋体" w:hint="eastAsia"/>
          <w:sz w:val="24"/>
        </w:rPr>
        <w:t>六、基金资产净值的计算方法和公告方式</w:t>
      </w:r>
    </w:p>
    <w:p w14:paraId="698EDC50" w14:textId="77777777" w:rsidR="00E82AF4" w:rsidRDefault="005B2E6A">
      <w:pPr>
        <w:spacing w:line="360" w:lineRule="auto"/>
        <w:ind w:firstLineChars="200" w:firstLine="480"/>
        <w:rPr>
          <w:rFonts w:ascii="宋体" w:hAnsi="宋体"/>
          <w:sz w:val="24"/>
        </w:rPr>
      </w:pPr>
      <w:r>
        <w:rPr>
          <w:rFonts w:ascii="宋体" w:hAnsi="宋体" w:hint="eastAsia"/>
          <w:sz w:val="24"/>
        </w:rPr>
        <w:t>1、基金份额净值是按照每个估值日闭市后，基金资产净值除以当日基金份额的余额数量计算，精确到0.0001元，小数点后第5位四舍五入。基金管理人可以设立大额赎回情形下的净值精度应急调整机制。国家另有规定的，从其规定。</w:t>
      </w:r>
    </w:p>
    <w:p w14:paraId="36432145" w14:textId="77777777" w:rsidR="00E82AF4" w:rsidRDefault="005B2E6A">
      <w:pPr>
        <w:spacing w:line="360" w:lineRule="auto"/>
        <w:ind w:firstLineChars="200" w:firstLine="480"/>
        <w:rPr>
          <w:rFonts w:ascii="宋体" w:hAnsi="宋体"/>
          <w:sz w:val="24"/>
        </w:rPr>
      </w:pPr>
      <w:r>
        <w:rPr>
          <w:rFonts w:ascii="宋体" w:hAnsi="宋体" w:hint="eastAsia"/>
          <w:sz w:val="24"/>
        </w:rPr>
        <w:t>基金管理人于每个估值日计算基金资产净值及基金份额净值，经基金托管人复核，并按规定公告。如遇特殊情况，经履行适当程序，可以适当延迟计算或公告。</w:t>
      </w:r>
    </w:p>
    <w:p w14:paraId="714AEFDF" w14:textId="77777777" w:rsidR="00E82AF4" w:rsidRDefault="005B2E6A">
      <w:pPr>
        <w:spacing w:line="360" w:lineRule="auto"/>
        <w:ind w:firstLineChars="200" w:firstLine="480"/>
        <w:rPr>
          <w:rFonts w:ascii="宋体" w:hAnsi="宋体"/>
          <w:sz w:val="24"/>
        </w:rPr>
      </w:pPr>
      <w:r>
        <w:rPr>
          <w:rFonts w:ascii="宋体" w:hAnsi="宋体" w:hint="eastAsia"/>
          <w:sz w:val="24"/>
        </w:rPr>
        <w:t>2、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按约定对外公布。</w:t>
      </w:r>
    </w:p>
    <w:p w14:paraId="2A5F7EC4" w14:textId="77777777" w:rsidR="00E82AF4" w:rsidRDefault="005B2E6A">
      <w:pPr>
        <w:spacing w:line="360" w:lineRule="auto"/>
        <w:ind w:firstLineChars="200" w:firstLine="480"/>
        <w:rPr>
          <w:rFonts w:ascii="宋体" w:hAnsi="宋体"/>
          <w:sz w:val="24"/>
        </w:rPr>
      </w:pPr>
      <w:r>
        <w:rPr>
          <w:rFonts w:ascii="宋体" w:hAnsi="宋体" w:hint="eastAsia"/>
          <w:sz w:val="24"/>
        </w:rPr>
        <w:t>七、基金合同解除和终止的事由、程序以及基金财产的清算方式</w:t>
      </w:r>
    </w:p>
    <w:p w14:paraId="7234261E" w14:textId="77777777" w:rsidR="00E82AF4" w:rsidRDefault="005B2E6A">
      <w:pPr>
        <w:spacing w:line="360" w:lineRule="auto"/>
        <w:ind w:firstLineChars="200" w:firstLine="480"/>
        <w:rPr>
          <w:rFonts w:ascii="宋体" w:hAnsi="宋体"/>
          <w:sz w:val="24"/>
        </w:rPr>
      </w:pPr>
      <w:r>
        <w:rPr>
          <w:rFonts w:ascii="宋体" w:hAnsi="宋体" w:hint="eastAsia"/>
          <w:sz w:val="24"/>
        </w:rPr>
        <w:t>（一）基金合同的变更</w:t>
      </w:r>
    </w:p>
    <w:p w14:paraId="396B8C90" w14:textId="77777777" w:rsidR="00E82AF4" w:rsidRDefault="005B2E6A">
      <w:pPr>
        <w:spacing w:line="360" w:lineRule="auto"/>
        <w:ind w:firstLineChars="200" w:firstLine="480"/>
        <w:rPr>
          <w:rFonts w:ascii="宋体" w:hAnsi="宋体"/>
          <w:sz w:val="24"/>
        </w:rPr>
      </w:pPr>
      <w:r>
        <w:rPr>
          <w:rFonts w:ascii="宋体" w:hAnsi="宋体" w:hint="eastAsia"/>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766F48D2" w14:textId="77777777" w:rsidR="00E82AF4" w:rsidRDefault="005B2E6A">
      <w:pPr>
        <w:spacing w:line="360" w:lineRule="auto"/>
        <w:ind w:firstLineChars="200" w:firstLine="480"/>
        <w:rPr>
          <w:rFonts w:ascii="宋体" w:hAnsi="宋体"/>
          <w:sz w:val="24"/>
        </w:rPr>
      </w:pPr>
      <w:r>
        <w:rPr>
          <w:rFonts w:ascii="宋体" w:hAnsi="宋体" w:hint="eastAsia"/>
          <w:sz w:val="24"/>
        </w:rPr>
        <w:t>2、关于基金合同变更的基金份额持有人大会决议自生效后方可执行，自决议生效后依照《信息披露办法》的有关规定在规定媒介公告。若法律法规发生变化，则以变化后的规定为准。</w:t>
      </w:r>
    </w:p>
    <w:p w14:paraId="355F9CD9" w14:textId="77777777" w:rsidR="00E82AF4" w:rsidRDefault="005B2E6A">
      <w:pPr>
        <w:spacing w:line="360" w:lineRule="auto"/>
        <w:ind w:firstLineChars="200" w:firstLine="480"/>
        <w:rPr>
          <w:rFonts w:ascii="宋体" w:hAnsi="宋体"/>
          <w:sz w:val="24"/>
        </w:rPr>
      </w:pPr>
      <w:r>
        <w:rPr>
          <w:rFonts w:ascii="宋体" w:hAnsi="宋体" w:hint="eastAsia"/>
          <w:sz w:val="24"/>
        </w:rPr>
        <w:t>（二）基金合同的终止事由</w:t>
      </w:r>
    </w:p>
    <w:p w14:paraId="6B592283" w14:textId="77777777" w:rsidR="00E82AF4" w:rsidRDefault="005B2E6A">
      <w:pPr>
        <w:spacing w:line="360" w:lineRule="auto"/>
        <w:ind w:firstLineChars="200" w:firstLine="480"/>
        <w:rPr>
          <w:rFonts w:ascii="宋体" w:hAnsi="宋体"/>
          <w:sz w:val="24"/>
        </w:rPr>
      </w:pPr>
      <w:r>
        <w:rPr>
          <w:rFonts w:ascii="宋体" w:hAnsi="宋体" w:hint="eastAsia"/>
          <w:sz w:val="24"/>
        </w:rPr>
        <w:t>有下列情形之一的，经履行相关程序后，基金合同应当终止：</w:t>
      </w:r>
    </w:p>
    <w:p w14:paraId="2696F552" w14:textId="77777777" w:rsidR="00E82AF4" w:rsidRDefault="005B2E6A">
      <w:pPr>
        <w:spacing w:line="360" w:lineRule="auto"/>
        <w:ind w:firstLineChars="200" w:firstLine="480"/>
        <w:rPr>
          <w:rFonts w:ascii="宋体" w:hAnsi="宋体"/>
          <w:sz w:val="24"/>
        </w:rPr>
      </w:pPr>
      <w:r>
        <w:rPr>
          <w:rFonts w:ascii="宋体" w:hAnsi="宋体" w:hint="eastAsia"/>
          <w:sz w:val="24"/>
        </w:rPr>
        <w:t>1、基金份额持有人大会决定终止的；</w:t>
      </w:r>
    </w:p>
    <w:p w14:paraId="3E5E8B08" w14:textId="77777777" w:rsidR="00E82AF4" w:rsidRDefault="005B2E6A">
      <w:pPr>
        <w:spacing w:line="360" w:lineRule="auto"/>
        <w:ind w:firstLineChars="200" w:firstLine="480"/>
        <w:rPr>
          <w:rFonts w:ascii="宋体" w:hAnsi="宋体"/>
          <w:sz w:val="24"/>
        </w:rPr>
      </w:pPr>
      <w:r>
        <w:rPr>
          <w:rFonts w:ascii="宋体" w:hAnsi="宋体" w:hint="eastAsia"/>
          <w:sz w:val="24"/>
        </w:rPr>
        <w:t>2、基金管理人、基金托管人职责终止，在6个月内没有新基金管理人、新基金托管人承接的；</w:t>
      </w:r>
    </w:p>
    <w:p w14:paraId="172F9BCF" w14:textId="77777777" w:rsidR="00E82AF4" w:rsidRDefault="005B2E6A">
      <w:pPr>
        <w:spacing w:line="360" w:lineRule="auto"/>
        <w:ind w:firstLineChars="200" w:firstLine="480"/>
        <w:rPr>
          <w:rFonts w:ascii="宋体" w:hAnsi="宋体"/>
          <w:sz w:val="24"/>
        </w:rPr>
      </w:pPr>
      <w:r>
        <w:rPr>
          <w:rFonts w:ascii="宋体" w:hAnsi="宋体" w:hint="eastAsia"/>
          <w:sz w:val="24"/>
        </w:rPr>
        <w:t>3、基金合同约定的其他情形；</w:t>
      </w:r>
    </w:p>
    <w:p w14:paraId="4BC9C8C1" w14:textId="77777777" w:rsidR="00E82AF4" w:rsidRDefault="005B2E6A">
      <w:pPr>
        <w:spacing w:line="360" w:lineRule="auto"/>
        <w:ind w:firstLineChars="200" w:firstLine="480"/>
        <w:rPr>
          <w:rFonts w:ascii="宋体" w:hAnsi="宋体"/>
          <w:sz w:val="24"/>
        </w:rPr>
      </w:pPr>
      <w:r>
        <w:rPr>
          <w:rFonts w:ascii="宋体" w:hAnsi="宋体" w:hint="eastAsia"/>
          <w:sz w:val="24"/>
        </w:rPr>
        <w:t>4、相关法律法规和中国证监会规定的其他情况。</w:t>
      </w:r>
    </w:p>
    <w:p w14:paraId="17866EA0" w14:textId="77777777" w:rsidR="00E82AF4" w:rsidRDefault="005B2E6A">
      <w:pPr>
        <w:spacing w:line="360" w:lineRule="auto"/>
        <w:ind w:firstLineChars="200" w:firstLine="480"/>
        <w:rPr>
          <w:rFonts w:ascii="宋体" w:hAnsi="宋体"/>
          <w:sz w:val="24"/>
        </w:rPr>
      </w:pPr>
      <w:r>
        <w:rPr>
          <w:rFonts w:ascii="宋体" w:hAnsi="宋体" w:hint="eastAsia"/>
          <w:sz w:val="24"/>
        </w:rPr>
        <w:lastRenderedPageBreak/>
        <w:t>（三）基金财产的清算</w:t>
      </w:r>
    </w:p>
    <w:p w14:paraId="46828B7E" w14:textId="77777777" w:rsidR="00E82AF4" w:rsidRDefault="005B2E6A">
      <w:pPr>
        <w:spacing w:line="360" w:lineRule="auto"/>
        <w:ind w:firstLineChars="200" w:firstLine="480"/>
        <w:rPr>
          <w:rFonts w:ascii="宋体" w:hAnsi="宋体"/>
          <w:sz w:val="24"/>
        </w:rPr>
      </w:pPr>
      <w:r>
        <w:rPr>
          <w:rFonts w:ascii="宋体" w:hAnsi="宋体" w:hint="eastAsia"/>
          <w:sz w:val="24"/>
        </w:rPr>
        <w:t>1、基金财产清算小组：基金合同终止事由出现后，基金管理人组织基金财产清算小组并在中国证监会的监督下进行基金清算。</w:t>
      </w:r>
    </w:p>
    <w:p w14:paraId="77E96F7B" w14:textId="77777777" w:rsidR="00E82AF4" w:rsidRDefault="005B2E6A">
      <w:pPr>
        <w:spacing w:line="360" w:lineRule="auto"/>
        <w:ind w:firstLineChars="200" w:firstLine="480"/>
        <w:rPr>
          <w:rFonts w:ascii="宋体" w:hAnsi="宋体"/>
          <w:sz w:val="24"/>
        </w:rPr>
      </w:pPr>
      <w:r>
        <w:rPr>
          <w:rFonts w:ascii="宋体" w:hAnsi="宋体" w:hint="eastAsia"/>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64C4FF76" w14:textId="77777777" w:rsidR="00E82AF4" w:rsidRDefault="005B2E6A">
      <w:pPr>
        <w:spacing w:line="360" w:lineRule="auto"/>
        <w:ind w:firstLineChars="200" w:firstLine="480"/>
        <w:rPr>
          <w:rFonts w:ascii="宋体" w:hAnsi="宋体"/>
          <w:sz w:val="24"/>
        </w:rPr>
      </w:pPr>
      <w:r>
        <w:rPr>
          <w:rFonts w:ascii="宋体" w:hAnsi="宋体" w:hint="eastAsia"/>
          <w:sz w:val="24"/>
        </w:rPr>
        <w:t>3、基金财产清算小组职责：基金财产清算小组负责基金财产的保管、清理、估价、变现和分配。基金财产清算小组可以依法进行必要的民事活动。</w:t>
      </w:r>
    </w:p>
    <w:p w14:paraId="10B3E3C5" w14:textId="77777777" w:rsidR="00E82AF4" w:rsidRDefault="005B2E6A">
      <w:pPr>
        <w:spacing w:line="360" w:lineRule="auto"/>
        <w:ind w:firstLineChars="200" w:firstLine="480"/>
        <w:rPr>
          <w:rFonts w:ascii="宋体" w:hAnsi="宋体"/>
          <w:sz w:val="24"/>
        </w:rPr>
      </w:pPr>
      <w:r>
        <w:rPr>
          <w:rFonts w:ascii="宋体" w:hAnsi="宋体" w:hint="eastAsia"/>
          <w:sz w:val="24"/>
        </w:rPr>
        <w:t>4、基金财产清算程序：</w:t>
      </w:r>
    </w:p>
    <w:p w14:paraId="78EC46B0" w14:textId="77777777" w:rsidR="00E82AF4" w:rsidRDefault="005B2E6A">
      <w:pPr>
        <w:spacing w:line="360" w:lineRule="auto"/>
        <w:ind w:firstLineChars="200" w:firstLine="480"/>
        <w:rPr>
          <w:rFonts w:ascii="宋体" w:hAnsi="宋体"/>
          <w:sz w:val="24"/>
        </w:rPr>
      </w:pPr>
      <w:r>
        <w:rPr>
          <w:rFonts w:ascii="宋体" w:hAnsi="宋体" w:hint="eastAsia"/>
          <w:sz w:val="24"/>
        </w:rPr>
        <w:t>（1）基金合同终止情形出现时，由基金财产清算小组统一接管基金；</w:t>
      </w:r>
    </w:p>
    <w:p w14:paraId="1BCF8634" w14:textId="77777777" w:rsidR="00E82AF4" w:rsidRDefault="005B2E6A">
      <w:pPr>
        <w:spacing w:line="360" w:lineRule="auto"/>
        <w:ind w:firstLineChars="200" w:firstLine="480"/>
        <w:rPr>
          <w:rFonts w:ascii="宋体" w:hAnsi="宋体"/>
          <w:sz w:val="24"/>
        </w:rPr>
      </w:pPr>
      <w:r>
        <w:rPr>
          <w:rFonts w:ascii="宋体" w:hAnsi="宋体" w:hint="eastAsia"/>
          <w:sz w:val="24"/>
        </w:rPr>
        <w:t>（2）对基金财产和债权债务进行清理和确认；</w:t>
      </w:r>
    </w:p>
    <w:p w14:paraId="4384338B" w14:textId="77777777" w:rsidR="00E82AF4" w:rsidRDefault="005B2E6A">
      <w:pPr>
        <w:spacing w:line="360" w:lineRule="auto"/>
        <w:ind w:firstLineChars="200" w:firstLine="480"/>
        <w:rPr>
          <w:rFonts w:ascii="宋体" w:hAnsi="宋体"/>
          <w:sz w:val="24"/>
        </w:rPr>
      </w:pPr>
      <w:r>
        <w:rPr>
          <w:rFonts w:ascii="宋体" w:hAnsi="宋体" w:hint="eastAsia"/>
          <w:sz w:val="24"/>
        </w:rPr>
        <w:t>（3）对基金财产进行估值和变现；</w:t>
      </w:r>
    </w:p>
    <w:p w14:paraId="32D0FD40" w14:textId="77777777" w:rsidR="00E82AF4" w:rsidRDefault="005B2E6A">
      <w:pPr>
        <w:spacing w:line="360" w:lineRule="auto"/>
        <w:ind w:firstLineChars="200" w:firstLine="480"/>
        <w:rPr>
          <w:rFonts w:ascii="宋体" w:hAnsi="宋体"/>
          <w:sz w:val="24"/>
        </w:rPr>
      </w:pPr>
      <w:r>
        <w:rPr>
          <w:rFonts w:ascii="宋体" w:hAnsi="宋体" w:hint="eastAsia"/>
          <w:sz w:val="24"/>
        </w:rPr>
        <w:t>（4）制作清算报告；</w:t>
      </w:r>
    </w:p>
    <w:p w14:paraId="28B99A55" w14:textId="77777777" w:rsidR="00E82AF4" w:rsidRDefault="005B2E6A">
      <w:pPr>
        <w:spacing w:line="360" w:lineRule="auto"/>
        <w:ind w:firstLineChars="200" w:firstLine="480"/>
        <w:rPr>
          <w:rFonts w:ascii="宋体" w:hAnsi="宋体"/>
          <w:sz w:val="24"/>
        </w:rPr>
      </w:pPr>
      <w:r>
        <w:rPr>
          <w:rFonts w:ascii="宋体" w:hAnsi="宋体" w:hint="eastAsia"/>
          <w:sz w:val="24"/>
        </w:rPr>
        <w:t>（5）聘请会计师事务所对清算报告进行外部审计，聘请律师事务所对清算报告出具法律意见书；</w:t>
      </w:r>
    </w:p>
    <w:p w14:paraId="70B12795" w14:textId="77777777" w:rsidR="00E82AF4" w:rsidRDefault="005B2E6A">
      <w:pPr>
        <w:spacing w:line="360" w:lineRule="auto"/>
        <w:ind w:firstLineChars="200" w:firstLine="480"/>
        <w:rPr>
          <w:rFonts w:ascii="宋体" w:hAnsi="宋体"/>
          <w:sz w:val="24"/>
        </w:rPr>
      </w:pPr>
      <w:r>
        <w:rPr>
          <w:rFonts w:ascii="宋体" w:hAnsi="宋体" w:hint="eastAsia"/>
          <w:sz w:val="24"/>
        </w:rPr>
        <w:t>（6）将清算报告报中国证监会备案并公告；</w:t>
      </w:r>
    </w:p>
    <w:p w14:paraId="3B1508FC" w14:textId="77777777" w:rsidR="00E82AF4" w:rsidRDefault="005B2E6A">
      <w:pPr>
        <w:spacing w:line="360" w:lineRule="auto"/>
        <w:ind w:firstLineChars="200" w:firstLine="480"/>
        <w:rPr>
          <w:rFonts w:ascii="宋体" w:hAnsi="宋体"/>
          <w:sz w:val="24"/>
        </w:rPr>
      </w:pPr>
      <w:r>
        <w:rPr>
          <w:rFonts w:ascii="宋体" w:hAnsi="宋体" w:hint="eastAsia"/>
          <w:sz w:val="24"/>
        </w:rPr>
        <w:t>（7）对基金剩余财产进行分配。</w:t>
      </w:r>
    </w:p>
    <w:p w14:paraId="407785D1" w14:textId="77777777" w:rsidR="00E82AF4" w:rsidRDefault="005B2E6A">
      <w:pPr>
        <w:spacing w:line="360" w:lineRule="auto"/>
        <w:ind w:firstLineChars="200" w:firstLine="480"/>
        <w:rPr>
          <w:rFonts w:ascii="宋体" w:hAnsi="宋体"/>
          <w:sz w:val="24"/>
        </w:rPr>
      </w:pPr>
      <w:r>
        <w:rPr>
          <w:rFonts w:ascii="宋体" w:hAnsi="宋体" w:hint="eastAsia"/>
          <w:sz w:val="24"/>
        </w:rPr>
        <w:t>5、基金财产清算的期限为6个月，但因本基金所持证券的流动性受到限制而不能及时变现的，清算期限相应顺延。</w:t>
      </w:r>
    </w:p>
    <w:p w14:paraId="6469CB54" w14:textId="77777777" w:rsidR="00E82AF4" w:rsidRDefault="005B2E6A">
      <w:pPr>
        <w:spacing w:line="360" w:lineRule="auto"/>
        <w:ind w:firstLineChars="200" w:firstLine="480"/>
        <w:rPr>
          <w:rFonts w:ascii="宋体" w:hAnsi="宋体"/>
          <w:sz w:val="24"/>
        </w:rPr>
      </w:pPr>
      <w:r>
        <w:rPr>
          <w:rFonts w:ascii="宋体" w:hAnsi="宋体" w:hint="eastAsia"/>
          <w:sz w:val="24"/>
        </w:rPr>
        <w:t>（四）清算费用</w:t>
      </w:r>
    </w:p>
    <w:p w14:paraId="65F4DF8F" w14:textId="77777777" w:rsidR="00E82AF4" w:rsidRDefault="005B2E6A">
      <w:pPr>
        <w:spacing w:line="360" w:lineRule="auto"/>
        <w:ind w:firstLineChars="200" w:firstLine="480"/>
        <w:rPr>
          <w:rFonts w:ascii="宋体" w:hAnsi="宋体"/>
          <w:sz w:val="24"/>
        </w:rPr>
      </w:pPr>
      <w:r>
        <w:rPr>
          <w:rFonts w:ascii="宋体" w:hAnsi="宋体" w:hint="eastAsia"/>
          <w:sz w:val="24"/>
        </w:rPr>
        <w:t>清算费用是指基金财产清算小组在进行基金财产清算过程中发生的所有合理费用，清算费用由基金财产清算小组优先从基金剩余财产中支付。</w:t>
      </w:r>
    </w:p>
    <w:p w14:paraId="2499CF6E" w14:textId="77777777" w:rsidR="00E82AF4" w:rsidRDefault="005B2E6A">
      <w:pPr>
        <w:spacing w:line="360" w:lineRule="auto"/>
        <w:ind w:firstLineChars="200" w:firstLine="480"/>
        <w:rPr>
          <w:rFonts w:ascii="宋体" w:hAnsi="宋体"/>
          <w:sz w:val="24"/>
        </w:rPr>
      </w:pPr>
      <w:r>
        <w:rPr>
          <w:rFonts w:ascii="宋体" w:hAnsi="宋体" w:hint="eastAsia"/>
          <w:sz w:val="24"/>
        </w:rPr>
        <w:t>（五）基金财产清算剩余资产的分配</w:t>
      </w:r>
    </w:p>
    <w:p w14:paraId="0092663E" w14:textId="77777777" w:rsidR="00E82AF4" w:rsidRDefault="005B2E6A">
      <w:pPr>
        <w:spacing w:line="360" w:lineRule="auto"/>
        <w:ind w:firstLineChars="200" w:firstLine="480"/>
        <w:rPr>
          <w:rFonts w:ascii="宋体" w:hAnsi="宋体"/>
          <w:sz w:val="24"/>
        </w:rPr>
      </w:pPr>
      <w:r>
        <w:rPr>
          <w:rFonts w:ascii="宋体" w:hAnsi="宋体" w:hint="eastAsia"/>
          <w:sz w:val="24"/>
        </w:rPr>
        <w:t>依据基金财产清算的分配方案，将基金财产清算后的全部剩余资产扣除基金财产清算费用、交纳所欠税款并清偿基金债务后，按基金份额持有人持有的基金份额比例进行分配。</w:t>
      </w:r>
    </w:p>
    <w:p w14:paraId="3F92CA02" w14:textId="77777777" w:rsidR="00E82AF4" w:rsidRDefault="005B2E6A">
      <w:pPr>
        <w:spacing w:line="360" w:lineRule="auto"/>
        <w:ind w:firstLineChars="200" w:firstLine="480"/>
        <w:rPr>
          <w:rFonts w:ascii="宋体" w:hAnsi="宋体"/>
          <w:sz w:val="24"/>
        </w:rPr>
      </w:pPr>
      <w:r>
        <w:rPr>
          <w:rFonts w:ascii="宋体" w:hAnsi="宋体" w:hint="eastAsia"/>
          <w:sz w:val="24"/>
        </w:rPr>
        <w:t>（六）基金财产清算的公告</w:t>
      </w:r>
    </w:p>
    <w:p w14:paraId="223D84D0" w14:textId="77777777" w:rsidR="00E82AF4" w:rsidRDefault="005B2E6A">
      <w:pPr>
        <w:spacing w:line="360" w:lineRule="auto"/>
        <w:ind w:firstLineChars="200" w:firstLine="480"/>
        <w:rPr>
          <w:rFonts w:ascii="宋体" w:hAnsi="宋体"/>
          <w:sz w:val="24"/>
        </w:rPr>
      </w:pPr>
      <w:r>
        <w:rPr>
          <w:rFonts w:ascii="宋体" w:hAnsi="宋体" w:hint="eastAsia"/>
          <w:sz w:val="24"/>
        </w:rPr>
        <w:t>清算过程中的有关重大事项须及时公告；基金财产清算报告经符合《中华人民共和国证券法》规定的会计师事务所审计，律师事务所出具法律意见书后，由</w:t>
      </w:r>
      <w:r>
        <w:rPr>
          <w:rFonts w:ascii="宋体" w:hAnsi="宋体" w:hint="eastAsia"/>
          <w:sz w:val="24"/>
        </w:rPr>
        <w:lastRenderedPageBreak/>
        <w:t>基金财产清算小组报中国证监会备案并公告，基金财产清算小组应当将清算报告登载在规定网站上，并将清算报告提示性公告登载在规定报刊上。</w:t>
      </w:r>
    </w:p>
    <w:p w14:paraId="0DE848EB" w14:textId="77777777" w:rsidR="00E82AF4" w:rsidRDefault="005B2E6A">
      <w:pPr>
        <w:spacing w:line="360" w:lineRule="auto"/>
        <w:ind w:firstLineChars="200" w:firstLine="480"/>
        <w:rPr>
          <w:rFonts w:ascii="宋体" w:hAnsi="宋体"/>
          <w:sz w:val="24"/>
        </w:rPr>
      </w:pPr>
      <w:r>
        <w:rPr>
          <w:rFonts w:ascii="宋体" w:hAnsi="宋体" w:hint="eastAsia"/>
          <w:sz w:val="24"/>
        </w:rPr>
        <w:t>（七）基金财产清算账册及文件的保存</w:t>
      </w:r>
    </w:p>
    <w:p w14:paraId="4F679F93" w14:textId="4D7EF251" w:rsidR="00E82AF4" w:rsidRDefault="005B2E6A">
      <w:pPr>
        <w:spacing w:line="360" w:lineRule="auto"/>
        <w:ind w:firstLineChars="200" w:firstLine="480"/>
        <w:rPr>
          <w:rFonts w:ascii="宋体" w:hAnsi="宋体"/>
          <w:sz w:val="24"/>
        </w:rPr>
      </w:pPr>
      <w:r>
        <w:rPr>
          <w:rFonts w:ascii="宋体" w:hAnsi="宋体" w:hint="eastAsia"/>
          <w:sz w:val="24"/>
        </w:rPr>
        <w:t>基金财产清算账册及有关文件由基金托管人保存，保存期限按照法律法规的规定执行。</w:t>
      </w:r>
    </w:p>
    <w:p w14:paraId="264D2CA0" w14:textId="77777777" w:rsidR="00E82AF4" w:rsidRDefault="005B2E6A">
      <w:pPr>
        <w:spacing w:line="360" w:lineRule="auto"/>
        <w:ind w:firstLineChars="200" w:firstLine="480"/>
        <w:rPr>
          <w:rFonts w:ascii="宋体" w:hAnsi="宋体"/>
          <w:sz w:val="24"/>
        </w:rPr>
      </w:pPr>
      <w:r>
        <w:rPr>
          <w:rFonts w:ascii="宋体" w:hAnsi="宋体" w:hint="eastAsia"/>
          <w:sz w:val="24"/>
        </w:rPr>
        <w:t>八、争议解决方式</w:t>
      </w:r>
    </w:p>
    <w:p w14:paraId="22D3800E" w14:textId="77777777" w:rsidR="00E82AF4" w:rsidRDefault="005B2E6A">
      <w:pPr>
        <w:spacing w:line="360" w:lineRule="auto"/>
        <w:ind w:firstLineChars="200" w:firstLine="480"/>
        <w:rPr>
          <w:rFonts w:ascii="宋体" w:hAnsi="宋体"/>
          <w:sz w:val="24"/>
        </w:rPr>
      </w:pPr>
      <w:r>
        <w:rPr>
          <w:rFonts w:ascii="宋体" w:hAnsi="宋体" w:hint="eastAsia"/>
          <w:sz w:val="24"/>
        </w:rPr>
        <w:t>对于因基金合同的订立、内容、履行和解释或与基金合同有关的争议，基金合同当事人应尽量通过协商、调解途径解决。不愿或者不能通过协商、调解解决的，任何一方均有权将争议提交中国国际经济贸易仲裁委员会，仲裁地点为北京市，按照中国国际经济贸易仲裁委员会届时有效的仲裁规则进行仲裁。仲裁裁决是终局的，对各方当事人均有约束力。仲裁费由败诉方承担，除非仲裁裁决另有决定。</w:t>
      </w:r>
    </w:p>
    <w:p w14:paraId="7A9F167F" w14:textId="77777777" w:rsidR="00E82AF4" w:rsidRDefault="005B2E6A">
      <w:pPr>
        <w:spacing w:line="360" w:lineRule="auto"/>
        <w:ind w:firstLineChars="200" w:firstLine="480"/>
        <w:rPr>
          <w:rFonts w:ascii="宋体" w:hAnsi="宋体"/>
          <w:sz w:val="24"/>
        </w:rPr>
      </w:pPr>
      <w:r>
        <w:rPr>
          <w:rFonts w:ascii="宋体" w:hAnsi="宋体" w:hint="eastAsia"/>
          <w:sz w:val="24"/>
        </w:rPr>
        <w:t>争议处理期间，基金管理人和基金托管人应恪守各自的职责，继续忠实、勤勉、尽责地履行基金合同约定的义务，维护基金份额持有人的合法权益。</w:t>
      </w:r>
    </w:p>
    <w:p w14:paraId="47F0A824" w14:textId="77777777" w:rsidR="00E82AF4" w:rsidRDefault="005B2E6A">
      <w:pPr>
        <w:spacing w:line="360" w:lineRule="auto"/>
        <w:ind w:firstLineChars="200" w:firstLine="480"/>
        <w:rPr>
          <w:rFonts w:ascii="宋体" w:hAnsi="宋体"/>
          <w:sz w:val="24"/>
        </w:rPr>
      </w:pPr>
      <w:r>
        <w:rPr>
          <w:rFonts w:ascii="宋体" w:hAnsi="宋体" w:hint="eastAsia"/>
          <w:sz w:val="24"/>
        </w:rPr>
        <w:t>本基金合同受中国法律（为本基金合同之目的，不包括香港特别行政区、澳门特别行政区和台湾地区法律）管辖，并按其解释。</w:t>
      </w:r>
    </w:p>
    <w:p w14:paraId="1949D48C" w14:textId="77777777" w:rsidR="00E82AF4" w:rsidRDefault="005B2E6A">
      <w:pPr>
        <w:spacing w:line="360" w:lineRule="auto"/>
        <w:ind w:firstLineChars="200" w:firstLine="480"/>
        <w:rPr>
          <w:rFonts w:ascii="宋体" w:hAnsi="宋体"/>
          <w:sz w:val="24"/>
        </w:rPr>
      </w:pPr>
      <w:r>
        <w:rPr>
          <w:rFonts w:ascii="宋体" w:hAnsi="宋体" w:hint="eastAsia"/>
          <w:sz w:val="24"/>
        </w:rPr>
        <w:t>九、基金合同存放地和投资人取得合同的方式</w:t>
      </w:r>
    </w:p>
    <w:p w14:paraId="35F5A01B" w14:textId="77777777" w:rsidR="00E82AF4" w:rsidRDefault="005B2E6A">
      <w:pPr>
        <w:spacing w:line="360" w:lineRule="auto"/>
        <w:ind w:firstLineChars="200" w:firstLine="480"/>
        <w:rPr>
          <w:rFonts w:ascii="宋体" w:hAnsi="宋体"/>
          <w:sz w:val="24"/>
        </w:rPr>
      </w:pPr>
      <w:r>
        <w:rPr>
          <w:rFonts w:ascii="宋体" w:hAnsi="宋体" w:hint="eastAsia"/>
          <w:sz w:val="24"/>
        </w:rPr>
        <w:t>基金合同可印制成册，供投资人在基金管理人、基金托管人、销售机构的办公场所和营业场所查阅。</w:t>
      </w:r>
    </w:p>
    <w:p w14:paraId="16983B1B" w14:textId="77777777" w:rsidR="00E82AF4" w:rsidRDefault="005B2E6A">
      <w:pPr>
        <w:widowControl/>
        <w:jc w:val="left"/>
      </w:pPr>
      <w:r>
        <w:br w:type="page"/>
      </w:r>
    </w:p>
    <w:bookmarkEnd w:id="174"/>
    <w:p w14:paraId="6E6D0EBE" w14:textId="05830712" w:rsidR="00E82AF4" w:rsidRDefault="005B2E6A">
      <w:pPr>
        <w:autoSpaceDE w:val="0"/>
        <w:autoSpaceDN w:val="0"/>
        <w:adjustRightInd w:val="0"/>
        <w:snapToGrid w:val="0"/>
        <w:spacing w:line="360" w:lineRule="auto"/>
        <w:jc w:val="left"/>
        <w:rPr>
          <w:sz w:val="24"/>
        </w:rPr>
      </w:pPr>
      <w:r>
        <w:rPr>
          <w:rFonts w:hint="eastAsia"/>
          <w:sz w:val="24"/>
        </w:rPr>
        <w:lastRenderedPageBreak/>
        <w:t>（本页为</w:t>
      </w:r>
      <w:r>
        <w:rPr>
          <w:rFonts w:hint="eastAsia"/>
          <w:bCs/>
          <w:sz w:val="24"/>
          <w:szCs w:val="24"/>
        </w:rPr>
        <w:t>《</w:t>
      </w:r>
      <w:r>
        <w:rPr>
          <w:rFonts w:ascii="宋体" w:hAnsi="宋体" w:cs="Arial" w:hint="eastAsia"/>
          <w:sz w:val="24"/>
          <w:szCs w:val="24"/>
        </w:rPr>
        <w:t>银华中证全指红利质量交易型开放式指数证券投资基金基金合同</w:t>
      </w:r>
      <w:r>
        <w:rPr>
          <w:rFonts w:hint="eastAsia"/>
          <w:bCs/>
          <w:sz w:val="24"/>
          <w:szCs w:val="24"/>
        </w:rPr>
        <w:t>》</w:t>
      </w:r>
      <w:r>
        <w:rPr>
          <w:rFonts w:hint="eastAsia"/>
          <w:sz w:val="24"/>
        </w:rPr>
        <w:t>签署页，无正文）</w:t>
      </w:r>
    </w:p>
    <w:p w14:paraId="3CCC3A8D" w14:textId="77777777" w:rsidR="00E82AF4" w:rsidRDefault="005B2E6A">
      <w:pPr>
        <w:tabs>
          <w:tab w:val="left" w:pos="2902"/>
        </w:tabs>
        <w:autoSpaceDE w:val="0"/>
        <w:autoSpaceDN w:val="0"/>
        <w:adjustRightInd w:val="0"/>
        <w:snapToGrid w:val="0"/>
        <w:spacing w:line="360" w:lineRule="auto"/>
        <w:jc w:val="left"/>
        <w:rPr>
          <w:b/>
          <w:bCs/>
          <w:sz w:val="24"/>
          <w:szCs w:val="24"/>
        </w:rPr>
      </w:pPr>
      <w:r>
        <w:rPr>
          <w:rFonts w:hint="eastAsia"/>
          <w:b/>
          <w:bCs/>
          <w:sz w:val="24"/>
          <w:szCs w:val="24"/>
        </w:rPr>
        <w:tab/>
      </w:r>
    </w:p>
    <w:p w14:paraId="4F72A099" w14:textId="77777777" w:rsidR="00E82AF4" w:rsidRDefault="00E82AF4">
      <w:pPr>
        <w:autoSpaceDE w:val="0"/>
        <w:autoSpaceDN w:val="0"/>
        <w:adjustRightInd w:val="0"/>
        <w:snapToGrid w:val="0"/>
        <w:spacing w:line="360" w:lineRule="auto"/>
        <w:jc w:val="left"/>
        <w:rPr>
          <w:b/>
          <w:bCs/>
          <w:sz w:val="24"/>
          <w:szCs w:val="24"/>
        </w:rPr>
      </w:pPr>
    </w:p>
    <w:p w14:paraId="3F294FD5" w14:textId="77777777" w:rsidR="00E82AF4" w:rsidRDefault="00E82AF4">
      <w:pPr>
        <w:autoSpaceDE w:val="0"/>
        <w:autoSpaceDN w:val="0"/>
        <w:adjustRightInd w:val="0"/>
        <w:snapToGrid w:val="0"/>
        <w:spacing w:line="360" w:lineRule="auto"/>
        <w:jc w:val="left"/>
        <w:rPr>
          <w:sz w:val="24"/>
        </w:rPr>
      </w:pPr>
    </w:p>
    <w:p w14:paraId="443ECC27" w14:textId="77777777" w:rsidR="00E82AF4" w:rsidRDefault="00E82AF4">
      <w:pPr>
        <w:autoSpaceDE w:val="0"/>
        <w:autoSpaceDN w:val="0"/>
        <w:adjustRightInd w:val="0"/>
        <w:snapToGrid w:val="0"/>
        <w:spacing w:line="360" w:lineRule="auto"/>
        <w:jc w:val="left"/>
        <w:rPr>
          <w:sz w:val="24"/>
        </w:rPr>
      </w:pPr>
    </w:p>
    <w:p w14:paraId="0E409381" w14:textId="77777777" w:rsidR="00E82AF4" w:rsidRDefault="005B2E6A">
      <w:pPr>
        <w:autoSpaceDE w:val="0"/>
        <w:autoSpaceDN w:val="0"/>
        <w:adjustRightInd w:val="0"/>
        <w:snapToGrid w:val="0"/>
        <w:spacing w:line="360" w:lineRule="auto"/>
        <w:jc w:val="left"/>
        <w:rPr>
          <w:sz w:val="24"/>
        </w:rPr>
      </w:pPr>
      <w:r>
        <w:rPr>
          <w:rFonts w:hint="eastAsia"/>
          <w:sz w:val="24"/>
        </w:rPr>
        <w:t>基金管理人：银华基金管理股份有限公司</w:t>
      </w:r>
    </w:p>
    <w:p w14:paraId="099B9632" w14:textId="77777777" w:rsidR="00E82AF4" w:rsidRDefault="00E82AF4">
      <w:pPr>
        <w:autoSpaceDE w:val="0"/>
        <w:autoSpaceDN w:val="0"/>
        <w:adjustRightInd w:val="0"/>
        <w:snapToGrid w:val="0"/>
        <w:spacing w:line="360" w:lineRule="auto"/>
        <w:jc w:val="left"/>
        <w:rPr>
          <w:sz w:val="24"/>
        </w:rPr>
      </w:pPr>
    </w:p>
    <w:p w14:paraId="7319A17F" w14:textId="77777777" w:rsidR="00E82AF4" w:rsidRDefault="00E82AF4">
      <w:pPr>
        <w:autoSpaceDE w:val="0"/>
        <w:autoSpaceDN w:val="0"/>
        <w:adjustRightInd w:val="0"/>
        <w:snapToGrid w:val="0"/>
        <w:spacing w:line="360" w:lineRule="auto"/>
        <w:jc w:val="left"/>
        <w:rPr>
          <w:sz w:val="24"/>
        </w:rPr>
      </w:pPr>
    </w:p>
    <w:p w14:paraId="4343DE19" w14:textId="77777777" w:rsidR="00E82AF4" w:rsidRDefault="005B2E6A">
      <w:pPr>
        <w:pStyle w:val="HD0"/>
        <w:ind w:firstLineChars="0" w:firstLine="0"/>
        <w:rPr>
          <w:sz w:val="24"/>
        </w:rPr>
      </w:pPr>
      <w:r>
        <w:rPr>
          <w:rFonts w:hint="eastAsia"/>
          <w:sz w:val="24"/>
        </w:rPr>
        <w:t>法定代表人或授权</w:t>
      </w:r>
      <w:r>
        <w:rPr>
          <w:rFonts w:ascii="宋体" w:hAnsi="宋体" w:hint="eastAsia"/>
          <w:bCs/>
          <w:sz w:val="24"/>
          <w:szCs w:val="24"/>
        </w:rPr>
        <w:t>代表</w:t>
      </w:r>
      <w:r>
        <w:rPr>
          <w:rFonts w:hint="eastAsia"/>
          <w:sz w:val="24"/>
        </w:rPr>
        <w:t>：</w:t>
      </w:r>
    </w:p>
    <w:p w14:paraId="4E45C4A2" w14:textId="77777777" w:rsidR="00E82AF4" w:rsidRDefault="00E82AF4">
      <w:pPr>
        <w:autoSpaceDE w:val="0"/>
        <w:autoSpaceDN w:val="0"/>
        <w:adjustRightInd w:val="0"/>
        <w:snapToGrid w:val="0"/>
        <w:spacing w:line="360" w:lineRule="auto"/>
        <w:jc w:val="left"/>
        <w:rPr>
          <w:sz w:val="24"/>
        </w:rPr>
      </w:pPr>
    </w:p>
    <w:p w14:paraId="1A5E856E" w14:textId="77777777" w:rsidR="00E82AF4" w:rsidRDefault="00E82AF4">
      <w:pPr>
        <w:pStyle w:val="HD0"/>
        <w:ind w:firstLine="480"/>
        <w:rPr>
          <w:rFonts w:ascii="宋体" w:hAnsi="宋体"/>
          <w:sz w:val="24"/>
        </w:rPr>
      </w:pPr>
    </w:p>
    <w:p w14:paraId="49A1CBF7" w14:textId="77777777" w:rsidR="00E82AF4" w:rsidRDefault="005B2E6A">
      <w:pPr>
        <w:pStyle w:val="HD0"/>
        <w:ind w:firstLineChars="0" w:firstLine="0"/>
        <w:rPr>
          <w:rFonts w:ascii="宋体" w:hAnsi="宋体"/>
          <w:bCs/>
          <w:sz w:val="24"/>
          <w:szCs w:val="24"/>
        </w:rPr>
      </w:pPr>
      <w:r>
        <w:rPr>
          <w:rFonts w:ascii="宋体" w:hAnsi="宋体" w:hint="eastAsia"/>
          <w:bCs/>
          <w:sz w:val="24"/>
          <w:szCs w:val="24"/>
        </w:rPr>
        <w:t>签订日：</w:t>
      </w:r>
    </w:p>
    <w:p w14:paraId="12C87B14" w14:textId="77777777" w:rsidR="00E82AF4" w:rsidRDefault="005B2E6A">
      <w:pPr>
        <w:pStyle w:val="HD0"/>
        <w:ind w:firstLineChars="0" w:firstLine="0"/>
        <w:rPr>
          <w:rFonts w:ascii="宋体" w:hAnsi="宋体"/>
          <w:bCs/>
          <w:sz w:val="24"/>
          <w:szCs w:val="24"/>
        </w:rPr>
      </w:pPr>
      <w:r>
        <w:rPr>
          <w:rFonts w:ascii="宋体" w:hAnsi="宋体" w:hint="eastAsia"/>
          <w:bCs/>
          <w:sz w:val="24"/>
          <w:szCs w:val="24"/>
        </w:rPr>
        <w:t>签订地：</w:t>
      </w:r>
    </w:p>
    <w:p w14:paraId="7123AA5C" w14:textId="77777777" w:rsidR="00E82AF4" w:rsidRDefault="00E82AF4">
      <w:pPr>
        <w:autoSpaceDE w:val="0"/>
        <w:autoSpaceDN w:val="0"/>
        <w:adjustRightInd w:val="0"/>
        <w:snapToGrid w:val="0"/>
        <w:spacing w:line="360" w:lineRule="auto"/>
        <w:jc w:val="left"/>
        <w:rPr>
          <w:sz w:val="24"/>
        </w:rPr>
      </w:pPr>
    </w:p>
    <w:p w14:paraId="3E55599B" w14:textId="77777777" w:rsidR="00E82AF4" w:rsidRDefault="00E82AF4">
      <w:pPr>
        <w:autoSpaceDE w:val="0"/>
        <w:autoSpaceDN w:val="0"/>
        <w:adjustRightInd w:val="0"/>
        <w:snapToGrid w:val="0"/>
        <w:spacing w:line="360" w:lineRule="auto"/>
        <w:jc w:val="left"/>
        <w:rPr>
          <w:sz w:val="24"/>
        </w:rPr>
      </w:pPr>
    </w:p>
    <w:p w14:paraId="7675AF49" w14:textId="77777777" w:rsidR="00E82AF4" w:rsidRDefault="005B2E6A">
      <w:pPr>
        <w:autoSpaceDE w:val="0"/>
        <w:autoSpaceDN w:val="0"/>
        <w:adjustRightInd w:val="0"/>
        <w:snapToGrid w:val="0"/>
        <w:spacing w:line="360" w:lineRule="auto"/>
        <w:jc w:val="left"/>
        <w:rPr>
          <w:sz w:val="24"/>
        </w:rPr>
      </w:pPr>
      <w:r>
        <w:rPr>
          <w:rFonts w:hint="eastAsia"/>
          <w:sz w:val="24"/>
        </w:rPr>
        <w:t>基金托管人：中国建设银行股份有限公司</w:t>
      </w:r>
    </w:p>
    <w:p w14:paraId="217F1EB0" w14:textId="77777777" w:rsidR="00E82AF4" w:rsidRDefault="00E82AF4">
      <w:pPr>
        <w:autoSpaceDE w:val="0"/>
        <w:autoSpaceDN w:val="0"/>
        <w:adjustRightInd w:val="0"/>
        <w:snapToGrid w:val="0"/>
        <w:spacing w:line="360" w:lineRule="auto"/>
        <w:jc w:val="left"/>
        <w:rPr>
          <w:sz w:val="24"/>
        </w:rPr>
      </w:pPr>
    </w:p>
    <w:p w14:paraId="22FBA36A" w14:textId="77777777" w:rsidR="00E82AF4" w:rsidRDefault="00E82AF4">
      <w:pPr>
        <w:autoSpaceDE w:val="0"/>
        <w:autoSpaceDN w:val="0"/>
        <w:adjustRightInd w:val="0"/>
        <w:snapToGrid w:val="0"/>
        <w:spacing w:line="360" w:lineRule="auto"/>
        <w:jc w:val="left"/>
        <w:rPr>
          <w:sz w:val="24"/>
        </w:rPr>
      </w:pPr>
    </w:p>
    <w:p w14:paraId="140120EB" w14:textId="77777777" w:rsidR="00E82AF4" w:rsidRDefault="005B2E6A">
      <w:pPr>
        <w:pStyle w:val="HD0"/>
        <w:ind w:firstLineChars="0" w:firstLine="0"/>
        <w:rPr>
          <w:rFonts w:ascii="宋体" w:hAnsi="宋体"/>
          <w:sz w:val="24"/>
        </w:rPr>
      </w:pPr>
      <w:r>
        <w:rPr>
          <w:rFonts w:ascii="宋体" w:hAnsi="宋体" w:hint="eastAsia"/>
          <w:sz w:val="24"/>
        </w:rPr>
        <w:t>法定代表人或授权代表：</w:t>
      </w:r>
    </w:p>
    <w:p w14:paraId="116C56CA" w14:textId="77777777" w:rsidR="00E82AF4" w:rsidRDefault="00E82AF4">
      <w:pPr>
        <w:pStyle w:val="HD0"/>
        <w:ind w:firstLine="480"/>
        <w:rPr>
          <w:rFonts w:ascii="宋体" w:hAnsi="宋体"/>
          <w:sz w:val="24"/>
        </w:rPr>
      </w:pPr>
    </w:p>
    <w:p w14:paraId="20BAD454" w14:textId="77777777" w:rsidR="00E82AF4" w:rsidRDefault="00E82AF4">
      <w:pPr>
        <w:pStyle w:val="HD0"/>
        <w:ind w:firstLine="480"/>
        <w:rPr>
          <w:rFonts w:ascii="宋体" w:hAnsi="宋体"/>
          <w:sz w:val="24"/>
        </w:rPr>
      </w:pPr>
    </w:p>
    <w:p w14:paraId="78659904" w14:textId="77777777" w:rsidR="00E82AF4" w:rsidRDefault="005B2E6A">
      <w:pPr>
        <w:pStyle w:val="HD0"/>
        <w:ind w:firstLineChars="0" w:firstLine="0"/>
        <w:rPr>
          <w:rFonts w:ascii="宋体" w:hAnsi="宋体"/>
          <w:sz w:val="24"/>
        </w:rPr>
      </w:pPr>
      <w:r>
        <w:rPr>
          <w:rFonts w:ascii="宋体" w:hAnsi="宋体" w:hint="eastAsia"/>
          <w:sz w:val="24"/>
        </w:rPr>
        <w:t>签订</w:t>
      </w:r>
      <w:r>
        <w:rPr>
          <w:rFonts w:ascii="宋体" w:hAnsi="宋体" w:hint="eastAsia"/>
          <w:bCs/>
          <w:sz w:val="24"/>
          <w:szCs w:val="24"/>
        </w:rPr>
        <w:t>日</w:t>
      </w:r>
      <w:r>
        <w:rPr>
          <w:rFonts w:ascii="宋体" w:hAnsi="宋体" w:hint="eastAsia"/>
          <w:sz w:val="24"/>
        </w:rPr>
        <w:t>：</w:t>
      </w:r>
    </w:p>
    <w:p w14:paraId="290E99B0" w14:textId="77777777" w:rsidR="00E82AF4" w:rsidRDefault="005B2E6A">
      <w:pPr>
        <w:pStyle w:val="HD0"/>
        <w:ind w:firstLineChars="0" w:firstLine="0"/>
        <w:rPr>
          <w:rFonts w:ascii="宋体" w:hAnsi="宋体"/>
          <w:bCs/>
          <w:sz w:val="24"/>
          <w:szCs w:val="24"/>
        </w:rPr>
      </w:pPr>
      <w:r>
        <w:rPr>
          <w:rFonts w:ascii="宋体" w:hAnsi="宋体" w:hint="eastAsia"/>
          <w:bCs/>
          <w:sz w:val="24"/>
          <w:szCs w:val="24"/>
        </w:rPr>
        <w:t>签订地：</w:t>
      </w:r>
    </w:p>
    <w:p w14:paraId="23A03DF8" w14:textId="77777777" w:rsidR="00E82AF4" w:rsidRDefault="00E82AF4">
      <w:pPr>
        <w:pStyle w:val="HD0"/>
        <w:ind w:firstLineChars="0" w:firstLine="0"/>
        <w:rPr>
          <w:rFonts w:ascii="宋体" w:hAnsi="宋体"/>
          <w:bCs/>
          <w:sz w:val="24"/>
          <w:szCs w:val="24"/>
        </w:rPr>
      </w:pPr>
    </w:p>
    <w:p w14:paraId="4B65B87B" w14:textId="77777777" w:rsidR="00E82AF4" w:rsidRDefault="005B2E6A">
      <w:pPr>
        <w:adjustRightInd w:val="0"/>
        <w:snapToGrid w:val="0"/>
        <w:spacing w:line="360" w:lineRule="auto"/>
        <w:rPr>
          <w:bCs/>
        </w:rPr>
      </w:pPr>
      <w:r>
        <w:rPr>
          <w:rFonts w:hint="eastAsia"/>
          <w:bCs/>
          <w:sz w:val="24"/>
          <w:szCs w:val="24"/>
        </w:rPr>
        <w:t>签订日期：</w:t>
      </w:r>
      <w:r>
        <w:rPr>
          <w:rFonts w:hint="eastAsia"/>
          <w:bCs/>
          <w:sz w:val="24"/>
          <w:szCs w:val="24"/>
        </w:rPr>
        <w:t xml:space="preserve">     </w:t>
      </w:r>
      <w:r>
        <w:rPr>
          <w:rFonts w:hint="eastAsia"/>
          <w:bCs/>
          <w:sz w:val="24"/>
          <w:szCs w:val="24"/>
        </w:rPr>
        <w:t>年</w:t>
      </w:r>
      <w:r>
        <w:rPr>
          <w:rFonts w:hint="eastAsia"/>
          <w:bCs/>
          <w:sz w:val="24"/>
          <w:szCs w:val="24"/>
        </w:rPr>
        <w:t xml:space="preserve">     </w:t>
      </w:r>
      <w:r>
        <w:rPr>
          <w:rFonts w:hint="eastAsia"/>
          <w:bCs/>
          <w:sz w:val="24"/>
          <w:szCs w:val="24"/>
        </w:rPr>
        <w:t>月</w:t>
      </w:r>
      <w:r>
        <w:rPr>
          <w:rFonts w:hint="eastAsia"/>
          <w:bCs/>
          <w:sz w:val="24"/>
          <w:szCs w:val="24"/>
        </w:rPr>
        <w:t xml:space="preserve">     </w:t>
      </w:r>
      <w:r>
        <w:rPr>
          <w:rFonts w:hint="eastAsia"/>
          <w:bCs/>
          <w:sz w:val="24"/>
          <w:szCs w:val="24"/>
        </w:rPr>
        <w:t>日</w:t>
      </w:r>
      <w:bookmarkStart w:id="612" w:name="CTS_79d36139e81f4283979380d4850b040e"/>
      <w:bookmarkStart w:id="613" w:name="CTS_c79754282d0d4230a73af853328462ca"/>
      <w:bookmarkStart w:id="614" w:name="CTS_bd87cf8d7edc4f659228fd40f0831140"/>
      <w:bookmarkEnd w:id="175"/>
      <w:bookmarkEnd w:id="176"/>
      <w:bookmarkEnd w:id="611"/>
      <w:bookmarkEnd w:id="612"/>
      <w:bookmarkEnd w:id="613"/>
      <w:bookmarkEnd w:id="614"/>
    </w:p>
    <w:sectPr w:rsidR="00E82AF4" w:rsidSect="00FD4D5D">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BF607" w14:textId="77777777" w:rsidR="001E479D" w:rsidRDefault="001E479D">
      <w:r>
        <w:separator/>
      </w:r>
    </w:p>
  </w:endnote>
  <w:endnote w:type="continuationSeparator" w:id="0">
    <w:p w14:paraId="58729AD5" w14:textId="77777777" w:rsidR="001E479D" w:rsidRDefault="001E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61AB0" w14:textId="77777777" w:rsidR="00E82AF4" w:rsidRDefault="00E82AF4">
    <w:pPr>
      <w:pStyle w:val="aa"/>
      <w:jc w:val="center"/>
    </w:pPr>
  </w:p>
  <w:p w14:paraId="3F4686D7" w14:textId="77777777" w:rsidR="00E82AF4" w:rsidRDefault="00E82AF4">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1C2C1" w14:textId="77777777" w:rsidR="00E82AF4" w:rsidRDefault="00E82AF4">
    <w:pPr>
      <w:pStyle w:val="aa"/>
    </w:pPr>
  </w:p>
  <w:p w14:paraId="5104ACF0" w14:textId="77777777" w:rsidR="00E82AF4" w:rsidRDefault="00E82AF4">
    <w:pPr>
      <w:pStyle w:val="aa"/>
    </w:pPr>
  </w:p>
  <w:p w14:paraId="01771DC0" w14:textId="77777777" w:rsidR="00E82AF4" w:rsidRDefault="00E82AF4">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6ECA8" w14:textId="30909BB2" w:rsidR="00E82AF4" w:rsidRDefault="005B2E6A">
    <w:pPr>
      <w:pStyle w:val="aa"/>
      <w:jc w:val="center"/>
    </w:pPr>
    <w:r>
      <w:fldChar w:fldCharType="begin"/>
    </w:r>
    <w:r>
      <w:instrText>PAGE   \* MERGEFORMAT</w:instrText>
    </w:r>
    <w:r>
      <w:fldChar w:fldCharType="separate"/>
    </w:r>
    <w:r w:rsidR="0060510F" w:rsidRPr="0060510F">
      <w:rPr>
        <w:noProof/>
        <w:lang w:val="zh-CN"/>
      </w:rPr>
      <w:t>1</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815690"/>
    </w:sdtPr>
    <w:sdtEndPr/>
    <w:sdtContent>
      <w:p w14:paraId="22AD4604" w14:textId="17448687" w:rsidR="00E82AF4" w:rsidRDefault="005B2E6A">
        <w:pPr>
          <w:pStyle w:val="aa"/>
          <w:jc w:val="center"/>
        </w:pPr>
        <w:r>
          <w:fldChar w:fldCharType="begin"/>
        </w:r>
        <w:r>
          <w:instrText>PAGE   \* MERGEFORMAT</w:instrText>
        </w:r>
        <w:r>
          <w:fldChar w:fldCharType="separate"/>
        </w:r>
        <w:r w:rsidR="0060510F" w:rsidRPr="0060510F">
          <w:rPr>
            <w:noProof/>
            <w:lang w:val="zh-CN"/>
          </w:rPr>
          <w:t>19</w:t>
        </w:r>
        <w:r>
          <w:fldChar w:fldCharType="end"/>
        </w:r>
      </w:p>
    </w:sdtContent>
  </w:sdt>
  <w:p w14:paraId="58E1C2F9" w14:textId="77777777" w:rsidR="00E82AF4" w:rsidRDefault="00E82AF4">
    <w:pPr>
      <w:pStyle w:val="a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C8699" w14:textId="77777777" w:rsidR="001E479D" w:rsidRDefault="001E479D">
      <w:r>
        <w:separator/>
      </w:r>
    </w:p>
  </w:footnote>
  <w:footnote w:type="continuationSeparator" w:id="0">
    <w:p w14:paraId="13448B2A" w14:textId="77777777" w:rsidR="001E479D" w:rsidRDefault="001E47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2A466" w14:textId="77777777" w:rsidR="00E82AF4" w:rsidRDefault="00E82AF4">
    <w:pPr>
      <w:pStyle w:val="ac"/>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3A767" w14:textId="1A0107FA" w:rsidR="00E82AF4" w:rsidRDefault="005B2E6A">
    <w:pPr>
      <w:pStyle w:val="13"/>
      <w:wordWrap w:val="0"/>
      <w:ind w:right="84"/>
      <w:jc w:val="both"/>
    </w:pPr>
    <w:r>
      <w:rPr>
        <w:rFonts w:hint="eastAsia"/>
      </w:rPr>
      <w:t>银华中证全指红利质量交易型开放式指数证券投资基金</w:t>
    </w:r>
    <w:r>
      <w:rPr>
        <w:rFonts w:hint="eastAsia"/>
      </w:rPr>
      <w:t xml:space="preserve">  </w:t>
    </w:r>
    <w:r>
      <w:t xml:space="preserve">                         </w:t>
    </w:r>
    <w:r w:rsidR="000F49DC">
      <w:t xml:space="preserve">       </w:t>
    </w:r>
    <w:r>
      <w:rPr>
        <w:rFonts w:hint="eastAsia"/>
      </w:rPr>
      <w:t>基金合同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2NTAzY2Q4M2IxMmUyNDI3NjllNGRiNDQ4M2QxOGIifQ=="/>
  </w:docVars>
  <w:rsids>
    <w:rsidRoot w:val="00172A27"/>
    <w:rsid w:val="CBF77FD4"/>
    <w:rsid w:val="EAD5A2FD"/>
    <w:rsid w:val="FBD7489C"/>
    <w:rsid w:val="0000035F"/>
    <w:rsid w:val="00000AB9"/>
    <w:rsid w:val="00000D07"/>
    <w:rsid w:val="00001AF9"/>
    <w:rsid w:val="00002001"/>
    <w:rsid w:val="00002FC6"/>
    <w:rsid w:val="0000307A"/>
    <w:rsid w:val="00003159"/>
    <w:rsid w:val="00003690"/>
    <w:rsid w:val="000040D9"/>
    <w:rsid w:val="000045FC"/>
    <w:rsid w:val="00005C8F"/>
    <w:rsid w:val="00005D34"/>
    <w:rsid w:val="000061F6"/>
    <w:rsid w:val="0000638F"/>
    <w:rsid w:val="000066B6"/>
    <w:rsid w:val="00007287"/>
    <w:rsid w:val="0001045D"/>
    <w:rsid w:val="000106DE"/>
    <w:rsid w:val="000117AD"/>
    <w:rsid w:val="0001224D"/>
    <w:rsid w:val="000123DD"/>
    <w:rsid w:val="00012F9A"/>
    <w:rsid w:val="00013798"/>
    <w:rsid w:val="00014D2A"/>
    <w:rsid w:val="000163D3"/>
    <w:rsid w:val="000171B7"/>
    <w:rsid w:val="0001725F"/>
    <w:rsid w:val="00017A75"/>
    <w:rsid w:val="000207D8"/>
    <w:rsid w:val="00020EBA"/>
    <w:rsid w:val="0002128C"/>
    <w:rsid w:val="00021769"/>
    <w:rsid w:val="00021A8E"/>
    <w:rsid w:val="000227B8"/>
    <w:rsid w:val="000229B9"/>
    <w:rsid w:val="000237F7"/>
    <w:rsid w:val="00023BB4"/>
    <w:rsid w:val="000253C7"/>
    <w:rsid w:val="0002542D"/>
    <w:rsid w:val="00025CFA"/>
    <w:rsid w:val="00025DFA"/>
    <w:rsid w:val="00026085"/>
    <w:rsid w:val="00026175"/>
    <w:rsid w:val="000272B7"/>
    <w:rsid w:val="00027584"/>
    <w:rsid w:val="00027BC4"/>
    <w:rsid w:val="000300C3"/>
    <w:rsid w:val="00030E7C"/>
    <w:rsid w:val="00031237"/>
    <w:rsid w:val="000312E6"/>
    <w:rsid w:val="00031300"/>
    <w:rsid w:val="00031524"/>
    <w:rsid w:val="00032886"/>
    <w:rsid w:val="000329E4"/>
    <w:rsid w:val="000330D3"/>
    <w:rsid w:val="00033A8F"/>
    <w:rsid w:val="00033C77"/>
    <w:rsid w:val="000347F7"/>
    <w:rsid w:val="000349C5"/>
    <w:rsid w:val="00034CBE"/>
    <w:rsid w:val="00034D36"/>
    <w:rsid w:val="00034FA2"/>
    <w:rsid w:val="00035558"/>
    <w:rsid w:val="00035BD2"/>
    <w:rsid w:val="000361D8"/>
    <w:rsid w:val="0003623A"/>
    <w:rsid w:val="0003648C"/>
    <w:rsid w:val="00036B42"/>
    <w:rsid w:val="00037E0C"/>
    <w:rsid w:val="0004017F"/>
    <w:rsid w:val="00040273"/>
    <w:rsid w:val="00040B6A"/>
    <w:rsid w:val="0004130B"/>
    <w:rsid w:val="00041A3D"/>
    <w:rsid w:val="00041AE7"/>
    <w:rsid w:val="00041D1C"/>
    <w:rsid w:val="00041DF0"/>
    <w:rsid w:val="00041ED1"/>
    <w:rsid w:val="0004250D"/>
    <w:rsid w:val="00042A0E"/>
    <w:rsid w:val="000451DB"/>
    <w:rsid w:val="000461E2"/>
    <w:rsid w:val="00046501"/>
    <w:rsid w:val="0004661E"/>
    <w:rsid w:val="0004669E"/>
    <w:rsid w:val="000471CB"/>
    <w:rsid w:val="000472CB"/>
    <w:rsid w:val="0005039D"/>
    <w:rsid w:val="000503A8"/>
    <w:rsid w:val="000504AC"/>
    <w:rsid w:val="000507E2"/>
    <w:rsid w:val="00053106"/>
    <w:rsid w:val="00053696"/>
    <w:rsid w:val="000538A4"/>
    <w:rsid w:val="0005405C"/>
    <w:rsid w:val="000540FA"/>
    <w:rsid w:val="0005464A"/>
    <w:rsid w:val="000556CB"/>
    <w:rsid w:val="000563C1"/>
    <w:rsid w:val="000564B7"/>
    <w:rsid w:val="0005705E"/>
    <w:rsid w:val="00057C2E"/>
    <w:rsid w:val="00060CC5"/>
    <w:rsid w:val="000613D9"/>
    <w:rsid w:val="000617BC"/>
    <w:rsid w:val="00061CFB"/>
    <w:rsid w:val="00063265"/>
    <w:rsid w:val="0006370F"/>
    <w:rsid w:val="00063AA5"/>
    <w:rsid w:val="00064926"/>
    <w:rsid w:val="00064946"/>
    <w:rsid w:val="00064D7F"/>
    <w:rsid w:val="00065EBC"/>
    <w:rsid w:val="00065F6B"/>
    <w:rsid w:val="000666D5"/>
    <w:rsid w:val="0006686E"/>
    <w:rsid w:val="00066E9D"/>
    <w:rsid w:val="000702CB"/>
    <w:rsid w:val="000703D2"/>
    <w:rsid w:val="000707F6"/>
    <w:rsid w:val="0007155E"/>
    <w:rsid w:val="00071DC2"/>
    <w:rsid w:val="000720D3"/>
    <w:rsid w:val="000726A8"/>
    <w:rsid w:val="00073141"/>
    <w:rsid w:val="00073840"/>
    <w:rsid w:val="00073B2E"/>
    <w:rsid w:val="00073C86"/>
    <w:rsid w:val="00073F22"/>
    <w:rsid w:val="0007498A"/>
    <w:rsid w:val="00074ED7"/>
    <w:rsid w:val="00076A4C"/>
    <w:rsid w:val="00080915"/>
    <w:rsid w:val="00080A2F"/>
    <w:rsid w:val="00080E5C"/>
    <w:rsid w:val="0008180D"/>
    <w:rsid w:val="0008261C"/>
    <w:rsid w:val="00082650"/>
    <w:rsid w:val="0008270E"/>
    <w:rsid w:val="00082A57"/>
    <w:rsid w:val="00082E59"/>
    <w:rsid w:val="000838AA"/>
    <w:rsid w:val="000841FC"/>
    <w:rsid w:val="00084263"/>
    <w:rsid w:val="00084937"/>
    <w:rsid w:val="00084A11"/>
    <w:rsid w:val="00085C07"/>
    <w:rsid w:val="000866A9"/>
    <w:rsid w:val="000868D8"/>
    <w:rsid w:val="00087F1F"/>
    <w:rsid w:val="0009014C"/>
    <w:rsid w:val="00090BC6"/>
    <w:rsid w:val="00091914"/>
    <w:rsid w:val="00091D87"/>
    <w:rsid w:val="000921A5"/>
    <w:rsid w:val="000921EB"/>
    <w:rsid w:val="000930EC"/>
    <w:rsid w:val="00093C28"/>
    <w:rsid w:val="00094A03"/>
    <w:rsid w:val="00096199"/>
    <w:rsid w:val="000964EB"/>
    <w:rsid w:val="00096632"/>
    <w:rsid w:val="00096E9C"/>
    <w:rsid w:val="000976F4"/>
    <w:rsid w:val="000A01E0"/>
    <w:rsid w:val="000A0AA7"/>
    <w:rsid w:val="000A0BB1"/>
    <w:rsid w:val="000A0D78"/>
    <w:rsid w:val="000A14A0"/>
    <w:rsid w:val="000A1B78"/>
    <w:rsid w:val="000A1EE3"/>
    <w:rsid w:val="000A2B8E"/>
    <w:rsid w:val="000A37D2"/>
    <w:rsid w:val="000A37E4"/>
    <w:rsid w:val="000A3EEC"/>
    <w:rsid w:val="000A3FDB"/>
    <w:rsid w:val="000A40A4"/>
    <w:rsid w:val="000A4348"/>
    <w:rsid w:val="000A4B79"/>
    <w:rsid w:val="000A67B2"/>
    <w:rsid w:val="000A706D"/>
    <w:rsid w:val="000B0783"/>
    <w:rsid w:val="000B0838"/>
    <w:rsid w:val="000B0FFC"/>
    <w:rsid w:val="000B10C2"/>
    <w:rsid w:val="000B1462"/>
    <w:rsid w:val="000B1B18"/>
    <w:rsid w:val="000B20F0"/>
    <w:rsid w:val="000B2A9E"/>
    <w:rsid w:val="000B336D"/>
    <w:rsid w:val="000B37E7"/>
    <w:rsid w:val="000B4997"/>
    <w:rsid w:val="000B50AC"/>
    <w:rsid w:val="000B510C"/>
    <w:rsid w:val="000B58AB"/>
    <w:rsid w:val="000B5A28"/>
    <w:rsid w:val="000B5ECC"/>
    <w:rsid w:val="000B604C"/>
    <w:rsid w:val="000B64CF"/>
    <w:rsid w:val="000B672C"/>
    <w:rsid w:val="000C0815"/>
    <w:rsid w:val="000C0946"/>
    <w:rsid w:val="000C0D4C"/>
    <w:rsid w:val="000C228D"/>
    <w:rsid w:val="000C29B5"/>
    <w:rsid w:val="000C31FB"/>
    <w:rsid w:val="000C3840"/>
    <w:rsid w:val="000C49D3"/>
    <w:rsid w:val="000C4EB0"/>
    <w:rsid w:val="000C57C0"/>
    <w:rsid w:val="000C5EEC"/>
    <w:rsid w:val="000C65A0"/>
    <w:rsid w:val="000C65D7"/>
    <w:rsid w:val="000D0252"/>
    <w:rsid w:val="000D02EC"/>
    <w:rsid w:val="000D059D"/>
    <w:rsid w:val="000D115F"/>
    <w:rsid w:val="000D1402"/>
    <w:rsid w:val="000D150B"/>
    <w:rsid w:val="000D3257"/>
    <w:rsid w:val="000D3465"/>
    <w:rsid w:val="000D3CAD"/>
    <w:rsid w:val="000D4534"/>
    <w:rsid w:val="000D4C8B"/>
    <w:rsid w:val="000D50CD"/>
    <w:rsid w:val="000D7721"/>
    <w:rsid w:val="000D7777"/>
    <w:rsid w:val="000D7C1C"/>
    <w:rsid w:val="000E039F"/>
    <w:rsid w:val="000E1A2E"/>
    <w:rsid w:val="000E1AEF"/>
    <w:rsid w:val="000E23ED"/>
    <w:rsid w:val="000E2EF8"/>
    <w:rsid w:val="000E4F53"/>
    <w:rsid w:val="000E54C2"/>
    <w:rsid w:val="000E5597"/>
    <w:rsid w:val="000E7847"/>
    <w:rsid w:val="000E79EC"/>
    <w:rsid w:val="000E7FB7"/>
    <w:rsid w:val="000F043E"/>
    <w:rsid w:val="000F09B2"/>
    <w:rsid w:val="000F0E92"/>
    <w:rsid w:val="000F119A"/>
    <w:rsid w:val="000F1F9D"/>
    <w:rsid w:val="000F25BE"/>
    <w:rsid w:val="000F46C4"/>
    <w:rsid w:val="000F4995"/>
    <w:rsid w:val="000F49DC"/>
    <w:rsid w:val="000F6715"/>
    <w:rsid w:val="000F67D6"/>
    <w:rsid w:val="000F6B2F"/>
    <w:rsid w:val="000F6CFC"/>
    <w:rsid w:val="000F6D10"/>
    <w:rsid w:val="000F73CA"/>
    <w:rsid w:val="001000DE"/>
    <w:rsid w:val="00100717"/>
    <w:rsid w:val="00100D19"/>
    <w:rsid w:val="00100F29"/>
    <w:rsid w:val="0010136F"/>
    <w:rsid w:val="0010153F"/>
    <w:rsid w:val="00101CD2"/>
    <w:rsid w:val="00102C10"/>
    <w:rsid w:val="00104364"/>
    <w:rsid w:val="0010436C"/>
    <w:rsid w:val="001045D7"/>
    <w:rsid w:val="00104697"/>
    <w:rsid w:val="00104C6F"/>
    <w:rsid w:val="00104ECB"/>
    <w:rsid w:val="00107153"/>
    <w:rsid w:val="00107729"/>
    <w:rsid w:val="00107A6E"/>
    <w:rsid w:val="00111832"/>
    <w:rsid w:val="00111B36"/>
    <w:rsid w:val="001121D9"/>
    <w:rsid w:val="001130EE"/>
    <w:rsid w:val="00113431"/>
    <w:rsid w:val="00114CA2"/>
    <w:rsid w:val="00115829"/>
    <w:rsid w:val="00115A89"/>
    <w:rsid w:val="00115C5D"/>
    <w:rsid w:val="001161B8"/>
    <w:rsid w:val="001169A6"/>
    <w:rsid w:val="001170E2"/>
    <w:rsid w:val="00117557"/>
    <w:rsid w:val="00117E39"/>
    <w:rsid w:val="00122510"/>
    <w:rsid w:val="001230E7"/>
    <w:rsid w:val="00123DB9"/>
    <w:rsid w:val="001240CB"/>
    <w:rsid w:val="00125074"/>
    <w:rsid w:val="001253E0"/>
    <w:rsid w:val="00125B6E"/>
    <w:rsid w:val="00126846"/>
    <w:rsid w:val="00126912"/>
    <w:rsid w:val="00126CEC"/>
    <w:rsid w:val="001274E6"/>
    <w:rsid w:val="00127C40"/>
    <w:rsid w:val="00127F82"/>
    <w:rsid w:val="00131248"/>
    <w:rsid w:val="00131866"/>
    <w:rsid w:val="00131DC1"/>
    <w:rsid w:val="00131F7E"/>
    <w:rsid w:val="001322ED"/>
    <w:rsid w:val="00132A5D"/>
    <w:rsid w:val="00132C7D"/>
    <w:rsid w:val="001331B2"/>
    <w:rsid w:val="00133A91"/>
    <w:rsid w:val="00133FE8"/>
    <w:rsid w:val="00134D2D"/>
    <w:rsid w:val="001352A7"/>
    <w:rsid w:val="00135608"/>
    <w:rsid w:val="001358B7"/>
    <w:rsid w:val="00135CF6"/>
    <w:rsid w:val="00135D36"/>
    <w:rsid w:val="00137EF2"/>
    <w:rsid w:val="0014022E"/>
    <w:rsid w:val="00140FF7"/>
    <w:rsid w:val="00141BE7"/>
    <w:rsid w:val="00142910"/>
    <w:rsid w:val="0014312A"/>
    <w:rsid w:val="001431F2"/>
    <w:rsid w:val="0014372C"/>
    <w:rsid w:val="001438CF"/>
    <w:rsid w:val="00145E3D"/>
    <w:rsid w:val="00146CE0"/>
    <w:rsid w:val="00146D56"/>
    <w:rsid w:val="0014706A"/>
    <w:rsid w:val="0014765F"/>
    <w:rsid w:val="00150AE2"/>
    <w:rsid w:val="0015230E"/>
    <w:rsid w:val="0015282F"/>
    <w:rsid w:val="0015328B"/>
    <w:rsid w:val="001536B8"/>
    <w:rsid w:val="0015399C"/>
    <w:rsid w:val="00155C93"/>
    <w:rsid w:val="00157547"/>
    <w:rsid w:val="0015799F"/>
    <w:rsid w:val="00157F86"/>
    <w:rsid w:val="0016001F"/>
    <w:rsid w:val="00160796"/>
    <w:rsid w:val="00160A63"/>
    <w:rsid w:val="00160D0A"/>
    <w:rsid w:val="00161B07"/>
    <w:rsid w:val="001627E0"/>
    <w:rsid w:val="001647A6"/>
    <w:rsid w:val="00164A36"/>
    <w:rsid w:val="00164ADC"/>
    <w:rsid w:val="00165709"/>
    <w:rsid w:val="001665BB"/>
    <w:rsid w:val="001670F2"/>
    <w:rsid w:val="00167985"/>
    <w:rsid w:val="00170E73"/>
    <w:rsid w:val="00170F37"/>
    <w:rsid w:val="00171156"/>
    <w:rsid w:val="001718FD"/>
    <w:rsid w:val="00171F01"/>
    <w:rsid w:val="00171F21"/>
    <w:rsid w:val="00172330"/>
    <w:rsid w:val="00172423"/>
    <w:rsid w:val="00172856"/>
    <w:rsid w:val="00172A27"/>
    <w:rsid w:val="0017376C"/>
    <w:rsid w:val="001738C9"/>
    <w:rsid w:val="00174EF2"/>
    <w:rsid w:val="00176484"/>
    <w:rsid w:val="00177066"/>
    <w:rsid w:val="00177115"/>
    <w:rsid w:val="00177689"/>
    <w:rsid w:val="0017768E"/>
    <w:rsid w:val="0017787A"/>
    <w:rsid w:val="00177F49"/>
    <w:rsid w:val="0018021A"/>
    <w:rsid w:val="00180271"/>
    <w:rsid w:val="00180EAF"/>
    <w:rsid w:val="001811CE"/>
    <w:rsid w:val="0018163B"/>
    <w:rsid w:val="001820B1"/>
    <w:rsid w:val="00182144"/>
    <w:rsid w:val="001830C4"/>
    <w:rsid w:val="0018364C"/>
    <w:rsid w:val="001843F2"/>
    <w:rsid w:val="001849AA"/>
    <w:rsid w:val="0018500E"/>
    <w:rsid w:val="00185012"/>
    <w:rsid w:val="00185E71"/>
    <w:rsid w:val="00186C39"/>
    <w:rsid w:val="00187D9A"/>
    <w:rsid w:val="00187FD5"/>
    <w:rsid w:val="00190144"/>
    <w:rsid w:val="001902AE"/>
    <w:rsid w:val="00191285"/>
    <w:rsid w:val="001912A8"/>
    <w:rsid w:val="00192DDB"/>
    <w:rsid w:val="00193D59"/>
    <w:rsid w:val="00194518"/>
    <w:rsid w:val="0019492B"/>
    <w:rsid w:val="00194D2C"/>
    <w:rsid w:val="001954AF"/>
    <w:rsid w:val="001959D7"/>
    <w:rsid w:val="00195AD0"/>
    <w:rsid w:val="00195CB4"/>
    <w:rsid w:val="00197815"/>
    <w:rsid w:val="00197891"/>
    <w:rsid w:val="001A0400"/>
    <w:rsid w:val="001A1A20"/>
    <w:rsid w:val="001A2695"/>
    <w:rsid w:val="001A2A38"/>
    <w:rsid w:val="001A2D90"/>
    <w:rsid w:val="001A2FC2"/>
    <w:rsid w:val="001A3A6C"/>
    <w:rsid w:val="001A3E07"/>
    <w:rsid w:val="001A405A"/>
    <w:rsid w:val="001A4E55"/>
    <w:rsid w:val="001A4FA8"/>
    <w:rsid w:val="001A63C2"/>
    <w:rsid w:val="001A6ABF"/>
    <w:rsid w:val="001A7ECE"/>
    <w:rsid w:val="001B09A6"/>
    <w:rsid w:val="001B129B"/>
    <w:rsid w:val="001B1963"/>
    <w:rsid w:val="001B19BD"/>
    <w:rsid w:val="001B255D"/>
    <w:rsid w:val="001B25AF"/>
    <w:rsid w:val="001B3833"/>
    <w:rsid w:val="001B3B9E"/>
    <w:rsid w:val="001B3BC5"/>
    <w:rsid w:val="001B4F65"/>
    <w:rsid w:val="001B505D"/>
    <w:rsid w:val="001B561D"/>
    <w:rsid w:val="001B72F8"/>
    <w:rsid w:val="001C05D6"/>
    <w:rsid w:val="001C1753"/>
    <w:rsid w:val="001C1D4B"/>
    <w:rsid w:val="001C2D47"/>
    <w:rsid w:val="001C2DFA"/>
    <w:rsid w:val="001C35F8"/>
    <w:rsid w:val="001C3926"/>
    <w:rsid w:val="001C4135"/>
    <w:rsid w:val="001C4331"/>
    <w:rsid w:val="001C568F"/>
    <w:rsid w:val="001C5CC0"/>
    <w:rsid w:val="001C73B9"/>
    <w:rsid w:val="001C7C5F"/>
    <w:rsid w:val="001D0772"/>
    <w:rsid w:val="001D17FF"/>
    <w:rsid w:val="001D2300"/>
    <w:rsid w:val="001D29B8"/>
    <w:rsid w:val="001D3EC9"/>
    <w:rsid w:val="001D4630"/>
    <w:rsid w:val="001D4DCE"/>
    <w:rsid w:val="001D51D4"/>
    <w:rsid w:val="001D5BD0"/>
    <w:rsid w:val="001D5DC5"/>
    <w:rsid w:val="001D6CF3"/>
    <w:rsid w:val="001E0D2B"/>
    <w:rsid w:val="001E2619"/>
    <w:rsid w:val="001E2ED6"/>
    <w:rsid w:val="001E30C4"/>
    <w:rsid w:val="001E3E12"/>
    <w:rsid w:val="001E479D"/>
    <w:rsid w:val="001E49A3"/>
    <w:rsid w:val="001E647A"/>
    <w:rsid w:val="001E65DE"/>
    <w:rsid w:val="001E6BE1"/>
    <w:rsid w:val="001E794E"/>
    <w:rsid w:val="001E7B32"/>
    <w:rsid w:val="001E7C9D"/>
    <w:rsid w:val="001F0C31"/>
    <w:rsid w:val="001F1352"/>
    <w:rsid w:val="001F1936"/>
    <w:rsid w:val="001F1CB5"/>
    <w:rsid w:val="001F1CC0"/>
    <w:rsid w:val="001F2FC8"/>
    <w:rsid w:val="001F4358"/>
    <w:rsid w:val="001F43FA"/>
    <w:rsid w:val="001F4556"/>
    <w:rsid w:val="001F4764"/>
    <w:rsid w:val="001F5235"/>
    <w:rsid w:val="001F5405"/>
    <w:rsid w:val="001F5476"/>
    <w:rsid w:val="001F5D81"/>
    <w:rsid w:val="001F6090"/>
    <w:rsid w:val="001F7211"/>
    <w:rsid w:val="001F7A4C"/>
    <w:rsid w:val="001F7FFD"/>
    <w:rsid w:val="00200EE6"/>
    <w:rsid w:val="00201557"/>
    <w:rsid w:val="0020180C"/>
    <w:rsid w:val="00201B27"/>
    <w:rsid w:val="00202447"/>
    <w:rsid w:val="00202568"/>
    <w:rsid w:val="00202858"/>
    <w:rsid w:val="00202CE8"/>
    <w:rsid w:val="00202FD5"/>
    <w:rsid w:val="00203558"/>
    <w:rsid w:val="00203972"/>
    <w:rsid w:val="00203C18"/>
    <w:rsid w:val="00204064"/>
    <w:rsid w:val="0020449E"/>
    <w:rsid w:val="002062F6"/>
    <w:rsid w:val="00206326"/>
    <w:rsid w:val="002063AE"/>
    <w:rsid w:val="0020697B"/>
    <w:rsid w:val="00210363"/>
    <w:rsid w:val="002103AF"/>
    <w:rsid w:val="00210520"/>
    <w:rsid w:val="0021101F"/>
    <w:rsid w:val="00211274"/>
    <w:rsid w:val="00211337"/>
    <w:rsid w:val="002127F9"/>
    <w:rsid w:val="00212A14"/>
    <w:rsid w:val="00212FDD"/>
    <w:rsid w:val="0021308C"/>
    <w:rsid w:val="00213717"/>
    <w:rsid w:val="00214FFE"/>
    <w:rsid w:val="00215572"/>
    <w:rsid w:val="00215D46"/>
    <w:rsid w:val="002164D0"/>
    <w:rsid w:val="00216AF1"/>
    <w:rsid w:val="002175FE"/>
    <w:rsid w:val="00217A60"/>
    <w:rsid w:val="00217D09"/>
    <w:rsid w:val="0022045A"/>
    <w:rsid w:val="00220519"/>
    <w:rsid w:val="00220BEC"/>
    <w:rsid w:val="00221DFD"/>
    <w:rsid w:val="00221ED4"/>
    <w:rsid w:val="00222EBB"/>
    <w:rsid w:val="00223709"/>
    <w:rsid w:val="00223E3D"/>
    <w:rsid w:val="0022500B"/>
    <w:rsid w:val="00225051"/>
    <w:rsid w:val="002262D0"/>
    <w:rsid w:val="002262F3"/>
    <w:rsid w:val="0022634A"/>
    <w:rsid w:val="00226555"/>
    <w:rsid w:val="0022789B"/>
    <w:rsid w:val="0022797B"/>
    <w:rsid w:val="00227A89"/>
    <w:rsid w:val="00230B6A"/>
    <w:rsid w:val="002310D5"/>
    <w:rsid w:val="00231165"/>
    <w:rsid w:val="0023123B"/>
    <w:rsid w:val="00231B7B"/>
    <w:rsid w:val="00232A61"/>
    <w:rsid w:val="00232B36"/>
    <w:rsid w:val="0023365B"/>
    <w:rsid w:val="0023404E"/>
    <w:rsid w:val="0023410B"/>
    <w:rsid w:val="002343D5"/>
    <w:rsid w:val="00234792"/>
    <w:rsid w:val="00234C8F"/>
    <w:rsid w:val="00235D25"/>
    <w:rsid w:val="00236AE4"/>
    <w:rsid w:val="00236B30"/>
    <w:rsid w:val="00237277"/>
    <w:rsid w:val="00237B15"/>
    <w:rsid w:val="00237CA0"/>
    <w:rsid w:val="00240ABD"/>
    <w:rsid w:val="00240D96"/>
    <w:rsid w:val="00240FC8"/>
    <w:rsid w:val="00241061"/>
    <w:rsid w:val="00241CA0"/>
    <w:rsid w:val="00241F00"/>
    <w:rsid w:val="00243B02"/>
    <w:rsid w:val="00243DA2"/>
    <w:rsid w:val="00244036"/>
    <w:rsid w:val="00244A21"/>
    <w:rsid w:val="002456B7"/>
    <w:rsid w:val="00245E1A"/>
    <w:rsid w:val="00245EC5"/>
    <w:rsid w:val="002462F2"/>
    <w:rsid w:val="00246467"/>
    <w:rsid w:val="0024721C"/>
    <w:rsid w:val="002476F3"/>
    <w:rsid w:val="002507C3"/>
    <w:rsid w:val="002515D8"/>
    <w:rsid w:val="00251BE2"/>
    <w:rsid w:val="00251C2A"/>
    <w:rsid w:val="00251F91"/>
    <w:rsid w:val="00252E25"/>
    <w:rsid w:val="002536D4"/>
    <w:rsid w:val="00253A6F"/>
    <w:rsid w:val="00253E91"/>
    <w:rsid w:val="00254027"/>
    <w:rsid w:val="00255035"/>
    <w:rsid w:val="002557D1"/>
    <w:rsid w:val="00255CB9"/>
    <w:rsid w:val="0025608E"/>
    <w:rsid w:val="0025655F"/>
    <w:rsid w:val="002565F4"/>
    <w:rsid w:val="00260105"/>
    <w:rsid w:val="002614C3"/>
    <w:rsid w:val="00261A0C"/>
    <w:rsid w:val="00261A2E"/>
    <w:rsid w:val="002623F5"/>
    <w:rsid w:val="00262E5E"/>
    <w:rsid w:val="00263508"/>
    <w:rsid w:val="00263C8B"/>
    <w:rsid w:val="0026412F"/>
    <w:rsid w:val="002643CD"/>
    <w:rsid w:val="00264504"/>
    <w:rsid w:val="002648ED"/>
    <w:rsid w:val="0026496F"/>
    <w:rsid w:val="0026516B"/>
    <w:rsid w:val="002653A0"/>
    <w:rsid w:val="00265F73"/>
    <w:rsid w:val="002660F1"/>
    <w:rsid w:val="00266132"/>
    <w:rsid w:val="00266224"/>
    <w:rsid w:val="00267386"/>
    <w:rsid w:val="00267561"/>
    <w:rsid w:val="00267A4F"/>
    <w:rsid w:val="00267B38"/>
    <w:rsid w:val="002703BF"/>
    <w:rsid w:val="002708D2"/>
    <w:rsid w:val="002712A6"/>
    <w:rsid w:val="0027163B"/>
    <w:rsid w:val="002724F1"/>
    <w:rsid w:val="00272510"/>
    <w:rsid w:val="0027305A"/>
    <w:rsid w:val="00274258"/>
    <w:rsid w:val="00274EF6"/>
    <w:rsid w:val="00276407"/>
    <w:rsid w:val="00276895"/>
    <w:rsid w:val="0027738F"/>
    <w:rsid w:val="002773A6"/>
    <w:rsid w:val="0027777D"/>
    <w:rsid w:val="00277F6A"/>
    <w:rsid w:val="00280036"/>
    <w:rsid w:val="00281D84"/>
    <w:rsid w:val="00282A06"/>
    <w:rsid w:val="00283A42"/>
    <w:rsid w:val="00284865"/>
    <w:rsid w:val="0028489D"/>
    <w:rsid w:val="00284D58"/>
    <w:rsid w:val="0028502D"/>
    <w:rsid w:val="0028677C"/>
    <w:rsid w:val="002869EE"/>
    <w:rsid w:val="00286DE0"/>
    <w:rsid w:val="00287890"/>
    <w:rsid w:val="00287C13"/>
    <w:rsid w:val="00290D8F"/>
    <w:rsid w:val="00290DD7"/>
    <w:rsid w:val="002910B2"/>
    <w:rsid w:val="00291E8D"/>
    <w:rsid w:val="002920CA"/>
    <w:rsid w:val="00292298"/>
    <w:rsid w:val="002923F8"/>
    <w:rsid w:val="00292877"/>
    <w:rsid w:val="00292A53"/>
    <w:rsid w:val="00293578"/>
    <w:rsid w:val="00293CA1"/>
    <w:rsid w:val="0029407F"/>
    <w:rsid w:val="00294956"/>
    <w:rsid w:val="00295451"/>
    <w:rsid w:val="00295A31"/>
    <w:rsid w:val="002969AA"/>
    <w:rsid w:val="00296BEE"/>
    <w:rsid w:val="00297092"/>
    <w:rsid w:val="002977D1"/>
    <w:rsid w:val="002A09A6"/>
    <w:rsid w:val="002A0C1F"/>
    <w:rsid w:val="002A1E4B"/>
    <w:rsid w:val="002A219D"/>
    <w:rsid w:val="002A37BF"/>
    <w:rsid w:val="002A3C01"/>
    <w:rsid w:val="002A3CAC"/>
    <w:rsid w:val="002A41DB"/>
    <w:rsid w:val="002A471A"/>
    <w:rsid w:val="002A4B02"/>
    <w:rsid w:val="002A54DC"/>
    <w:rsid w:val="002A6AAE"/>
    <w:rsid w:val="002A6BE5"/>
    <w:rsid w:val="002A73EA"/>
    <w:rsid w:val="002B0740"/>
    <w:rsid w:val="002B0AD1"/>
    <w:rsid w:val="002B1176"/>
    <w:rsid w:val="002B13BF"/>
    <w:rsid w:val="002B19CE"/>
    <w:rsid w:val="002B1B75"/>
    <w:rsid w:val="002B2D26"/>
    <w:rsid w:val="002B2EAF"/>
    <w:rsid w:val="002B3843"/>
    <w:rsid w:val="002B435F"/>
    <w:rsid w:val="002B466E"/>
    <w:rsid w:val="002B4682"/>
    <w:rsid w:val="002B50ED"/>
    <w:rsid w:val="002B5F42"/>
    <w:rsid w:val="002B6755"/>
    <w:rsid w:val="002B68F4"/>
    <w:rsid w:val="002B6D0B"/>
    <w:rsid w:val="002B6F0A"/>
    <w:rsid w:val="002C030E"/>
    <w:rsid w:val="002C0BF1"/>
    <w:rsid w:val="002C0CC1"/>
    <w:rsid w:val="002C10F6"/>
    <w:rsid w:val="002C15CA"/>
    <w:rsid w:val="002C1918"/>
    <w:rsid w:val="002C1F53"/>
    <w:rsid w:val="002C22AF"/>
    <w:rsid w:val="002C231B"/>
    <w:rsid w:val="002C2991"/>
    <w:rsid w:val="002C3D2B"/>
    <w:rsid w:val="002C4734"/>
    <w:rsid w:val="002C4754"/>
    <w:rsid w:val="002C5E1A"/>
    <w:rsid w:val="002C6818"/>
    <w:rsid w:val="002C6AE6"/>
    <w:rsid w:val="002C6BE9"/>
    <w:rsid w:val="002C6FDF"/>
    <w:rsid w:val="002C74F7"/>
    <w:rsid w:val="002C79D4"/>
    <w:rsid w:val="002D030C"/>
    <w:rsid w:val="002D0381"/>
    <w:rsid w:val="002D059D"/>
    <w:rsid w:val="002D05ED"/>
    <w:rsid w:val="002D0CE2"/>
    <w:rsid w:val="002D0D71"/>
    <w:rsid w:val="002D12D7"/>
    <w:rsid w:val="002D32D0"/>
    <w:rsid w:val="002D37E1"/>
    <w:rsid w:val="002D42CA"/>
    <w:rsid w:val="002D4A31"/>
    <w:rsid w:val="002D6276"/>
    <w:rsid w:val="002D65D6"/>
    <w:rsid w:val="002D6F2F"/>
    <w:rsid w:val="002D70E2"/>
    <w:rsid w:val="002D7520"/>
    <w:rsid w:val="002D75B4"/>
    <w:rsid w:val="002E0158"/>
    <w:rsid w:val="002E09F5"/>
    <w:rsid w:val="002E1AAA"/>
    <w:rsid w:val="002E2220"/>
    <w:rsid w:val="002E399C"/>
    <w:rsid w:val="002E4429"/>
    <w:rsid w:val="002E492D"/>
    <w:rsid w:val="002E5660"/>
    <w:rsid w:val="002E5902"/>
    <w:rsid w:val="002E5BCF"/>
    <w:rsid w:val="002E5BD1"/>
    <w:rsid w:val="002E62C3"/>
    <w:rsid w:val="002E64AC"/>
    <w:rsid w:val="002E6814"/>
    <w:rsid w:val="002E7157"/>
    <w:rsid w:val="002F158E"/>
    <w:rsid w:val="002F1989"/>
    <w:rsid w:val="002F29E5"/>
    <w:rsid w:val="002F2BA0"/>
    <w:rsid w:val="002F3411"/>
    <w:rsid w:val="002F4814"/>
    <w:rsid w:val="002F597D"/>
    <w:rsid w:val="002F66BC"/>
    <w:rsid w:val="002F6AB6"/>
    <w:rsid w:val="002F7ED8"/>
    <w:rsid w:val="002F7F27"/>
    <w:rsid w:val="00300056"/>
    <w:rsid w:val="00300281"/>
    <w:rsid w:val="0030142E"/>
    <w:rsid w:val="00303039"/>
    <w:rsid w:val="0030320C"/>
    <w:rsid w:val="00303420"/>
    <w:rsid w:val="0030350B"/>
    <w:rsid w:val="00303CAC"/>
    <w:rsid w:val="003043BA"/>
    <w:rsid w:val="00304841"/>
    <w:rsid w:val="0030514C"/>
    <w:rsid w:val="00305297"/>
    <w:rsid w:val="00305E4A"/>
    <w:rsid w:val="0030621F"/>
    <w:rsid w:val="003065D2"/>
    <w:rsid w:val="00306BD3"/>
    <w:rsid w:val="00307484"/>
    <w:rsid w:val="00307B7F"/>
    <w:rsid w:val="00307CB6"/>
    <w:rsid w:val="003104FC"/>
    <w:rsid w:val="003108E2"/>
    <w:rsid w:val="00310FBA"/>
    <w:rsid w:val="003116CF"/>
    <w:rsid w:val="003127CC"/>
    <w:rsid w:val="00312BBF"/>
    <w:rsid w:val="00315198"/>
    <w:rsid w:val="00315F6D"/>
    <w:rsid w:val="003161F5"/>
    <w:rsid w:val="00316A8F"/>
    <w:rsid w:val="00316C29"/>
    <w:rsid w:val="0032029A"/>
    <w:rsid w:val="00320334"/>
    <w:rsid w:val="003213A6"/>
    <w:rsid w:val="003215D4"/>
    <w:rsid w:val="00321B58"/>
    <w:rsid w:val="003223D0"/>
    <w:rsid w:val="003228E1"/>
    <w:rsid w:val="00322949"/>
    <w:rsid w:val="003238B3"/>
    <w:rsid w:val="003238E1"/>
    <w:rsid w:val="003238F3"/>
    <w:rsid w:val="00323FA9"/>
    <w:rsid w:val="003265AC"/>
    <w:rsid w:val="00327936"/>
    <w:rsid w:val="0033060C"/>
    <w:rsid w:val="00330F4A"/>
    <w:rsid w:val="00331180"/>
    <w:rsid w:val="00331295"/>
    <w:rsid w:val="0033168B"/>
    <w:rsid w:val="003317CA"/>
    <w:rsid w:val="00332370"/>
    <w:rsid w:val="003329A6"/>
    <w:rsid w:val="00332A9D"/>
    <w:rsid w:val="00333170"/>
    <w:rsid w:val="00333602"/>
    <w:rsid w:val="00333870"/>
    <w:rsid w:val="00333B29"/>
    <w:rsid w:val="003340B8"/>
    <w:rsid w:val="003363AB"/>
    <w:rsid w:val="00337313"/>
    <w:rsid w:val="003379FC"/>
    <w:rsid w:val="0034102D"/>
    <w:rsid w:val="003418D5"/>
    <w:rsid w:val="0034258A"/>
    <w:rsid w:val="00342EC5"/>
    <w:rsid w:val="0034316E"/>
    <w:rsid w:val="003435BD"/>
    <w:rsid w:val="0034368B"/>
    <w:rsid w:val="0034378E"/>
    <w:rsid w:val="003441C8"/>
    <w:rsid w:val="00344FF2"/>
    <w:rsid w:val="003450B9"/>
    <w:rsid w:val="003452A1"/>
    <w:rsid w:val="00345E0D"/>
    <w:rsid w:val="00345F10"/>
    <w:rsid w:val="00345FB5"/>
    <w:rsid w:val="0034619D"/>
    <w:rsid w:val="0034731A"/>
    <w:rsid w:val="0034753A"/>
    <w:rsid w:val="00347769"/>
    <w:rsid w:val="00347A91"/>
    <w:rsid w:val="00347B75"/>
    <w:rsid w:val="00350181"/>
    <w:rsid w:val="00350762"/>
    <w:rsid w:val="00350A8A"/>
    <w:rsid w:val="00351476"/>
    <w:rsid w:val="00351567"/>
    <w:rsid w:val="00351E0D"/>
    <w:rsid w:val="00352D68"/>
    <w:rsid w:val="00353420"/>
    <w:rsid w:val="00353855"/>
    <w:rsid w:val="0035422C"/>
    <w:rsid w:val="003543CD"/>
    <w:rsid w:val="003549E5"/>
    <w:rsid w:val="0035531A"/>
    <w:rsid w:val="00357EBF"/>
    <w:rsid w:val="00360006"/>
    <w:rsid w:val="0036021A"/>
    <w:rsid w:val="0036126E"/>
    <w:rsid w:val="0036158A"/>
    <w:rsid w:val="00361655"/>
    <w:rsid w:val="003623BD"/>
    <w:rsid w:val="00362689"/>
    <w:rsid w:val="00363E58"/>
    <w:rsid w:val="0036505E"/>
    <w:rsid w:val="003650A2"/>
    <w:rsid w:val="003669BE"/>
    <w:rsid w:val="00367104"/>
    <w:rsid w:val="00367A4C"/>
    <w:rsid w:val="00371134"/>
    <w:rsid w:val="00371C18"/>
    <w:rsid w:val="003723B4"/>
    <w:rsid w:val="00372775"/>
    <w:rsid w:val="00373EE5"/>
    <w:rsid w:val="00373FD6"/>
    <w:rsid w:val="003742EF"/>
    <w:rsid w:val="00374CBB"/>
    <w:rsid w:val="00375C37"/>
    <w:rsid w:val="00377398"/>
    <w:rsid w:val="003774E0"/>
    <w:rsid w:val="00380AD2"/>
    <w:rsid w:val="003811CB"/>
    <w:rsid w:val="00381507"/>
    <w:rsid w:val="00382F38"/>
    <w:rsid w:val="003831A4"/>
    <w:rsid w:val="003833FB"/>
    <w:rsid w:val="003837B8"/>
    <w:rsid w:val="00383810"/>
    <w:rsid w:val="00384B7E"/>
    <w:rsid w:val="00385526"/>
    <w:rsid w:val="00385966"/>
    <w:rsid w:val="0038623E"/>
    <w:rsid w:val="00386787"/>
    <w:rsid w:val="003868AB"/>
    <w:rsid w:val="00386D68"/>
    <w:rsid w:val="00386E85"/>
    <w:rsid w:val="00386ECA"/>
    <w:rsid w:val="003874C6"/>
    <w:rsid w:val="003876DE"/>
    <w:rsid w:val="00387EB3"/>
    <w:rsid w:val="00390062"/>
    <w:rsid w:val="003903B6"/>
    <w:rsid w:val="00390813"/>
    <w:rsid w:val="003908FB"/>
    <w:rsid w:val="0039092F"/>
    <w:rsid w:val="00390B6D"/>
    <w:rsid w:val="003914EE"/>
    <w:rsid w:val="00391BB7"/>
    <w:rsid w:val="00391C20"/>
    <w:rsid w:val="00391E12"/>
    <w:rsid w:val="00391EA3"/>
    <w:rsid w:val="00391F01"/>
    <w:rsid w:val="00393511"/>
    <w:rsid w:val="00393BEF"/>
    <w:rsid w:val="00394663"/>
    <w:rsid w:val="003953BD"/>
    <w:rsid w:val="00396828"/>
    <w:rsid w:val="003A0552"/>
    <w:rsid w:val="003A1AB2"/>
    <w:rsid w:val="003A1CAC"/>
    <w:rsid w:val="003A2506"/>
    <w:rsid w:val="003A30BE"/>
    <w:rsid w:val="003A4F81"/>
    <w:rsid w:val="003A5136"/>
    <w:rsid w:val="003A7282"/>
    <w:rsid w:val="003B03A7"/>
    <w:rsid w:val="003B076B"/>
    <w:rsid w:val="003B095E"/>
    <w:rsid w:val="003B2A80"/>
    <w:rsid w:val="003B2D5A"/>
    <w:rsid w:val="003B40D6"/>
    <w:rsid w:val="003B4141"/>
    <w:rsid w:val="003B448D"/>
    <w:rsid w:val="003B4AF1"/>
    <w:rsid w:val="003B4AF2"/>
    <w:rsid w:val="003B7E63"/>
    <w:rsid w:val="003C064B"/>
    <w:rsid w:val="003C19DE"/>
    <w:rsid w:val="003C2E67"/>
    <w:rsid w:val="003C2F93"/>
    <w:rsid w:val="003C36C7"/>
    <w:rsid w:val="003C3E27"/>
    <w:rsid w:val="003C3E78"/>
    <w:rsid w:val="003C400D"/>
    <w:rsid w:val="003C46B8"/>
    <w:rsid w:val="003C5264"/>
    <w:rsid w:val="003C526D"/>
    <w:rsid w:val="003C596C"/>
    <w:rsid w:val="003C59F6"/>
    <w:rsid w:val="003C6F74"/>
    <w:rsid w:val="003C7CF8"/>
    <w:rsid w:val="003D19C4"/>
    <w:rsid w:val="003D1EC7"/>
    <w:rsid w:val="003D1F8E"/>
    <w:rsid w:val="003D278E"/>
    <w:rsid w:val="003D2B97"/>
    <w:rsid w:val="003D2F51"/>
    <w:rsid w:val="003D2F6B"/>
    <w:rsid w:val="003D4442"/>
    <w:rsid w:val="003D50FF"/>
    <w:rsid w:val="003D51E8"/>
    <w:rsid w:val="003D7048"/>
    <w:rsid w:val="003D7121"/>
    <w:rsid w:val="003D7C86"/>
    <w:rsid w:val="003E054A"/>
    <w:rsid w:val="003E0B59"/>
    <w:rsid w:val="003E0DD8"/>
    <w:rsid w:val="003E0F1E"/>
    <w:rsid w:val="003E11F3"/>
    <w:rsid w:val="003E2E8F"/>
    <w:rsid w:val="003E3530"/>
    <w:rsid w:val="003E3747"/>
    <w:rsid w:val="003E3A5B"/>
    <w:rsid w:val="003E3D91"/>
    <w:rsid w:val="003E4240"/>
    <w:rsid w:val="003E42D7"/>
    <w:rsid w:val="003E5D4F"/>
    <w:rsid w:val="003E6357"/>
    <w:rsid w:val="003E6FFC"/>
    <w:rsid w:val="003E7516"/>
    <w:rsid w:val="003E7AAE"/>
    <w:rsid w:val="003F1445"/>
    <w:rsid w:val="003F201A"/>
    <w:rsid w:val="003F28E0"/>
    <w:rsid w:val="003F2BCD"/>
    <w:rsid w:val="003F34BB"/>
    <w:rsid w:val="003F394E"/>
    <w:rsid w:val="003F6B20"/>
    <w:rsid w:val="003F7CB0"/>
    <w:rsid w:val="004001B9"/>
    <w:rsid w:val="0040052B"/>
    <w:rsid w:val="00401249"/>
    <w:rsid w:val="004017AF"/>
    <w:rsid w:val="00401D94"/>
    <w:rsid w:val="00401F7B"/>
    <w:rsid w:val="00404141"/>
    <w:rsid w:val="004044E2"/>
    <w:rsid w:val="0040466F"/>
    <w:rsid w:val="00404B93"/>
    <w:rsid w:val="004052B0"/>
    <w:rsid w:val="00405FC2"/>
    <w:rsid w:val="0040665B"/>
    <w:rsid w:val="00406B98"/>
    <w:rsid w:val="004071DC"/>
    <w:rsid w:val="0040776D"/>
    <w:rsid w:val="004078E2"/>
    <w:rsid w:val="00410734"/>
    <w:rsid w:val="00410E1A"/>
    <w:rsid w:val="004122A9"/>
    <w:rsid w:val="00413A3C"/>
    <w:rsid w:val="00413F66"/>
    <w:rsid w:val="00414807"/>
    <w:rsid w:val="00415AB5"/>
    <w:rsid w:val="00415B76"/>
    <w:rsid w:val="0041670F"/>
    <w:rsid w:val="00416FB3"/>
    <w:rsid w:val="00417604"/>
    <w:rsid w:val="004206DF"/>
    <w:rsid w:val="004208D3"/>
    <w:rsid w:val="004226C5"/>
    <w:rsid w:val="00422E20"/>
    <w:rsid w:val="004231F0"/>
    <w:rsid w:val="00423D08"/>
    <w:rsid w:val="00423F98"/>
    <w:rsid w:val="00425198"/>
    <w:rsid w:val="00426211"/>
    <w:rsid w:val="0042644D"/>
    <w:rsid w:val="004279AB"/>
    <w:rsid w:val="00427F76"/>
    <w:rsid w:val="0043177B"/>
    <w:rsid w:val="00433B44"/>
    <w:rsid w:val="00433BBA"/>
    <w:rsid w:val="0043408D"/>
    <w:rsid w:val="00434166"/>
    <w:rsid w:val="0043490E"/>
    <w:rsid w:val="0043567B"/>
    <w:rsid w:val="004357F0"/>
    <w:rsid w:val="00435BC1"/>
    <w:rsid w:val="004365A1"/>
    <w:rsid w:val="00436B12"/>
    <w:rsid w:val="00436DAE"/>
    <w:rsid w:val="00436DAF"/>
    <w:rsid w:val="00436F23"/>
    <w:rsid w:val="00437373"/>
    <w:rsid w:val="00437740"/>
    <w:rsid w:val="00437A79"/>
    <w:rsid w:val="00437CBA"/>
    <w:rsid w:val="00440C1A"/>
    <w:rsid w:val="00440D74"/>
    <w:rsid w:val="00441EF3"/>
    <w:rsid w:val="00442890"/>
    <w:rsid w:val="004429AB"/>
    <w:rsid w:val="00442BAB"/>
    <w:rsid w:val="00442DBF"/>
    <w:rsid w:val="00442FFE"/>
    <w:rsid w:val="004434AC"/>
    <w:rsid w:val="00443AE1"/>
    <w:rsid w:val="00443B84"/>
    <w:rsid w:val="004442C0"/>
    <w:rsid w:val="004444C6"/>
    <w:rsid w:val="0044483C"/>
    <w:rsid w:val="00445F32"/>
    <w:rsid w:val="004477EC"/>
    <w:rsid w:val="00447D61"/>
    <w:rsid w:val="004502ED"/>
    <w:rsid w:val="00451247"/>
    <w:rsid w:val="004521E9"/>
    <w:rsid w:val="00452468"/>
    <w:rsid w:val="004529C3"/>
    <w:rsid w:val="00452A57"/>
    <w:rsid w:val="00452DAF"/>
    <w:rsid w:val="0045314D"/>
    <w:rsid w:val="00453306"/>
    <w:rsid w:val="0045331C"/>
    <w:rsid w:val="004536AC"/>
    <w:rsid w:val="0045486B"/>
    <w:rsid w:val="00454FCD"/>
    <w:rsid w:val="0045512E"/>
    <w:rsid w:val="00455235"/>
    <w:rsid w:val="0045583B"/>
    <w:rsid w:val="00455D19"/>
    <w:rsid w:val="00457992"/>
    <w:rsid w:val="00457A5D"/>
    <w:rsid w:val="0046015E"/>
    <w:rsid w:val="00460E81"/>
    <w:rsid w:val="004616E8"/>
    <w:rsid w:val="004618B7"/>
    <w:rsid w:val="00462219"/>
    <w:rsid w:val="00462EC6"/>
    <w:rsid w:val="0046359D"/>
    <w:rsid w:val="004636A2"/>
    <w:rsid w:val="0046534D"/>
    <w:rsid w:val="00465A50"/>
    <w:rsid w:val="00465C6F"/>
    <w:rsid w:val="00465D76"/>
    <w:rsid w:val="00465F07"/>
    <w:rsid w:val="004674B1"/>
    <w:rsid w:val="0047022A"/>
    <w:rsid w:val="00470494"/>
    <w:rsid w:val="0047175E"/>
    <w:rsid w:val="004722E8"/>
    <w:rsid w:val="004729B2"/>
    <w:rsid w:val="00472E8B"/>
    <w:rsid w:val="00473681"/>
    <w:rsid w:val="00473BC8"/>
    <w:rsid w:val="004752EC"/>
    <w:rsid w:val="00475A1D"/>
    <w:rsid w:val="00475A52"/>
    <w:rsid w:val="00476F92"/>
    <w:rsid w:val="00477A51"/>
    <w:rsid w:val="00477FEA"/>
    <w:rsid w:val="00480003"/>
    <w:rsid w:val="0048035F"/>
    <w:rsid w:val="00480DFF"/>
    <w:rsid w:val="00480FF8"/>
    <w:rsid w:val="004813EA"/>
    <w:rsid w:val="004817F5"/>
    <w:rsid w:val="00481FC9"/>
    <w:rsid w:val="0048215B"/>
    <w:rsid w:val="0048268A"/>
    <w:rsid w:val="00482742"/>
    <w:rsid w:val="00482A77"/>
    <w:rsid w:val="00483163"/>
    <w:rsid w:val="00483574"/>
    <w:rsid w:val="0048382F"/>
    <w:rsid w:val="00483EF1"/>
    <w:rsid w:val="0048463F"/>
    <w:rsid w:val="00484E21"/>
    <w:rsid w:val="00484EE5"/>
    <w:rsid w:val="004852E4"/>
    <w:rsid w:val="00485546"/>
    <w:rsid w:val="004857DE"/>
    <w:rsid w:val="00485A32"/>
    <w:rsid w:val="00486036"/>
    <w:rsid w:val="00486691"/>
    <w:rsid w:val="00487879"/>
    <w:rsid w:val="004906E1"/>
    <w:rsid w:val="0049073D"/>
    <w:rsid w:val="00490DDA"/>
    <w:rsid w:val="00490FDA"/>
    <w:rsid w:val="00491171"/>
    <w:rsid w:val="0049152E"/>
    <w:rsid w:val="00493080"/>
    <w:rsid w:val="00493353"/>
    <w:rsid w:val="00493955"/>
    <w:rsid w:val="00495127"/>
    <w:rsid w:val="00495896"/>
    <w:rsid w:val="00495D7E"/>
    <w:rsid w:val="00495D83"/>
    <w:rsid w:val="004962BD"/>
    <w:rsid w:val="00497607"/>
    <w:rsid w:val="004A08A5"/>
    <w:rsid w:val="004A0EBE"/>
    <w:rsid w:val="004A0EC2"/>
    <w:rsid w:val="004A29FC"/>
    <w:rsid w:val="004A317A"/>
    <w:rsid w:val="004A3D85"/>
    <w:rsid w:val="004A4A72"/>
    <w:rsid w:val="004A5036"/>
    <w:rsid w:val="004A560E"/>
    <w:rsid w:val="004A5AD9"/>
    <w:rsid w:val="004A6343"/>
    <w:rsid w:val="004A68F3"/>
    <w:rsid w:val="004A777C"/>
    <w:rsid w:val="004A7CF3"/>
    <w:rsid w:val="004B0491"/>
    <w:rsid w:val="004B060B"/>
    <w:rsid w:val="004B08B7"/>
    <w:rsid w:val="004B12B3"/>
    <w:rsid w:val="004B15FE"/>
    <w:rsid w:val="004B17BB"/>
    <w:rsid w:val="004B1AEB"/>
    <w:rsid w:val="004B20C7"/>
    <w:rsid w:val="004B309E"/>
    <w:rsid w:val="004B3545"/>
    <w:rsid w:val="004B56BD"/>
    <w:rsid w:val="004B5F14"/>
    <w:rsid w:val="004B6009"/>
    <w:rsid w:val="004B6240"/>
    <w:rsid w:val="004B65EA"/>
    <w:rsid w:val="004B7399"/>
    <w:rsid w:val="004B7621"/>
    <w:rsid w:val="004B7925"/>
    <w:rsid w:val="004B7DBA"/>
    <w:rsid w:val="004C0036"/>
    <w:rsid w:val="004C034D"/>
    <w:rsid w:val="004C0883"/>
    <w:rsid w:val="004C1D5F"/>
    <w:rsid w:val="004C1D80"/>
    <w:rsid w:val="004C2683"/>
    <w:rsid w:val="004C2BD5"/>
    <w:rsid w:val="004C39AF"/>
    <w:rsid w:val="004C3DA1"/>
    <w:rsid w:val="004C42E4"/>
    <w:rsid w:val="004C5829"/>
    <w:rsid w:val="004C5913"/>
    <w:rsid w:val="004C5A16"/>
    <w:rsid w:val="004C658D"/>
    <w:rsid w:val="004C668D"/>
    <w:rsid w:val="004C6BBC"/>
    <w:rsid w:val="004C7064"/>
    <w:rsid w:val="004C73F3"/>
    <w:rsid w:val="004C7EDF"/>
    <w:rsid w:val="004D0376"/>
    <w:rsid w:val="004D0483"/>
    <w:rsid w:val="004D07DE"/>
    <w:rsid w:val="004D0BE7"/>
    <w:rsid w:val="004D1489"/>
    <w:rsid w:val="004D1F9B"/>
    <w:rsid w:val="004D3294"/>
    <w:rsid w:val="004D39FD"/>
    <w:rsid w:val="004D4149"/>
    <w:rsid w:val="004D42D3"/>
    <w:rsid w:val="004D7A56"/>
    <w:rsid w:val="004E069D"/>
    <w:rsid w:val="004E0DDC"/>
    <w:rsid w:val="004E13DF"/>
    <w:rsid w:val="004E1873"/>
    <w:rsid w:val="004E1BC0"/>
    <w:rsid w:val="004E1E56"/>
    <w:rsid w:val="004E214A"/>
    <w:rsid w:val="004E2467"/>
    <w:rsid w:val="004E2565"/>
    <w:rsid w:val="004E29E7"/>
    <w:rsid w:val="004E2BE0"/>
    <w:rsid w:val="004E399B"/>
    <w:rsid w:val="004E3C71"/>
    <w:rsid w:val="004E4278"/>
    <w:rsid w:val="004E438B"/>
    <w:rsid w:val="004E4E4D"/>
    <w:rsid w:val="004E5226"/>
    <w:rsid w:val="004E595F"/>
    <w:rsid w:val="004E5A23"/>
    <w:rsid w:val="004E5B40"/>
    <w:rsid w:val="004E6151"/>
    <w:rsid w:val="004E64AE"/>
    <w:rsid w:val="004E6544"/>
    <w:rsid w:val="004E68AE"/>
    <w:rsid w:val="004E6C61"/>
    <w:rsid w:val="004E6EAC"/>
    <w:rsid w:val="004E706E"/>
    <w:rsid w:val="004E7BC0"/>
    <w:rsid w:val="004E7E10"/>
    <w:rsid w:val="004F0068"/>
    <w:rsid w:val="004F029C"/>
    <w:rsid w:val="004F09DB"/>
    <w:rsid w:val="004F1317"/>
    <w:rsid w:val="004F1750"/>
    <w:rsid w:val="004F24B5"/>
    <w:rsid w:val="004F32AE"/>
    <w:rsid w:val="004F337A"/>
    <w:rsid w:val="004F4092"/>
    <w:rsid w:val="004F4449"/>
    <w:rsid w:val="004F4A23"/>
    <w:rsid w:val="004F4F1F"/>
    <w:rsid w:val="004F4F56"/>
    <w:rsid w:val="004F57B3"/>
    <w:rsid w:val="004F5EE0"/>
    <w:rsid w:val="004F6760"/>
    <w:rsid w:val="004F67CE"/>
    <w:rsid w:val="004F6FDE"/>
    <w:rsid w:val="004F78FB"/>
    <w:rsid w:val="004F7BC7"/>
    <w:rsid w:val="00500026"/>
    <w:rsid w:val="0050052F"/>
    <w:rsid w:val="00501090"/>
    <w:rsid w:val="00501B3A"/>
    <w:rsid w:val="0050247A"/>
    <w:rsid w:val="005040F7"/>
    <w:rsid w:val="00504345"/>
    <w:rsid w:val="00504CA9"/>
    <w:rsid w:val="00505793"/>
    <w:rsid w:val="00506F53"/>
    <w:rsid w:val="00507B51"/>
    <w:rsid w:val="00507B8A"/>
    <w:rsid w:val="0051054A"/>
    <w:rsid w:val="00510F84"/>
    <w:rsid w:val="00511CC8"/>
    <w:rsid w:val="00512BD8"/>
    <w:rsid w:val="00512D78"/>
    <w:rsid w:val="00512D9E"/>
    <w:rsid w:val="005134FD"/>
    <w:rsid w:val="00513516"/>
    <w:rsid w:val="00513E75"/>
    <w:rsid w:val="00514C2D"/>
    <w:rsid w:val="00514C7E"/>
    <w:rsid w:val="00514E5F"/>
    <w:rsid w:val="00515300"/>
    <w:rsid w:val="00515CE9"/>
    <w:rsid w:val="00517FC2"/>
    <w:rsid w:val="00520561"/>
    <w:rsid w:val="00521712"/>
    <w:rsid w:val="00521E9B"/>
    <w:rsid w:val="00522517"/>
    <w:rsid w:val="00522D07"/>
    <w:rsid w:val="0052480B"/>
    <w:rsid w:val="00524A6E"/>
    <w:rsid w:val="00524EDE"/>
    <w:rsid w:val="00525065"/>
    <w:rsid w:val="005251FC"/>
    <w:rsid w:val="00525202"/>
    <w:rsid w:val="0052520A"/>
    <w:rsid w:val="00526237"/>
    <w:rsid w:val="00526AE0"/>
    <w:rsid w:val="00527C58"/>
    <w:rsid w:val="00527F10"/>
    <w:rsid w:val="0053087E"/>
    <w:rsid w:val="00531052"/>
    <w:rsid w:val="0053195E"/>
    <w:rsid w:val="00531F77"/>
    <w:rsid w:val="00531F99"/>
    <w:rsid w:val="005326DA"/>
    <w:rsid w:val="0053277F"/>
    <w:rsid w:val="00532986"/>
    <w:rsid w:val="00533255"/>
    <w:rsid w:val="005344C3"/>
    <w:rsid w:val="00535712"/>
    <w:rsid w:val="00536A13"/>
    <w:rsid w:val="005377C6"/>
    <w:rsid w:val="00537942"/>
    <w:rsid w:val="00537A4A"/>
    <w:rsid w:val="00537ABC"/>
    <w:rsid w:val="00537B62"/>
    <w:rsid w:val="00540129"/>
    <w:rsid w:val="00540E0B"/>
    <w:rsid w:val="0054140C"/>
    <w:rsid w:val="00541469"/>
    <w:rsid w:val="0054165C"/>
    <w:rsid w:val="005416A7"/>
    <w:rsid w:val="005421B0"/>
    <w:rsid w:val="0054318B"/>
    <w:rsid w:val="005431DF"/>
    <w:rsid w:val="00543422"/>
    <w:rsid w:val="00543510"/>
    <w:rsid w:val="00543911"/>
    <w:rsid w:val="00544B56"/>
    <w:rsid w:val="00545938"/>
    <w:rsid w:val="00545CA5"/>
    <w:rsid w:val="005465A6"/>
    <w:rsid w:val="00547AE4"/>
    <w:rsid w:val="0055078D"/>
    <w:rsid w:val="005523D5"/>
    <w:rsid w:val="0055246E"/>
    <w:rsid w:val="00553F12"/>
    <w:rsid w:val="005549B9"/>
    <w:rsid w:val="005552ED"/>
    <w:rsid w:val="00555534"/>
    <w:rsid w:val="00555CED"/>
    <w:rsid w:val="00555E00"/>
    <w:rsid w:val="0055708F"/>
    <w:rsid w:val="005572BC"/>
    <w:rsid w:val="005573CE"/>
    <w:rsid w:val="00557CA0"/>
    <w:rsid w:val="00560B22"/>
    <w:rsid w:val="00561C3F"/>
    <w:rsid w:val="00562393"/>
    <w:rsid w:val="00562555"/>
    <w:rsid w:val="00562735"/>
    <w:rsid w:val="0056304A"/>
    <w:rsid w:val="00563110"/>
    <w:rsid w:val="005644A5"/>
    <w:rsid w:val="00564F80"/>
    <w:rsid w:val="00565044"/>
    <w:rsid w:val="00565F78"/>
    <w:rsid w:val="0056605F"/>
    <w:rsid w:val="005662B6"/>
    <w:rsid w:val="005675E0"/>
    <w:rsid w:val="00567968"/>
    <w:rsid w:val="00567AD5"/>
    <w:rsid w:val="00567CC7"/>
    <w:rsid w:val="00567D34"/>
    <w:rsid w:val="00567E3B"/>
    <w:rsid w:val="00567EAC"/>
    <w:rsid w:val="0057146D"/>
    <w:rsid w:val="00571791"/>
    <w:rsid w:val="00572615"/>
    <w:rsid w:val="005728F6"/>
    <w:rsid w:val="005737E3"/>
    <w:rsid w:val="00573903"/>
    <w:rsid w:val="00573A7E"/>
    <w:rsid w:val="00573ECB"/>
    <w:rsid w:val="0057418C"/>
    <w:rsid w:val="00574E4D"/>
    <w:rsid w:val="00575174"/>
    <w:rsid w:val="00575C4A"/>
    <w:rsid w:val="00575DAB"/>
    <w:rsid w:val="0057633F"/>
    <w:rsid w:val="00577AFC"/>
    <w:rsid w:val="005800B7"/>
    <w:rsid w:val="0058150C"/>
    <w:rsid w:val="00581A7C"/>
    <w:rsid w:val="00581C8D"/>
    <w:rsid w:val="005829DD"/>
    <w:rsid w:val="00583DCA"/>
    <w:rsid w:val="00583E93"/>
    <w:rsid w:val="00584304"/>
    <w:rsid w:val="00584C45"/>
    <w:rsid w:val="00585793"/>
    <w:rsid w:val="00586E5F"/>
    <w:rsid w:val="005874CE"/>
    <w:rsid w:val="005878A6"/>
    <w:rsid w:val="005879DC"/>
    <w:rsid w:val="00587D3B"/>
    <w:rsid w:val="00590B0A"/>
    <w:rsid w:val="00590CD9"/>
    <w:rsid w:val="00591845"/>
    <w:rsid w:val="005935EA"/>
    <w:rsid w:val="00594A2C"/>
    <w:rsid w:val="00594B99"/>
    <w:rsid w:val="00594F20"/>
    <w:rsid w:val="005959DF"/>
    <w:rsid w:val="00595B67"/>
    <w:rsid w:val="00596C30"/>
    <w:rsid w:val="00596F78"/>
    <w:rsid w:val="005A02AE"/>
    <w:rsid w:val="005A0896"/>
    <w:rsid w:val="005A2DB0"/>
    <w:rsid w:val="005A397B"/>
    <w:rsid w:val="005A514E"/>
    <w:rsid w:val="005A51FB"/>
    <w:rsid w:val="005A604C"/>
    <w:rsid w:val="005A667D"/>
    <w:rsid w:val="005A69D7"/>
    <w:rsid w:val="005A6B08"/>
    <w:rsid w:val="005A7189"/>
    <w:rsid w:val="005A7809"/>
    <w:rsid w:val="005A78D1"/>
    <w:rsid w:val="005B062E"/>
    <w:rsid w:val="005B1B36"/>
    <w:rsid w:val="005B26F3"/>
    <w:rsid w:val="005B2BF8"/>
    <w:rsid w:val="005B2E17"/>
    <w:rsid w:val="005B2E6A"/>
    <w:rsid w:val="005B2EC7"/>
    <w:rsid w:val="005B3D43"/>
    <w:rsid w:val="005B3F6B"/>
    <w:rsid w:val="005B461D"/>
    <w:rsid w:val="005B4A2F"/>
    <w:rsid w:val="005B54BB"/>
    <w:rsid w:val="005B61F2"/>
    <w:rsid w:val="005B647E"/>
    <w:rsid w:val="005B6757"/>
    <w:rsid w:val="005B6CBA"/>
    <w:rsid w:val="005B7968"/>
    <w:rsid w:val="005B7B16"/>
    <w:rsid w:val="005C046C"/>
    <w:rsid w:val="005C04D7"/>
    <w:rsid w:val="005C09DD"/>
    <w:rsid w:val="005C0B13"/>
    <w:rsid w:val="005C0FD4"/>
    <w:rsid w:val="005C161B"/>
    <w:rsid w:val="005C2FE8"/>
    <w:rsid w:val="005C398A"/>
    <w:rsid w:val="005C3C7A"/>
    <w:rsid w:val="005C422A"/>
    <w:rsid w:val="005C48E1"/>
    <w:rsid w:val="005C5FE4"/>
    <w:rsid w:val="005C6D85"/>
    <w:rsid w:val="005C7081"/>
    <w:rsid w:val="005C7431"/>
    <w:rsid w:val="005C7693"/>
    <w:rsid w:val="005C77A2"/>
    <w:rsid w:val="005D04C5"/>
    <w:rsid w:val="005D0A67"/>
    <w:rsid w:val="005D19D7"/>
    <w:rsid w:val="005D2AC9"/>
    <w:rsid w:val="005D2F96"/>
    <w:rsid w:val="005D4142"/>
    <w:rsid w:val="005D43AE"/>
    <w:rsid w:val="005D51B6"/>
    <w:rsid w:val="005D52E7"/>
    <w:rsid w:val="005D72DF"/>
    <w:rsid w:val="005D767C"/>
    <w:rsid w:val="005D7DB6"/>
    <w:rsid w:val="005D7F80"/>
    <w:rsid w:val="005E0051"/>
    <w:rsid w:val="005E0EB1"/>
    <w:rsid w:val="005E1248"/>
    <w:rsid w:val="005E1B71"/>
    <w:rsid w:val="005E2BE5"/>
    <w:rsid w:val="005E2E16"/>
    <w:rsid w:val="005E3428"/>
    <w:rsid w:val="005E3468"/>
    <w:rsid w:val="005E3641"/>
    <w:rsid w:val="005E38E4"/>
    <w:rsid w:val="005E4065"/>
    <w:rsid w:val="005E4328"/>
    <w:rsid w:val="005E4ACE"/>
    <w:rsid w:val="005E4B25"/>
    <w:rsid w:val="005E5AAE"/>
    <w:rsid w:val="005E6FDC"/>
    <w:rsid w:val="005E7457"/>
    <w:rsid w:val="005E780F"/>
    <w:rsid w:val="005F062E"/>
    <w:rsid w:val="005F0747"/>
    <w:rsid w:val="005F1349"/>
    <w:rsid w:val="005F1746"/>
    <w:rsid w:val="005F192B"/>
    <w:rsid w:val="005F1A49"/>
    <w:rsid w:val="005F1C21"/>
    <w:rsid w:val="005F1E2F"/>
    <w:rsid w:val="005F1F4A"/>
    <w:rsid w:val="005F2567"/>
    <w:rsid w:val="005F2749"/>
    <w:rsid w:val="005F3559"/>
    <w:rsid w:val="005F3F09"/>
    <w:rsid w:val="005F3F6A"/>
    <w:rsid w:val="005F47AE"/>
    <w:rsid w:val="005F4BBB"/>
    <w:rsid w:val="005F4EEA"/>
    <w:rsid w:val="005F5617"/>
    <w:rsid w:val="005F6249"/>
    <w:rsid w:val="005F68BA"/>
    <w:rsid w:val="005F7E87"/>
    <w:rsid w:val="006001EF"/>
    <w:rsid w:val="0060072D"/>
    <w:rsid w:val="00601489"/>
    <w:rsid w:val="00601686"/>
    <w:rsid w:val="006020D1"/>
    <w:rsid w:val="00602CCB"/>
    <w:rsid w:val="00602FB8"/>
    <w:rsid w:val="00603008"/>
    <w:rsid w:val="00603221"/>
    <w:rsid w:val="006039E9"/>
    <w:rsid w:val="00603A7F"/>
    <w:rsid w:val="0060494B"/>
    <w:rsid w:val="00604E59"/>
    <w:rsid w:val="0060510F"/>
    <w:rsid w:val="0060522F"/>
    <w:rsid w:val="00605F2C"/>
    <w:rsid w:val="006078B5"/>
    <w:rsid w:val="006101D0"/>
    <w:rsid w:val="0061152E"/>
    <w:rsid w:val="00611C41"/>
    <w:rsid w:val="00612566"/>
    <w:rsid w:val="00612802"/>
    <w:rsid w:val="0061297A"/>
    <w:rsid w:val="006151A4"/>
    <w:rsid w:val="00615485"/>
    <w:rsid w:val="0061552E"/>
    <w:rsid w:val="00615727"/>
    <w:rsid w:val="00616030"/>
    <w:rsid w:val="00616660"/>
    <w:rsid w:val="00617038"/>
    <w:rsid w:val="00620532"/>
    <w:rsid w:val="0062154D"/>
    <w:rsid w:val="00621DB7"/>
    <w:rsid w:val="006224A0"/>
    <w:rsid w:val="0062388C"/>
    <w:rsid w:val="00623B1A"/>
    <w:rsid w:val="00623E4E"/>
    <w:rsid w:val="0062454F"/>
    <w:rsid w:val="00625F72"/>
    <w:rsid w:val="006268D2"/>
    <w:rsid w:val="00626C70"/>
    <w:rsid w:val="0062738B"/>
    <w:rsid w:val="00627411"/>
    <w:rsid w:val="00630492"/>
    <w:rsid w:val="00630CFB"/>
    <w:rsid w:val="00631F5B"/>
    <w:rsid w:val="00632223"/>
    <w:rsid w:val="00632314"/>
    <w:rsid w:val="006326DB"/>
    <w:rsid w:val="0063343A"/>
    <w:rsid w:val="00633538"/>
    <w:rsid w:val="00633A79"/>
    <w:rsid w:val="00633AEB"/>
    <w:rsid w:val="00633DB3"/>
    <w:rsid w:val="006345D5"/>
    <w:rsid w:val="00634E08"/>
    <w:rsid w:val="00635174"/>
    <w:rsid w:val="006351BE"/>
    <w:rsid w:val="00635A0F"/>
    <w:rsid w:val="00635C83"/>
    <w:rsid w:val="00635D74"/>
    <w:rsid w:val="00636157"/>
    <w:rsid w:val="0063616D"/>
    <w:rsid w:val="006366BF"/>
    <w:rsid w:val="00637D67"/>
    <w:rsid w:val="00637F5A"/>
    <w:rsid w:val="006412ED"/>
    <w:rsid w:val="006414E5"/>
    <w:rsid w:val="00642B6F"/>
    <w:rsid w:val="00642EA3"/>
    <w:rsid w:val="006436CE"/>
    <w:rsid w:val="00644043"/>
    <w:rsid w:val="006440E3"/>
    <w:rsid w:val="00644342"/>
    <w:rsid w:val="00645A76"/>
    <w:rsid w:val="006464E2"/>
    <w:rsid w:val="006467DD"/>
    <w:rsid w:val="00646FD8"/>
    <w:rsid w:val="006476D0"/>
    <w:rsid w:val="00647755"/>
    <w:rsid w:val="006478DC"/>
    <w:rsid w:val="006515F0"/>
    <w:rsid w:val="0065173E"/>
    <w:rsid w:val="00652EAC"/>
    <w:rsid w:val="00653853"/>
    <w:rsid w:val="00653899"/>
    <w:rsid w:val="00653E5A"/>
    <w:rsid w:val="00654DA9"/>
    <w:rsid w:val="0065575C"/>
    <w:rsid w:val="00655FAB"/>
    <w:rsid w:val="006560DB"/>
    <w:rsid w:val="0065645A"/>
    <w:rsid w:val="006569A6"/>
    <w:rsid w:val="00657074"/>
    <w:rsid w:val="0065707A"/>
    <w:rsid w:val="00657743"/>
    <w:rsid w:val="00657A94"/>
    <w:rsid w:val="006609E6"/>
    <w:rsid w:val="00660DFB"/>
    <w:rsid w:val="00661400"/>
    <w:rsid w:val="00661796"/>
    <w:rsid w:val="0066190F"/>
    <w:rsid w:val="00661B1B"/>
    <w:rsid w:val="00661F99"/>
    <w:rsid w:val="006620C4"/>
    <w:rsid w:val="00662BEC"/>
    <w:rsid w:val="00663290"/>
    <w:rsid w:val="00663728"/>
    <w:rsid w:val="00663BCA"/>
    <w:rsid w:val="006659B8"/>
    <w:rsid w:val="0066602A"/>
    <w:rsid w:val="00666A8E"/>
    <w:rsid w:val="00666D3B"/>
    <w:rsid w:val="00666D53"/>
    <w:rsid w:val="006673DF"/>
    <w:rsid w:val="006679B4"/>
    <w:rsid w:val="006679F1"/>
    <w:rsid w:val="00667B9D"/>
    <w:rsid w:val="006702F6"/>
    <w:rsid w:val="00670FD6"/>
    <w:rsid w:val="00670FDF"/>
    <w:rsid w:val="0067189C"/>
    <w:rsid w:val="00671B41"/>
    <w:rsid w:val="00671E5E"/>
    <w:rsid w:val="00671EF1"/>
    <w:rsid w:val="00671F9E"/>
    <w:rsid w:val="0067209F"/>
    <w:rsid w:val="006723FB"/>
    <w:rsid w:val="00672578"/>
    <w:rsid w:val="006727AF"/>
    <w:rsid w:val="00674C8C"/>
    <w:rsid w:val="00674E50"/>
    <w:rsid w:val="006754E2"/>
    <w:rsid w:val="00675A32"/>
    <w:rsid w:val="00675AA7"/>
    <w:rsid w:val="00675B26"/>
    <w:rsid w:val="00676058"/>
    <w:rsid w:val="00677873"/>
    <w:rsid w:val="00680E6B"/>
    <w:rsid w:val="006817C0"/>
    <w:rsid w:val="00681829"/>
    <w:rsid w:val="006819D5"/>
    <w:rsid w:val="00681FC7"/>
    <w:rsid w:val="00683B0C"/>
    <w:rsid w:val="00683BC6"/>
    <w:rsid w:val="0068431D"/>
    <w:rsid w:val="006845EB"/>
    <w:rsid w:val="00684633"/>
    <w:rsid w:val="0068490F"/>
    <w:rsid w:val="00685461"/>
    <w:rsid w:val="006865E8"/>
    <w:rsid w:val="006868FD"/>
    <w:rsid w:val="006872CC"/>
    <w:rsid w:val="006875FD"/>
    <w:rsid w:val="00687F3E"/>
    <w:rsid w:val="00691167"/>
    <w:rsid w:val="00691202"/>
    <w:rsid w:val="00691938"/>
    <w:rsid w:val="00691DFD"/>
    <w:rsid w:val="00692582"/>
    <w:rsid w:val="00692D11"/>
    <w:rsid w:val="00692D55"/>
    <w:rsid w:val="00693A13"/>
    <w:rsid w:val="006942D6"/>
    <w:rsid w:val="006955FA"/>
    <w:rsid w:val="00695B0F"/>
    <w:rsid w:val="00695F4A"/>
    <w:rsid w:val="0069643D"/>
    <w:rsid w:val="00696D33"/>
    <w:rsid w:val="00697758"/>
    <w:rsid w:val="00697DDF"/>
    <w:rsid w:val="006A0318"/>
    <w:rsid w:val="006A0969"/>
    <w:rsid w:val="006A099E"/>
    <w:rsid w:val="006A0AC5"/>
    <w:rsid w:val="006A2121"/>
    <w:rsid w:val="006A25E7"/>
    <w:rsid w:val="006A2F0C"/>
    <w:rsid w:val="006A3BBB"/>
    <w:rsid w:val="006A3DB1"/>
    <w:rsid w:val="006A3E87"/>
    <w:rsid w:val="006A406F"/>
    <w:rsid w:val="006A4565"/>
    <w:rsid w:val="006A467C"/>
    <w:rsid w:val="006A494D"/>
    <w:rsid w:val="006A4D38"/>
    <w:rsid w:val="006A5CC8"/>
    <w:rsid w:val="006A62EE"/>
    <w:rsid w:val="006A6340"/>
    <w:rsid w:val="006A6617"/>
    <w:rsid w:val="006A6B86"/>
    <w:rsid w:val="006A6F6E"/>
    <w:rsid w:val="006A7068"/>
    <w:rsid w:val="006B0A0B"/>
    <w:rsid w:val="006B163E"/>
    <w:rsid w:val="006B176A"/>
    <w:rsid w:val="006B179D"/>
    <w:rsid w:val="006B1838"/>
    <w:rsid w:val="006B227F"/>
    <w:rsid w:val="006B2460"/>
    <w:rsid w:val="006B3578"/>
    <w:rsid w:val="006B3731"/>
    <w:rsid w:val="006B3FD3"/>
    <w:rsid w:val="006B44DC"/>
    <w:rsid w:val="006B4656"/>
    <w:rsid w:val="006B4C76"/>
    <w:rsid w:val="006B6012"/>
    <w:rsid w:val="006B654E"/>
    <w:rsid w:val="006B68F4"/>
    <w:rsid w:val="006B7088"/>
    <w:rsid w:val="006B7C60"/>
    <w:rsid w:val="006C04EE"/>
    <w:rsid w:val="006C0525"/>
    <w:rsid w:val="006C0A8D"/>
    <w:rsid w:val="006C104E"/>
    <w:rsid w:val="006C1699"/>
    <w:rsid w:val="006C1F73"/>
    <w:rsid w:val="006C2219"/>
    <w:rsid w:val="006C3D73"/>
    <w:rsid w:val="006C3E85"/>
    <w:rsid w:val="006C4158"/>
    <w:rsid w:val="006C4442"/>
    <w:rsid w:val="006C52D4"/>
    <w:rsid w:val="006C6AE6"/>
    <w:rsid w:val="006C7939"/>
    <w:rsid w:val="006D097F"/>
    <w:rsid w:val="006D09FE"/>
    <w:rsid w:val="006D0B12"/>
    <w:rsid w:val="006D1309"/>
    <w:rsid w:val="006D130F"/>
    <w:rsid w:val="006D1AFB"/>
    <w:rsid w:val="006D1D30"/>
    <w:rsid w:val="006D2AAE"/>
    <w:rsid w:val="006D2B1C"/>
    <w:rsid w:val="006D402B"/>
    <w:rsid w:val="006D4599"/>
    <w:rsid w:val="006D50DE"/>
    <w:rsid w:val="006D5FD9"/>
    <w:rsid w:val="006D6D47"/>
    <w:rsid w:val="006E08C9"/>
    <w:rsid w:val="006E0C50"/>
    <w:rsid w:val="006E0CAA"/>
    <w:rsid w:val="006E0D47"/>
    <w:rsid w:val="006E18EF"/>
    <w:rsid w:val="006E1DDB"/>
    <w:rsid w:val="006E2050"/>
    <w:rsid w:val="006E3308"/>
    <w:rsid w:val="006E49BC"/>
    <w:rsid w:val="006E4D00"/>
    <w:rsid w:val="006E4FD9"/>
    <w:rsid w:val="006E50F8"/>
    <w:rsid w:val="006E6439"/>
    <w:rsid w:val="006E6D56"/>
    <w:rsid w:val="006E6D9B"/>
    <w:rsid w:val="006E73F3"/>
    <w:rsid w:val="006E7E1A"/>
    <w:rsid w:val="006F00A8"/>
    <w:rsid w:val="006F10A3"/>
    <w:rsid w:val="006F11B8"/>
    <w:rsid w:val="006F13EF"/>
    <w:rsid w:val="006F1B6D"/>
    <w:rsid w:val="006F1F72"/>
    <w:rsid w:val="006F2215"/>
    <w:rsid w:val="006F2C9B"/>
    <w:rsid w:val="006F2CA4"/>
    <w:rsid w:val="006F303C"/>
    <w:rsid w:val="006F338B"/>
    <w:rsid w:val="006F3AD7"/>
    <w:rsid w:val="006F485D"/>
    <w:rsid w:val="006F6E43"/>
    <w:rsid w:val="006F707D"/>
    <w:rsid w:val="006F7802"/>
    <w:rsid w:val="006F7AA5"/>
    <w:rsid w:val="006F7CC2"/>
    <w:rsid w:val="007003E8"/>
    <w:rsid w:val="00700F39"/>
    <w:rsid w:val="007018E2"/>
    <w:rsid w:val="00701EE4"/>
    <w:rsid w:val="00702116"/>
    <w:rsid w:val="00702BA5"/>
    <w:rsid w:val="007037FC"/>
    <w:rsid w:val="00703FA3"/>
    <w:rsid w:val="00705382"/>
    <w:rsid w:val="00705CEE"/>
    <w:rsid w:val="00705E6F"/>
    <w:rsid w:val="00706455"/>
    <w:rsid w:val="0070647E"/>
    <w:rsid w:val="00707742"/>
    <w:rsid w:val="00707CF3"/>
    <w:rsid w:val="0071059D"/>
    <w:rsid w:val="00710668"/>
    <w:rsid w:val="00711005"/>
    <w:rsid w:val="00711F62"/>
    <w:rsid w:val="00713DE1"/>
    <w:rsid w:val="00713EBA"/>
    <w:rsid w:val="0071524F"/>
    <w:rsid w:val="007155C9"/>
    <w:rsid w:val="00715B71"/>
    <w:rsid w:val="00715C7D"/>
    <w:rsid w:val="0071609E"/>
    <w:rsid w:val="007161F2"/>
    <w:rsid w:val="0071634E"/>
    <w:rsid w:val="00716AA7"/>
    <w:rsid w:val="00716C2E"/>
    <w:rsid w:val="007174FB"/>
    <w:rsid w:val="00717C36"/>
    <w:rsid w:val="007203A9"/>
    <w:rsid w:val="00721BD5"/>
    <w:rsid w:val="00721C03"/>
    <w:rsid w:val="00722029"/>
    <w:rsid w:val="00722181"/>
    <w:rsid w:val="00723CC6"/>
    <w:rsid w:val="00725321"/>
    <w:rsid w:val="00725D4D"/>
    <w:rsid w:val="007261B2"/>
    <w:rsid w:val="00726840"/>
    <w:rsid w:val="00727337"/>
    <w:rsid w:val="00727494"/>
    <w:rsid w:val="007276B9"/>
    <w:rsid w:val="00732436"/>
    <w:rsid w:val="00732539"/>
    <w:rsid w:val="00732623"/>
    <w:rsid w:val="00732756"/>
    <w:rsid w:val="00732EA5"/>
    <w:rsid w:val="007339A2"/>
    <w:rsid w:val="00733A3D"/>
    <w:rsid w:val="00734480"/>
    <w:rsid w:val="00736039"/>
    <w:rsid w:val="00736110"/>
    <w:rsid w:val="00736193"/>
    <w:rsid w:val="00736922"/>
    <w:rsid w:val="0074111D"/>
    <w:rsid w:val="00741A04"/>
    <w:rsid w:val="00743FC4"/>
    <w:rsid w:val="0074472D"/>
    <w:rsid w:val="00746B76"/>
    <w:rsid w:val="00746F7F"/>
    <w:rsid w:val="0074731D"/>
    <w:rsid w:val="0074766F"/>
    <w:rsid w:val="0075092B"/>
    <w:rsid w:val="00750A9A"/>
    <w:rsid w:val="00750FEB"/>
    <w:rsid w:val="0075134B"/>
    <w:rsid w:val="00751D15"/>
    <w:rsid w:val="0075234D"/>
    <w:rsid w:val="0075266B"/>
    <w:rsid w:val="00754C3C"/>
    <w:rsid w:val="0075709A"/>
    <w:rsid w:val="00757447"/>
    <w:rsid w:val="00757454"/>
    <w:rsid w:val="00757C8E"/>
    <w:rsid w:val="007604D1"/>
    <w:rsid w:val="007613BC"/>
    <w:rsid w:val="00762259"/>
    <w:rsid w:val="00763702"/>
    <w:rsid w:val="0076388A"/>
    <w:rsid w:val="0076418E"/>
    <w:rsid w:val="0076480F"/>
    <w:rsid w:val="007661C8"/>
    <w:rsid w:val="007661FF"/>
    <w:rsid w:val="007662A6"/>
    <w:rsid w:val="0076688D"/>
    <w:rsid w:val="00766A3A"/>
    <w:rsid w:val="00766BBC"/>
    <w:rsid w:val="00766FAA"/>
    <w:rsid w:val="00767385"/>
    <w:rsid w:val="0076763B"/>
    <w:rsid w:val="00767C22"/>
    <w:rsid w:val="0077030A"/>
    <w:rsid w:val="00770CE2"/>
    <w:rsid w:val="0077116B"/>
    <w:rsid w:val="00771B7B"/>
    <w:rsid w:val="007727EF"/>
    <w:rsid w:val="00775DC9"/>
    <w:rsid w:val="007762E6"/>
    <w:rsid w:val="00777AB6"/>
    <w:rsid w:val="00777FD1"/>
    <w:rsid w:val="0078036B"/>
    <w:rsid w:val="007804AC"/>
    <w:rsid w:val="007805B4"/>
    <w:rsid w:val="00780A19"/>
    <w:rsid w:val="00781BB5"/>
    <w:rsid w:val="007821F0"/>
    <w:rsid w:val="00782DE6"/>
    <w:rsid w:val="00783BB3"/>
    <w:rsid w:val="00783D0C"/>
    <w:rsid w:val="00783DB5"/>
    <w:rsid w:val="00783FBD"/>
    <w:rsid w:val="007842BB"/>
    <w:rsid w:val="0078457E"/>
    <w:rsid w:val="0078532C"/>
    <w:rsid w:val="0078545E"/>
    <w:rsid w:val="007854A2"/>
    <w:rsid w:val="0078576F"/>
    <w:rsid w:val="00785BA7"/>
    <w:rsid w:val="00787068"/>
    <w:rsid w:val="0078748E"/>
    <w:rsid w:val="00787611"/>
    <w:rsid w:val="00787BCB"/>
    <w:rsid w:val="007904D5"/>
    <w:rsid w:val="00790B52"/>
    <w:rsid w:val="007922E9"/>
    <w:rsid w:val="00792670"/>
    <w:rsid w:val="007929E6"/>
    <w:rsid w:val="00793661"/>
    <w:rsid w:val="00793F91"/>
    <w:rsid w:val="007943BA"/>
    <w:rsid w:val="007948CB"/>
    <w:rsid w:val="00794A62"/>
    <w:rsid w:val="00794D86"/>
    <w:rsid w:val="00795D10"/>
    <w:rsid w:val="00795F68"/>
    <w:rsid w:val="0079615F"/>
    <w:rsid w:val="0079649E"/>
    <w:rsid w:val="00796565"/>
    <w:rsid w:val="007965C1"/>
    <w:rsid w:val="00796651"/>
    <w:rsid w:val="00796C2E"/>
    <w:rsid w:val="00797623"/>
    <w:rsid w:val="007976AA"/>
    <w:rsid w:val="007A00BD"/>
    <w:rsid w:val="007A06D1"/>
    <w:rsid w:val="007A08A5"/>
    <w:rsid w:val="007A0C47"/>
    <w:rsid w:val="007A2DDC"/>
    <w:rsid w:val="007A2E49"/>
    <w:rsid w:val="007A397B"/>
    <w:rsid w:val="007A580B"/>
    <w:rsid w:val="007A60F2"/>
    <w:rsid w:val="007A62F9"/>
    <w:rsid w:val="007A6584"/>
    <w:rsid w:val="007A6D89"/>
    <w:rsid w:val="007A767A"/>
    <w:rsid w:val="007A7F7E"/>
    <w:rsid w:val="007B094F"/>
    <w:rsid w:val="007B1BC7"/>
    <w:rsid w:val="007B1CC0"/>
    <w:rsid w:val="007B210B"/>
    <w:rsid w:val="007B3189"/>
    <w:rsid w:val="007B3697"/>
    <w:rsid w:val="007B469E"/>
    <w:rsid w:val="007B4871"/>
    <w:rsid w:val="007B4BC0"/>
    <w:rsid w:val="007B4C33"/>
    <w:rsid w:val="007B4E97"/>
    <w:rsid w:val="007B55D3"/>
    <w:rsid w:val="007C0EC6"/>
    <w:rsid w:val="007C10A0"/>
    <w:rsid w:val="007C126C"/>
    <w:rsid w:val="007C1A30"/>
    <w:rsid w:val="007C1B36"/>
    <w:rsid w:val="007C2075"/>
    <w:rsid w:val="007C3568"/>
    <w:rsid w:val="007C3AD4"/>
    <w:rsid w:val="007C449C"/>
    <w:rsid w:val="007C467C"/>
    <w:rsid w:val="007C4CE1"/>
    <w:rsid w:val="007C525C"/>
    <w:rsid w:val="007C540E"/>
    <w:rsid w:val="007C55C5"/>
    <w:rsid w:val="007C5750"/>
    <w:rsid w:val="007C5E4F"/>
    <w:rsid w:val="007C65E9"/>
    <w:rsid w:val="007C6C84"/>
    <w:rsid w:val="007C76CF"/>
    <w:rsid w:val="007C7C63"/>
    <w:rsid w:val="007D0142"/>
    <w:rsid w:val="007D04D2"/>
    <w:rsid w:val="007D0544"/>
    <w:rsid w:val="007D06DB"/>
    <w:rsid w:val="007D074F"/>
    <w:rsid w:val="007D33B4"/>
    <w:rsid w:val="007D369D"/>
    <w:rsid w:val="007D4840"/>
    <w:rsid w:val="007D4D5E"/>
    <w:rsid w:val="007D4E2D"/>
    <w:rsid w:val="007D5025"/>
    <w:rsid w:val="007D5C02"/>
    <w:rsid w:val="007D68A3"/>
    <w:rsid w:val="007D7288"/>
    <w:rsid w:val="007D75B6"/>
    <w:rsid w:val="007D7F4E"/>
    <w:rsid w:val="007E01E4"/>
    <w:rsid w:val="007E0838"/>
    <w:rsid w:val="007E116F"/>
    <w:rsid w:val="007E273F"/>
    <w:rsid w:val="007E27EB"/>
    <w:rsid w:val="007E29D2"/>
    <w:rsid w:val="007E31BC"/>
    <w:rsid w:val="007E33FA"/>
    <w:rsid w:val="007E4290"/>
    <w:rsid w:val="007E4330"/>
    <w:rsid w:val="007E4F48"/>
    <w:rsid w:val="007E5FF7"/>
    <w:rsid w:val="007E650E"/>
    <w:rsid w:val="007F0DB2"/>
    <w:rsid w:val="007F152A"/>
    <w:rsid w:val="007F1C27"/>
    <w:rsid w:val="007F2357"/>
    <w:rsid w:val="007F24DB"/>
    <w:rsid w:val="007F24E2"/>
    <w:rsid w:val="007F2E5F"/>
    <w:rsid w:val="007F34AA"/>
    <w:rsid w:val="007F3792"/>
    <w:rsid w:val="007F37D5"/>
    <w:rsid w:val="007F413D"/>
    <w:rsid w:val="007F4A83"/>
    <w:rsid w:val="007F4DA5"/>
    <w:rsid w:val="007F4FE7"/>
    <w:rsid w:val="007F5538"/>
    <w:rsid w:val="007F5EFC"/>
    <w:rsid w:val="007F6843"/>
    <w:rsid w:val="008000A0"/>
    <w:rsid w:val="0080082E"/>
    <w:rsid w:val="0080110A"/>
    <w:rsid w:val="0080136D"/>
    <w:rsid w:val="00801382"/>
    <w:rsid w:val="008013F6"/>
    <w:rsid w:val="00802CCA"/>
    <w:rsid w:val="00802FB5"/>
    <w:rsid w:val="00803DF8"/>
    <w:rsid w:val="00803F73"/>
    <w:rsid w:val="008046CE"/>
    <w:rsid w:val="00806031"/>
    <w:rsid w:val="00810152"/>
    <w:rsid w:val="00810518"/>
    <w:rsid w:val="00810FC1"/>
    <w:rsid w:val="00811DAC"/>
    <w:rsid w:val="0081223D"/>
    <w:rsid w:val="0081229F"/>
    <w:rsid w:val="0081387E"/>
    <w:rsid w:val="00813AC8"/>
    <w:rsid w:val="0081466C"/>
    <w:rsid w:val="00814B40"/>
    <w:rsid w:val="00814EFF"/>
    <w:rsid w:val="0081506A"/>
    <w:rsid w:val="00815541"/>
    <w:rsid w:val="008159EA"/>
    <w:rsid w:val="00815A02"/>
    <w:rsid w:val="00815BAE"/>
    <w:rsid w:val="008160F2"/>
    <w:rsid w:val="0081634B"/>
    <w:rsid w:val="0081647F"/>
    <w:rsid w:val="008166D3"/>
    <w:rsid w:val="008169ED"/>
    <w:rsid w:val="00816DFC"/>
    <w:rsid w:val="008171C3"/>
    <w:rsid w:val="008175C5"/>
    <w:rsid w:val="008207B1"/>
    <w:rsid w:val="00820E80"/>
    <w:rsid w:val="00820FA5"/>
    <w:rsid w:val="008214D7"/>
    <w:rsid w:val="008219D2"/>
    <w:rsid w:val="00821D1B"/>
    <w:rsid w:val="0082207D"/>
    <w:rsid w:val="00822834"/>
    <w:rsid w:val="00823463"/>
    <w:rsid w:val="00823CB7"/>
    <w:rsid w:val="0082405D"/>
    <w:rsid w:val="00824189"/>
    <w:rsid w:val="008243F8"/>
    <w:rsid w:val="00825B3F"/>
    <w:rsid w:val="008260D3"/>
    <w:rsid w:val="00827E33"/>
    <w:rsid w:val="00830220"/>
    <w:rsid w:val="00830B30"/>
    <w:rsid w:val="00832F53"/>
    <w:rsid w:val="008336AC"/>
    <w:rsid w:val="008338FE"/>
    <w:rsid w:val="00834E54"/>
    <w:rsid w:val="00835A79"/>
    <w:rsid w:val="00835B14"/>
    <w:rsid w:val="00835C7B"/>
    <w:rsid w:val="008360BD"/>
    <w:rsid w:val="0083614E"/>
    <w:rsid w:val="00837216"/>
    <w:rsid w:val="008378B8"/>
    <w:rsid w:val="00837B11"/>
    <w:rsid w:val="008406BD"/>
    <w:rsid w:val="008407C5"/>
    <w:rsid w:val="00840AFF"/>
    <w:rsid w:val="00840FF8"/>
    <w:rsid w:val="0084119B"/>
    <w:rsid w:val="0084164F"/>
    <w:rsid w:val="00842663"/>
    <w:rsid w:val="0084269D"/>
    <w:rsid w:val="00842AF0"/>
    <w:rsid w:val="00842B2F"/>
    <w:rsid w:val="00842BFE"/>
    <w:rsid w:val="00843F64"/>
    <w:rsid w:val="0084442C"/>
    <w:rsid w:val="00844718"/>
    <w:rsid w:val="00844BFF"/>
    <w:rsid w:val="00845188"/>
    <w:rsid w:val="00845276"/>
    <w:rsid w:val="008454A9"/>
    <w:rsid w:val="008460EE"/>
    <w:rsid w:val="0085002C"/>
    <w:rsid w:val="008502B5"/>
    <w:rsid w:val="0085074D"/>
    <w:rsid w:val="00850796"/>
    <w:rsid w:val="008507CE"/>
    <w:rsid w:val="008509FD"/>
    <w:rsid w:val="00850AF4"/>
    <w:rsid w:val="00850E97"/>
    <w:rsid w:val="00850F6C"/>
    <w:rsid w:val="008545C4"/>
    <w:rsid w:val="00855B6B"/>
    <w:rsid w:val="0085615F"/>
    <w:rsid w:val="008561A8"/>
    <w:rsid w:val="008566B2"/>
    <w:rsid w:val="008566C6"/>
    <w:rsid w:val="00856FB5"/>
    <w:rsid w:val="00857756"/>
    <w:rsid w:val="00857BAB"/>
    <w:rsid w:val="008616AA"/>
    <w:rsid w:val="008628B5"/>
    <w:rsid w:val="00862A6D"/>
    <w:rsid w:val="00862B2E"/>
    <w:rsid w:val="00862CB4"/>
    <w:rsid w:val="0086651D"/>
    <w:rsid w:val="00866BFC"/>
    <w:rsid w:val="008671DC"/>
    <w:rsid w:val="00867254"/>
    <w:rsid w:val="00867866"/>
    <w:rsid w:val="008700D5"/>
    <w:rsid w:val="00870593"/>
    <w:rsid w:val="00870D15"/>
    <w:rsid w:val="00870D5B"/>
    <w:rsid w:val="0087109F"/>
    <w:rsid w:val="00871C48"/>
    <w:rsid w:val="00871E29"/>
    <w:rsid w:val="00872118"/>
    <w:rsid w:val="0087269F"/>
    <w:rsid w:val="00873074"/>
    <w:rsid w:val="00874354"/>
    <w:rsid w:val="008744FB"/>
    <w:rsid w:val="00874FFB"/>
    <w:rsid w:val="0087598D"/>
    <w:rsid w:val="00875A42"/>
    <w:rsid w:val="008760B9"/>
    <w:rsid w:val="00877F7B"/>
    <w:rsid w:val="00880E9E"/>
    <w:rsid w:val="00881A97"/>
    <w:rsid w:val="00881B44"/>
    <w:rsid w:val="0088246B"/>
    <w:rsid w:val="008831BE"/>
    <w:rsid w:val="008846EB"/>
    <w:rsid w:val="00885EF0"/>
    <w:rsid w:val="00887530"/>
    <w:rsid w:val="00887A1C"/>
    <w:rsid w:val="008907CE"/>
    <w:rsid w:val="00890F8C"/>
    <w:rsid w:val="008913A2"/>
    <w:rsid w:val="00891A1D"/>
    <w:rsid w:val="00891FF8"/>
    <w:rsid w:val="00892D46"/>
    <w:rsid w:val="00892DA9"/>
    <w:rsid w:val="00892DFA"/>
    <w:rsid w:val="008930B6"/>
    <w:rsid w:val="00894538"/>
    <w:rsid w:val="00894710"/>
    <w:rsid w:val="00894A9F"/>
    <w:rsid w:val="00895938"/>
    <w:rsid w:val="00895958"/>
    <w:rsid w:val="00896067"/>
    <w:rsid w:val="00896082"/>
    <w:rsid w:val="008963B6"/>
    <w:rsid w:val="0089690A"/>
    <w:rsid w:val="00896D0C"/>
    <w:rsid w:val="008975FB"/>
    <w:rsid w:val="008A073F"/>
    <w:rsid w:val="008A0D67"/>
    <w:rsid w:val="008A1B86"/>
    <w:rsid w:val="008A29BA"/>
    <w:rsid w:val="008A2A3A"/>
    <w:rsid w:val="008A2FF1"/>
    <w:rsid w:val="008A38EB"/>
    <w:rsid w:val="008A3D27"/>
    <w:rsid w:val="008A3EE7"/>
    <w:rsid w:val="008A4723"/>
    <w:rsid w:val="008A483E"/>
    <w:rsid w:val="008A4E72"/>
    <w:rsid w:val="008A5D3F"/>
    <w:rsid w:val="008A62B6"/>
    <w:rsid w:val="008A64A2"/>
    <w:rsid w:val="008A6744"/>
    <w:rsid w:val="008A7470"/>
    <w:rsid w:val="008A7703"/>
    <w:rsid w:val="008A77A5"/>
    <w:rsid w:val="008A7BD7"/>
    <w:rsid w:val="008A7C4D"/>
    <w:rsid w:val="008B08C1"/>
    <w:rsid w:val="008B0BD2"/>
    <w:rsid w:val="008B0BEE"/>
    <w:rsid w:val="008B125F"/>
    <w:rsid w:val="008B1655"/>
    <w:rsid w:val="008B1AFC"/>
    <w:rsid w:val="008B1FFC"/>
    <w:rsid w:val="008B25EA"/>
    <w:rsid w:val="008B2981"/>
    <w:rsid w:val="008B2A19"/>
    <w:rsid w:val="008B3219"/>
    <w:rsid w:val="008B35C8"/>
    <w:rsid w:val="008B4259"/>
    <w:rsid w:val="008B4694"/>
    <w:rsid w:val="008B68D7"/>
    <w:rsid w:val="008B7BCC"/>
    <w:rsid w:val="008C0098"/>
    <w:rsid w:val="008C05CD"/>
    <w:rsid w:val="008C09C8"/>
    <w:rsid w:val="008C0A7D"/>
    <w:rsid w:val="008C0FCC"/>
    <w:rsid w:val="008C10A5"/>
    <w:rsid w:val="008C1575"/>
    <w:rsid w:val="008C1E10"/>
    <w:rsid w:val="008C2200"/>
    <w:rsid w:val="008C237F"/>
    <w:rsid w:val="008C2EE3"/>
    <w:rsid w:val="008C38BE"/>
    <w:rsid w:val="008C4B9C"/>
    <w:rsid w:val="008C5163"/>
    <w:rsid w:val="008C5753"/>
    <w:rsid w:val="008C6163"/>
    <w:rsid w:val="008C6792"/>
    <w:rsid w:val="008C6F70"/>
    <w:rsid w:val="008C7213"/>
    <w:rsid w:val="008C75C9"/>
    <w:rsid w:val="008D0905"/>
    <w:rsid w:val="008D1C81"/>
    <w:rsid w:val="008D3351"/>
    <w:rsid w:val="008D3455"/>
    <w:rsid w:val="008D394E"/>
    <w:rsid w:val="008D3D3F"/>
    <w:rsid w:val="008D4485"/>
    <w:rsid w:val="008D4575"/>
    <w:rsid w:val="008D5402"/>
    <w:rsid w:val="008D5680"/>
    <w:rsid w:val="008D59EE"/>
    <w:rsid w:val="008D70DF"/>
    <w:rsid w:val="008E00EF"/>
    <w:rsid w:val="008E1316"/>
    <w:rsid w:val="008E1AA6"/>
    <w:rsid w:val="008E2C23"/>
    <w:rsid w:val="008E2E3E"/>
    <w:rsid w:val="008E350C"/>
    <w:rsid w:val="008E399A"/>
    <w:rsid w:val="008E4231"/>
    <w:rsid w:val="008E4A17"/>
    <w:rsid w:val="008E4EE7"/>
    <w:rsid w:val="008E4F98"/>
    <w:rsid w:val="008E5A2D"/>
    <w:rsid w:val="008E6497"/>
    <w:rsid w:val="008E7535"/>
    <w:rsid w:val="008E7962"/>
    <w:rsid w:val="008F0D00"/>
    <w:rsid w:val="008F213C"/>
    <w:rsid w:val="008F379E"/>
    <w:rsid w:val="008F5514"/>
    <w:rsid w:val="008F5F2E"/>
    <w:rsid w:val="008F5FDA"/>
    <w:rsid w:val="008F6296"/>
    <w:rsid w:val="008F6D00"/>
    <w:rsid w:val="008F6DAC"/>
    <w:rsid w:val="008F7527"/>
    <w:rsid w:val="008F78AC"/>
    <w:rsid w:val="008F7FA3"/>
    <w:rsid w:val="009005A9"/>
    <w:rsid w:val="0090097C"/>
    <w:rsid w:val="00900BA5"/>
    <w:rsid w:val="00900FD8"/>
    <w:rsid w:val="00901C8A"/>
    <w:rsid w:val="00902647"/>
    <w:rsid w:val="00902895"/>
    <w:rsid w:val="00902B10"/>
    <w:rsid w:val="00903260"/>
    <w:rsid w:val="00903513"/>
    <w:rsid w:val="00903E8D"/>
    <w:rsid w:val="0090509A"/>
    <w:rsid w:val="009059C4"/>
    <w:rsid w:val="00905B3C"/>
    <w:rsid w:val="00905E4F"/>
    <w:rsid w:val="00906BBE"/>
    <w:rsid w:val="0090713E"/>
    <w:rsid w:val="009074F6"/>
    <w:rsid w:val="00907775"/>
    <w:rsid w:val="009078E3"/>
    <w:rsid w:val="0091062D"/>
    <w:rsid w:val="00910CAA"/>
    <w:rsid w:val="00910D97"/>
    <w:rsid w:val="009114D7"/>
    <w:rsid w:val="0091166A"/>
    <w:rsid w:val="009133A4"/>
    <w:rsid w:val="00913700"/>
    <w:rsid w:val="00913DFB"/>
    <w:rsid w:val="00913E5F"/>
    <w:rsid w:val="009144C1"/>
    <w:rsid w:val="009149D4"/>
    <w:rsid w:val="00914F58"/>
    <w:rsid w:val="009154DE"/>
    <w:rsid w:val="0091556E"/>
    <w:rsid w:val="00915BA7"/>
    <w:rsid w:val="00915E8B"/>
    <w:rsid w:val="00916411"/>
    <w:rsid w:val="00916ED1"/>
    <w:rsid w:val="00917028"/>
    <w:rsid w:val="009174E3"/>
    <w:rsid w:val="00917685"/>
    <w:rsid w:val="009204FC"/>
    <w:rsid w:val="009211DB"/>
    <w:rsid w:val="00921DCD"/>
    <w:rsid w:val="00922A52"/>
    <w:rsid w:val="00924113"/>
    <w:rsid w:val="00924213"/>
    <w:rsid w:val="0092685B"/>
    <w:rsid w:val="00927125"/>
    <w:rsid w:val="009272DD"/>
    <w:rsid w:val="009274AE"/>
    <w:rsid w:val="00930BF1"/>
    <w:rsid w:val="00931363"/>
    <w:rsid w:val="009315C1"/>
    <w:rsid w:val="0093227A"/>
    <w:rsid w:val="009323B6"/>
    <w:rsid w:val="0093241F"/>
    <w:rsid w:val="00932CAA"/>
    <w:rsid w:val="009330C4"/>
    <w:rsid w:val="00933129"/>
    <w:rsid w:val="00934BB7"/>
    <w:rsid w:val="00934BF6"/>
    <w:rsid w:val="009352BF"/>
    <w:rsid w:val="009369CE"/>
    <w:rsid w:val="00936A41"/>
    <w:rsid w:val="009372B0"/>
    <w:rsid w:val="00937B38"/>
    <w:rsid w:val="00940613"/>
    <w:rsid w:val="0094151F"/>
    <w:rsid w:val="009421CD"/>
    <w:rsid w:val="0094232F"/>
    <w:rsid w:val="0094266D"/>
    <w:rsid w:val="00942B42"/>
    <w:rsid w:val="009436D0"/>
    <w:rsid w:val="009438C0"/>
    <w:rsid w:val="00943943"/>
    <w:rsid w:val="00943E7B"/>
    <w:rsid w:val="0094447C"/>
    <w:rsid w:val="009448A3"/>
    <w:rsid w:val="009456C4"/>
    <w:rsid w:val="00945F02"/>
    <w:rsid w:val="0094612F"/>
    <w:rsid w:val="00946A4B"/>
    <w:rsid w:val="00947575"/>
    <w:rsid w:val="00947D5B"/>
    <w:rsid w:val="009519EB"/>
    <w:rsid w:val="00951A51"/>
    <w:rsid w:val="0095361E"/>
    <w:rsid w:val="00953673"/>
    <w:rsid w:val="00953869"/>
    <w:rsid w:val="00955509"/>
    <w:rsid w:val="009555B3"/>
    <w:rsid w:val="00955A64"/>
    <w:rsid w:val="00956C6F"/>
    <w:rsid w:val="009575DE"/>
    <w:rsid w:val="00957917"/>
    <w:rsid w:val="00957D03"/>
    <w:rsid w:val="00960155"/>
    <w:rsid w:val="00961B0D"/>
    <w:rsid w:val="00961D58"/>
    <w:rsid w:val="00961EA2"/>
    <w:rsid w:val="0096241D"/>
    <w:rsid w:val="00963584"/>
    <w:rsid w:val="00964292"/>
    <w:rsid w:val="00964792"/>
    <w:rsid w:val="00964D83"/>
    <w:rsid w:val="00965738"/>
    <w:rsid w:val="00965D60"/>
    <w:rsid w:val="00965EDA"/>
    <w:rsid w:val="00965F9F"/>
    <w:rsid w:val="00966482"/>
    <w:rsid w:val="00966496"/>
    <w:rsid w:val="00966C41"/>
    <w:rsid w:val="009679EA"/>
    <w:rsid w:val="00967C83"/>
    <w:rsid w:val="00967DE8"/>
    <w:rsid w:val="00967E0B"/>
    <w:rsid w:val="00967EFC"/>
    <w:rsid w:val="009701D3"/>
    <w:rsid w:val="009702E9"/>
    <w:rsid w:val="00970936"/>
    <w:rsid w:val="00971395"/>
    <w:rsid w:val="009713E8"/>
    <w:rsid w:val="009715F3"/>
    <w:rsid w:val="00974242"/>
    <w:rsid w:val="0097433E"/>
    <w:rsid w:val="009757DD"/>
    <w:rsid w:val="00975906"/>
    <w:rsid w:val="00976A9B"/>
    <w:rsid w:val="009801BD"/>
    <w:rsid w:val="0098027A"/>
    <w:rsid w:val="0098039D"/>
    <w:rsid w:val="0098215C"/>
    <w:rsid w:val="00982230"/>
    <w:rsid w:val="00983A67"/>
    <w:rsid w:val="00984213"/>
    <w:rsid w:val="00985267"/>
    <w:rsid w:val="0098541F"/>
    <w:rsid w:val="0098613B"/>
    <w:rsid w:val="009864CA"/>
    <w:rsid w:val="00986FC9"/>
    <w:rsid w:val="009877A1"/>
    <w:rsid w:val="009878F5"/>
    <w:rsid w:val="009879C4"/>
    <w:rsid w:val="00990F77"/>
    <w:rsid w:val="009916AF"/>
    <w:rsid w:val="009916F9"/>
    <w:rsid w:val="00992270"/>
    <w:rsid w:val="0099235C"/>
    <w:rsid w:val="00992630"/>
    <w:rsid w:val="00993150"/>
    <w:rsid w:val="00993C70"/>
    <w:rsid w:val="00994498"/>
    <w:rsid w:val="00995B0D"/>
    <w:rsid w:val="00996A40"/>
    <w:rsid w:val="009979A3"/>
    <w:rsid w:val="00997DB4"/>
    <w:rsid w:val="00997E48"/>
    <w:rsid w:val="00997E78"/>
    <w:rsid w:val="009A0CC0"/>
    <w:rsid w:val="009A0F58"/>
    <w:rsid w:val="009A130B"/>
    <w:rsid w:val="009A13B0"/>
    <w:rsid w:val="009A1482"/>
    <w:rsid w:val="009A1E0D"/>
    <w:rsid w:val="009A2941"/>
    <w:rsid w:val="009A2B47"/>
    <w:rsid w:val="009A2E6F"/>
    <w:rsid w:val="009A3B78"/>
    <w:rsid w:val="009A509D"/>
    <w:rsid w:val="009A516C"/>
    <w:rsid w:val="009A51CF"/>
    <w:rsid w:val="009A538E"/>
    <w:rsid w:val="009A61CE"/>
    <w:rsid w:val="009A6B69"/>
    <w:rsid w:val="009A6F5B"/>
    <w:rsid w:val="009B0A35"/>
    <w:rsid w:val="009B182B"/>
    <w:rsid w:val="009B380D"/>
    <w:rsid w:val="009B3EE9"/>
    <w:rsid w:val="009B3F12"/>
    <w:rsid w:val="009B41C0"/>
    <w:rsid w:val="009B43AD"/>
    <w:rsid w:val="009B472F"/>
    <w:rsid w:val="009B4896"/>
    <w:rsid w:val="009B4BD0"/>
    <w:rsid w:val="009B4F54"/>
    <w:rsid w:val="009B507F"/>
    <w:rsid w:val="009B53C1"/>
    <w:rsid w:val="009B5960"/>
    <w:rsid w:val="009B5F12"/>
    <w:rsid w:val="009B6570"/>
    <w:rsid w:val="009B70CE"/>
    <w:rsid w:val="009B72FF"/>
    <w:rsid w:val="009B7692"/>
    <w:rsid w:val="009B7843"/>
    <w:rsid w:val="009C00B4"/>
    <w:rsid w:val="009C074A"/>
    <w:rsid w:val="009C1150"/>
    <w:rsid w:val="009C1B7E"/>
    <w:rsid w:val="009C1F55"/>
    <w:rsid w:val="009C2134"/>
    <w:rsid w:val="009C2202"/>
    <w:rsid w:val="009C2424"/>
    <w:rsid w:val="009C2531"/>
    <w:rsid w:val="009C2976"/>
    <w:rsid w:val="009C3247"/>
    <w:rsid w:val="009C35EF"/>
    <w:rsid w:val="009C3707"/>
    <w:rsid w:val="009C3C98"/>
    <w:rsid w:val="009C45DA"/>
    <w:rsid w:val="009C5AE1"/>
    <w:rsid w:val="009C6A06"/>
    <w:rsid w:val="009C6BDB"/>
    <w:rsid w:val="009C6D1A"/>
    <w:rsid w:val="009C7949"/>
    <w:rsid w:val="009C79D7"/>
    <w:rsid w:val="009D1437"/>
    <w:rsid w:val="009D1E79"/>
    <w:rsid w:val="009D21E2"/>
    <w:rsid w:val="009D3420"/>
    <w:rsid w:val="009D4711"/>
    <w:rsid w:val="009D4B7C"/>
    <w:rsid w:val="009D4D01"/>
    <w:rsid w:val="009D4DD0"/>
    <w:rsid w:val="009D543D"/>
    <w:rsid w:val="009D56F2"/>
    <w:rsid w:val="009D5AF1"/>
    <w:rsid w:val="009D5CF4"/>
    <w:rsid w:val="009D5F68"/>
    <w:rsid w:val="009D5FFD"/>
    <w:rsid w:val="009D62B7"/>
    <w:rsid w:val="009D6B28"/>
    <w:rsid w:val="009D72E9"/>
    <w:rsid w:val="009D7886"/>
    <w:rsid w:val="009D798C"/>
    <w:rsid w:val="009E0E1A"/>
    <w:rsid w:val="009E0F8A"/>
    <w:rsid w:val="009E10AD"/>
    <w:rsid w:val="009E110A"/>
    <w:rsid w:val="009E1117"/>
    <w:rsid w:val="009E19E7"/>
    <w:rsid w:val="009E1EED"/>
    <w:rsid w:val="009E3060"/>
    <w:rsid w:val="009E4168"/>
    <w:rsid w:val="009E4684"/>
    <w:rsid w:val="009E4B54"/>
    <w:rsid w:val="009E56FF"/>
    <w:rsid w:val="009E6035"/>
    <w:rsid w:val="009E69E5"/>
    <w:rsid w:val="009E6E1F"/>
    <w:rsid w:val="009E796A"/>
    <w:rsid w:val="009F0EAF"/>
    <w:rsid w:val="009F1480"/>
    <w:rsid w:val="009F1915"/>
    <w:rsid w:val="009F26B3"/>
    <w:rsid w:val="009F2ABA"/>
    <w:rsid w:val="009F368C"/>
    <w:rsid w:val="009F462E"/>
    <w:rsid w:val="009F4C1F"/>
    <w:rsid w:val="009F6E3F"/>
    <w:rsid w:val="009F7C2C"/>
    <w:rsid w:val="009F7E52"/>
    <w:rsid w:val="00A00728"/>
    <w:rsid w:val="00A00A8B"/>
    <w:rsid w:val="00A018D9"/>
    <w:rsid w:val="00A02204"/>
    <w:rsid w:val="00A02ADF"/>
    <w:rsid w:val="00A04408"/>
    <w:rsid w:val="00A047D3"/>
    <w:rsid w:val="00A04A1C"/>
    <w:rsid w:val="00A04FFD"/>
    <w:rsid w:val="00A05014"/>
    <w:rsid w:val="00A05725"/>
    <w:rsid w:val="00A0606C"/>
    <w:rsid w:val="00A06392"/>
    <w:rsid w:val="00A068AD"/>
    <w:rsid w:val="00A0695C"/>
    <w:rsid w:val="00A103A0"/>
    <w:rsid w:val="00A103C4"/>
    <w:rsid w:val="00A1169D"/>
    <w:rsid w:val="00A11BAD"/>
    <w:rsid w:val="00A13783"/>
    <w:rsid w:val="00A142E3"/>
    <w:rsid w:val="00A146ED"/>
    <w:rsid w:val="00A14800"/>
    <w:rsid w:val="00A149E9"/>
    <w:rsid w:val="00A15976"/>
    <w:rsid w:val="00A15B92"/>
    <w:rsid w:val="00A16B5F"/>
    <w:rsid w:val="00A171DD"/>
    <w:rsid w:val="00A1725E"/>
    <w:rsid w:val="00A17969"/>
    <w:rsid w:val="00A20EAA"/>
    <w:rsid w:val="00A20EDF"/>
    <w:rsid w:val="00A21C9A"/>
    <w:rsid w:val="00A22F56"/>
    <w:rsid w:val="00A23D9D"/>
    <w:rsid w:val="00A23E1F"/>
    <w:rsid w:val="00A240D2"/>
    <w:rsid w:val="00A25370"/>
    <w:rsid w:val="00A265CB"/>
    <w:rsid w:val="00A26FC4"/>
    <w:rsid w:val="00A272D3"/>
    <w:rsid w:val="00A27512"/>
    <w:rsid w:val="00A27D6A"/>
    <w:rsid w:val="00A303E8"/>
    <w:rsid w:val="00A30D2D"/>
    <w:rsid w:val="00A31057"/>
    <w:rsid w:val="00A319AB"/>
    <w:rsid w:val="00A31A5C"/>
    <w:rsid w:val="00A31D70"/>
    <w:rsid w:val="00A32664"/>
    <w:rsid w:val="00A32824"/>
    <w:rsid w:val="00A3319F"/>
    <w:rsid w:val="00A3343A"/>
    <w:rsid w:val="00A33952"/>
    <w:rsid w:val="00A33D7E"/>
    <w:rsid w:val="00A345E0"/>
    <w:rsid w:val="00A34A79"/>
    <w:rsid w:val="00A351F1"/>
    <w:rsid w:val="00A35D09"/>
    <w:rsid w:val="00A360B8"/>
    <w:rsid w:val="00A36FF2"/>
    <w:rsid w:val="00A37829"/>
    <w:rsid w:val="00A403DD"/>
    <w:rsid w:val="00A409C3"/>
    <w:rsid w:val="00A4102D"/>
    <w:rsid w:val="00A421D9"/>
    <w:rsid w:val="00A42A9E"/>
    <w:rsid w:val="00A42D10"/>
    <w:rsid w:val="00A42EF3"/>
    <w:rsid w:val="00A4348D"/>
    <w:rsid w:val="00A435F4"/>
    <w:rsid w:val="00A437EE"/>
    <w:rsid w:val="00A43F3B"/>
    <w:rsid w:val="00A443BD"/>
    <w:rsid w:val="00A44A8D"/>
    <w:rsid w:val="00A45E3B"/>
    <w:rsid w:val="00A45FFE"/>
    <w:rsid w:val="00A47A7A"/>
    <w:rsid w:val="00A503F5"/>
    <w:rsid w:val="00A50F08"/>
    <w:rsid w:val="00A511E5"/>
    <w:rsid w:val="00A5125A"/>
    <w:rsid w:val="00A51514"/>
    <w:rsid w:val="00A5193B"/>
    <w:rsid w:val="00A52506"/>
    <w:rsid w:val="00A525F2"/>
    <w:rsid w:val="00A52605"/>
    <w:rsid w:val="00A528F4"/>
    <w:rsid w:val="00A52CA4"/>
    <w:rsid w:val="00A53118"/>
    <w:rsid w:val="00A53F1F"/>
    <w:rsid w:val="00A5402B"/>
    <w:rsid w:val="00A54508"/>
    <w:rsid w:val="00A54916"/>
    <w:rsid w:val="00A549E4"/>
    <w:rsid w:val="00A553EB"/>
    <w:rsid w:val="00A55CF9"/>
    <w:rsid w:val="00A55D00"/>
    <w:rsid w:val="00A55D5D"/>
    <w:rsid w:val="00A57837"/>
    <w:rsid w:val="00A57908"/>
    <w:rsid w:val="00A60A97"/>
    <w:rsid w:val="00A614AD"/>
    <w:rsid w:val="00A61921"/>
    <w:rsid w:val="00A61E76"/>
    <w:rsid w:val="00A6313C"/>
    <w:rsid w:val="00A65771"/>
    <w:rsid w:val="00A65E58"/>
    <w:rsid w:val="00A664CD"/>
    <w:rsid w:val="00A66794"/>
    <w:rsid w:val="00A70402"/>
    <w:rsid w:val="00A70938"/>
    <w:rsid w:val="00A70E14"/>
    <w:rsid w:val="00A71524"/>
    <w:rsid w:val="00A71709"/>
    <w:rsid w:val="00A72BB0"/>
    <w:rsid w:val="00A739B3"/>
    <w:rsid w:val="00A741F9"/>
    <w:rsid w:val="00A74C47"/>
    <w:rsid w:val="00A74EC4"/>
    <w:rsid w:val="00A7528A"/>
    <w:rsid w:val="00A756D3"/>
    <w:rsid w:val="00A76701"/>
    <w:rsid w:val="00A77423"/>
    <w:rsid w:val="00A7758A"/>
    <w:rsid w:val="00A775D1"/>
    <w:rsid w:val="00A800C2"/>
    <w:rsid w:val="00A8029E"/>
    <w:rsid w:val="00A803B7"/>
    <w:rsid w:val="00A81195"/>
    <w:rsid w:val="00A819C5"/>
    <w:rsid w:val="00A81B96"/>
    <w:rsid w:val="00A82D57"/>
    <w:rsid w:val="00A83861"/>
    <w:rsid w:val="00A83B72"/>
    <w:rsid w:val="00A83D27"/>
    <w:rsid w:val="00A84F8D"/>
    <w:rsid w:val="00A8531E"/>
    <w:rsid w:val="00A85760"/>
    <w:rsid w:val="00A85AC4"/>
    <w:rsid w:val="00A85B80"/>
    <w:rsid w:val="00A85F5F"/>
    <w:rsid w:val="00A8667C"/>
    <w:rsid w:val="00A867C7"/>
    <w:rsid w:val="00A86FF0"/>
    <w:rsid w:val="00A87064"/>
    <w:rsid w:val="00A90895"/>
    <w:rsid w:val="00A90AF2"/>
    <w:rsid w:val="00A90CF3"/>
    <w:rsid w:val="00A9116C"/>
    <w:rsid w:val="00A917C7"/>
    <w:rsid w:val="00A923F1"/>
    <w:rsid w:val="00A931F9"/>
    <w:rsid w:val="00A9385A"/>
    <w:rsid w:val="00A94049"/>
    <w:rsid w:val="00A960C7"/>
    <w:rsid w:val="00A97C2F"/>
    <w:rsid w:val="00AA06E1"/>
    <w:rsid w:val="00AA3492"/>
    <w:rsid w:val="00AA5224"/>
    <w:rsid w:val="00AA5E99"/>
    <w:rsid w:val="00AA7423"/>
    <w:rsid w:val="00AA7C97"/>
    <w:rsid w:val="00AB126E"/>
    <w:rsid w:val="00AB1409"/>
    <w:rsid w:val="00AB1511"/>
    <w:rsid w:val="00AB1F27"/>
    <w:rsid w:val="00AB301C"/>
    <w:rsid w:val="00AB379E"/>
    <w:rsid w:val="00AB3994"/>
    <w:rsid w:val="00AB4630"/>
    <w:rsid w:val="00AB48D7"/>
    <w:rsid w:val="00AB4DA7"/>
    <w:rsid w:val="00AB4ED2"/>
    <w:rsid w:val="00AB5DBB"/>
    <w:rsid w:val="00AB5FE7"/>
    <w:rsid w:val="00AB6F7A"/>
    <w:rsid w:val="00AB7581"/>
    <w:rsid w:val="00AB78A6"/>
    <w:rsid w:val="00AB7B69"/>
    <w:rsid w:val="00AB7D90"/>
    <w:rsid w:val="00AC196E"/>
    <w:rsid w:val="00AC21A7"/>
    <w:rsid w:val="00AC2B2A"/>
    <w:rsid w:val="00AC2C53"/>
    <w:rsid w:val="00AC2C57"/>
    <w:rsid w:val="00AC3252"/>
    <w:rsid w:val="00AC3624"/>
    <w:rsid w:val="00AC38C5"/>
    <w:rsid w:val="00AC4CE0"/>
    <w:rsid w:val="00AC5C73"/>
    <w:rsid w:val="00AC5C89"/>
    <w:rsid w:val="00AC6C79"/>
    <w:rsid w:val="00AC75BB"/>
    <w:rsid w:val="00AC782C"/>
    <w:rsid w:val="00AC7867"/>
    <w:rsid w:val="00AD0068"/>
    <w:rsid w:val="00AD046F"/>
    <w:rsid w:val="00AD0E6D"/>
    <w:rsid w:val="00AD1C5D"/>
    <w:rsid w:val="00AD2C0F"/>
    <w:rsid w:val="00AD2E31"/>
    <w:rsid w:val="00AD397B"/>
    <w:rsid w:val="00AD41AE"/>
    <w:rsid w:val="00AD42A6"/>
    <w:rsid w:val="00AD44E9"/>
    <w:rsid w:val="00AD4544"/>
    <w:rsid w:val="00AD45AC"/>
    <w:rsid w:val="00AD48BA"/>
    <w:rsid w:val="00AD4DAA"/>
    <w:rsid w:val="00AD61FA"/>
    <w:rsid w:val="00AD6530"/>
    <w:rsid w:val="00AD755A"/>
    <w:rsid w:val="00AD759F"/>
    <w:rsid w:val="00AD7A05"/>
    <w:rsid w:val="00AD7DA2"/>
    <w:rsid w:val="00AE0320"/>
    <w:rsid w:val="00AE0560"/>
    <w:rsid w:val="00AE0B2F"/>
    <w:rsid w:val="00AE0C13"/>
    <w:rsid w:val="00AE1755"/>
    <w:rsid w:val="00AE1A53"/>
    <w:rsid w:val="00AE1A94"/>
    <w:rsid w:val="00AE1C74"/>
    <w:rsid w:val="00AE279D"/>
    <w:rsid w:val="00AE2CFD"/>
    <w:rsid w:val="00AE3AA7"/>
    <w:rsid w:val="00AE3FC5"/>
    <w:rsid w:val="00AE4A48"/>
    <w:rsid w:val="00AE5DEB"/>
    <w:rsid w:val="00AE6019"/>
    <w:rsid w:val="00AE60F0"/>
    <w:rsid w:val="00AE667C"/>
    <w:rsid w:val="00AE70B9"/>
    <w:rsid w:val="00AE72E3"/>
    <w:rsid w:val="00AE7F85"/>
    <w:rsid w:val="00AF0E7A"/>
    <w:rsid w:val="00AF1342"/>
    <w:rsid w:val="00AF1554"/>
    <w:rsid w:val="00AF1EA4"/>
    <w:rsid w:val="00AF22A4"/>
    <w:rsid w:val="00AF276E"/>
    <w:rsid w:val="00AF2AEA"/>
    <w:rsid w:val="00AF31FC"/>
    <w:rsid w:val="00AF381A"/>
    <w:rsid w:val="00AF46EA"/>
    <w:rsid w:val="00AF6203"/>
    <w:rsid w:val="00AF67D0"/>
    <w:rsid w:val="00AF6F22"/>
    <w:rsid w:val="00AF7090"/>
    <w:rsid w:val="00AF73BA"/>
    <w:rsid w:val="00B000A9"/>
    <w:rsid w:val="00B00775"/>
    <w:rsid w:val="00B02F94"/>
    <w:rsid w:val="00B03701"/>
    <w:rsid w:val="00B03A66"/>
    <w:rsid w:val="00B04202"/>
    <w:rsid w:val="00B04398"/>
    <w:rsid w:val="00B05B84"/>
    <w:rsid w:val="00B06509"/>
    <w:rsid w:val="00B0670B"/>
    <w:rsid w:val="00B06D78"/>
    <w:rsid w:val="00B06DE8"/>
    <w:rsid w:val="00B073B6"/>
    <w:rsid w:val="00B078ED"/>
    <w:rsid w:val="00B10455"/>
    <w:rsid w:val="00B10551"/>
    <w:rsid w:val="00B10FDE"/>
    <w:rsid w:val="00B112B2"/>
    <w:rsid w:val="00B11BED"/>
    <w:rsid w:val="00B12837"/>
    <w:rsid w:val="00B1283A"/>
    <w:rsid w:val="00B12AA4"/>
    <w:rsid w:val="00B1361A"/>
    <w:rsid w:val="00B136A5"/>
    <w:rsid w:val="00B13752"/>
    <w:rsid w:val="00B14A35"/>
    <w:rsid w:val="00B14C90"/>
    <w:rsid w:val="00B14F64"/>
    <w:rsid w:val="00B15A89"/>
    <w:rsid w:val="00B15D7D"/>
    <w:rsid w:val="00B16FFE"/>
    <w:rsid w:val="00B17AF9"/>
    <w:rsid w:val="00B17CAE"/>
    <w:rsid w:val="00B17E94"/>
    <w:rsid w:val="00B17EDA"/>
    <w:rsid w:val="00B20337"/>
    <w:rsid w:val="00B21B1A"/>
    <w:rsid w:val="00B21F91"/>
    <w:rsid w:val="00B22616"/>
    <w:rsid w:val="00B22C93"/>
    <w:rsid w:val="00B22CBA"/>
    <w:rsid w:val="00B22D52"/>
    <w:rsid w:val="00B242EB"/>
    <w:rsid w:val="00B262F8"/>
    <w:rsid w:val="00B26454"/>
    <w:rsid w:val="00B26B10"/>
    <w:rsid w:val="00B26B51"/>
    <w:rsid w:val="00B27635"/>
    <w:rsid w:val="00B30DBE"/>
    <w:rsid w:val="00B31BFC"/>
    <w:rsid w:val="00B31DB2"/>
    <w:rsid w:val="00B31F32"/>
    <w:rsid w:val="00B32963"/>
    <w:rsid w:val="00B32ED0"/>
    <w:rsid w:val="00B332BE"/>
    <w:rsid w:val="00B3489C"/>
    <w:rsid w:val="00B352F4"/>
    <w:rsid w:val="00B37115"/>
    <w:rsid w:val="00B40B70"/>
    <w:rsid w:val="00B41CFE"/>
    <w:rsid w:val="00B41F73"/>
    <w:rsid w:val="00B42316"/>
    <w:rsid w:val="00B4231C"/>
    <w:rsid w:val="00B43DCF"/>
    <w:rsid w:val="00B4443A"/>
    <w:rsid w:val="00B44ABB"/>
    <w:rsid w:val="00B4531B"/>
    <w:rsid w:val="00B454B2"/>
    <w:rsid w:val="00B45E51"/>
    <w:rsid w:val="00B46836"/>
    <w:rsid w:val="00B46AD8"/>
    <w:rsid w:val="00B46B7F"/>
    <w:rsid w:val="00B47226"/>
    <w:rsid w:val="00B474E4"/>
    <w:rsid w:val="00B47FDA"/>
    <w:rsid w:val="00B5149E"/>
    <w:rsid w:val="00B51646"/>
    <w:rsid w:val="00B516E5"/>
    <w:rsid w:val="00B52399"/>
    <w:rsid w:val="00B52717"/>
    <w:rsid w:val="00B52D1B"/>
    <w:rsid w:val="00B531C7"/>
    <w:rsid w:val="00B53864"/>
    <w:rsid w:val="00B53B10"/>
    <w:rsid w:val="00B5525D"/>
    <w:rsid w:val="00B55D21"/>
    <w:rsid w:val="00B55F9C"/>
    <w:rsid w:val="00B565FE"/>
    <w:rsid w:val="00B57BC3"/>
    <w:rsid w:val="00B57BE3"/>
    <w:rsid w:val="00B57E9F"/>
    <w:rsid w:val="00B60209"/>
    <w:rsid w:val="00B606EB"/>
    <w:rsid w:val="00B60A13"/>
    <w:rsid w:val="00B60C34"/>
    <w:rsid w:val="00B6163A"/>
    <w:rsid w:val="00B61FB4"/>
    <w:rsid w:val="00B62638"/>
    <w:rsid w:val="00B62F02"/>
    <w:rsid w:val="00B63579"/>
    <w:rsid w:val="00B63F3C"/>
    <w:rsid w:val="00B640D8"/>
    <w:rsid w:val="00B64C49"/>
    <w:rsid w:val="00B65F0B"/>
    <w:rsid w:val="00B671DE"/>
    <w:rsid w:val="00B678E7"/>
    <w:rsid w:val="00B67EF5"/>
    <w:rsid w:val="00B700EF"/>
    <w:rsid w:val="00B7048E"/>
    <w:rsid w:val="00B709A7"/>
    <w:rsid w:val="00B70A6A"/>
    <w:rsid w:val="00B725C1"/>
    <w:rsid w:val="00B73D03"/>
    <w:rsid w:val="00B7595C"/>
    <w:rsid w:val="00B76855"/>
    <w:rsid w:val="00B77616"/>
    <w:rsid w:val="00B77660"/>
    <w:rsid w:val="00B77CC0"/>
    <w:rsid w:val="00B80A10"/>
    <w:rsid w:val="00B80D74"/>
    <w:rsid w:val="00B80ECE"/>
    <w:rsid w:val="00B80F8A"/>
    <w:rsid w:val="00B81517"/>
    <w:rsid w:val="00B815B3"/>
    <w:rsid w:val="00B81A02"/>
    <w:rsid w:val="00B820BD"/>
    <w:rsid w:val="00B82C73"/>
    <w:rsid w:val="00B82E90"/>
    <w:rsid w:val="00B83A78"/>
    <w:rsid w:val="00B84861"/>
    <w:rsid w:val="00B84E28"/>
    <w:rsid w:val="00B85DB1"/>
    <w:rsid w:val="00B85F2D"/>
    <w:rsid w:val="00B8613E"/>
    <w:rsid w:val="00B86785"/>
    <w:rsid w:val="00B86C84"/>
    <w:rsid w:val="00B872F4"/>
    <w:rsid w:val="00B87530"/>
    <w:rsid w:val="00B87563"/>
    <w:rsid w:val="00B9243E"/>
    <w:rsid w:val="00B92CB5"/>
    <w:rsid w:val="00B92E51"/>
    <w:rsid w:val="00B93485"/>
    <w:rsid w:val="00B94C6A"/>
    <w:rsid w:val="00B94EF1"/>
    <w:rsid w:val="00B95547"/>
    <w:rsid w:val="00B96709"/>
    <w:rsid w:val="00B96A1B"/>
    <w:rsid w:val="00B96C52"/>
    <w:rsid w:val="00B96ED5"/>
    <w:rsid w:val="00BA009B"/>
    <w:rsid w:val="00BA028B"/>
    <w:rsid w:val="00BA044D"/>
    <w:rsid w:val="00BA0CFC"/>
    <w:rsid w:val="00BA1ADA"/>
    <w:rsid w:val="00BA1C15"/>
    <w:rsid w:val="00BA20FF"/>
    <w:rsid w:val="00BA26F7"/>
    <w:rsid w:val="00BA3288"/>
    <w:rsid w:val="00BA3671"/>
    <w:rsid w:val="00BA5224"/>
    <w:rsid w:val="00BA52CC"/>
    <w:rsid w:val="00BA5BA4"/>
    <w:rsid w:val="00BA5E89"/>
    <w:rsid w:val="00BA5FD9"/>
    <w:rsid w:val="00BA6DF5"/>
    <w:rsid w:val="00BA737C"/>
    <w:rsid w:val="00BA784F"/>
    <w:rsid w:val="00BA7A8B"/>
    <w:rsid w:val="00BA7DA3"/>
    <w:rsid w:val="00BB0397"/>
    <w:rsid w:val="00BB0DAE"/>
    <w:rsid w:val="00BB15AD"/>
    <w:rsid w:val="00BB17E2"/>
    <w:rsid w:val="00BB200A"/>
    <w:rsid w:val="00BB21A9"/>
    <w:rsid w:val="00BB22E0"/>
    <w:rsid w:val="00BB2981"/>
    <w:rsid w:val="00BB3555"/>
    <w:rsid w:val="00BB3FA4"/>
    <w:rsid w:val="00BB449B"/>
    <w:rsid w:val="00BB54F5"/>
    <w:rsid w:val="00BB5D58"/>
    <w:rsid w:val="00BB645B"/>
    <w:rsid w:val="00BC094D"/>
    <w:rsid w:val="00BC0EF1"/>
    <w:rsid w:val="00BC0F9B"/>
    <w:rsid w:val="00BC1247"/>
    <w:rsid w:val="00BC186E"/>
    <w:rsid w:val="00BC2368"/>
    <w:rsid w:val="00BC25BB"/>
    <w:rsid w:val="00BC2803"/>
    <w:rsid w:val="00BC3A5E"/>
    <w:rsid w:val="00BC4C32"/>
    <w:rsid w:val="00BC50C6"/>
    <w:rsid w:val="00BC556F"/>
    <w:rsid w:val="00BC632A"/>
    <w:rsid w:val="00BC66C0"/>
    <w:rsid w:val="00BC7147"/>
    <w:rsid w:val="00BC764E"/>
    <w:rsid w:val="00BC7700"/>
    <w:rsid w:val="00BC77DE"/>
    <w:rsid w:val="00BC7827"/>
    <w:rsid w:val="00BC7F7A"/>
    <w:rsid w:val="00BD0102"/>
    <w:rsid w:val="00BD03B3"/>
    <w:rsid w:val="00BD0C35"/>
    <w:rsid w:val="00BD22F5"/>
    <w:rsid w:val="00BD25A4"/>
    <w:rsid w:val="00BD29F2"/>
    <w:rsid w:val="00BD390E"/>
    <w:rsid w:val="00BD489F"/>
    <w:rsid w:val="00BD51BA"/>
    <w:rsid w:val="00BD5598"/>
    <w:rsid w:val="00BD6576"/>
    <w:rsid w:val="00BD7CC8"/>
    <w:rsid w:val="00BE14BB"/>
    <w:rsid w:val="00BE1D43"/>
    <w:rsid w:val="00BE2859"/>
    <w:rsid w:val="00BE291E"/>
    <w:rsid w:val="00BE2C5A"/>
    <w:rsid w:val="00BE32CF"/>
    <w:rsid w:val="00BE3A87"/>
    <w:rsid w:val="00BE3C8F"/>
    <w:rsid w:val="00BE46C4"/>
    <w:rsid w:val="00BE5F70"/>
    <w:rsid w:val="00BE6510"/>
    <w:rsid w:val="00BE6DC0"/>
    <w:rsid w:val="00BE74A8"/>
    <w:rsid w:val="00BE752A"/>
    <w:rsid w:val="00BE7C97"/>
    <w:rsid w:val="00BF041B"/>
    <w:rsid w:val="00BF06E8"/>
    <w:rsid w:val="00BF1BB6"/>
    <w:rsid w:val="00BF2057"/>
    <w:rsid w:val="00BF2248"/>
    <w:rsid w:val="00BF3034"/>
    <w:rsid w:val="00BF33F2"/>
    <w:rsid w:val="00BF39D5"/>
    <w:rsid w:val="00BF4883"/>
    <w:rsid w:val="00BF4988"/>
    <w:rsid w:val="00BF4B28"/>
    <w:rsid w:val="00BF4C10"/>
    <w:rsid w:val="00BF4ED3"/>
    <w:rsid w:val="00BF5EB3"/>
    <w:rsid w:val="00BF7DA5"/>
    <w:rsid w:val="00C000EE"/>
    <w:rsid w:val="00C0044A"/>
    <w:rsid w:val="00C0051A"/>
    <w:rsid w:val="00C010D9"/>
    <w:rsid w:val="00C01988"/>
    <w:rsid w:val="00C01AA9"/>
    <w:rsid w:val="00C01D15"/>
    <w:rsid w:val="00C01E7B"/>
    <w:rsid w:val="00C04D23"/>
    <w:rsid w:val="00C051C1"/>
    <w:rsid w:val="00C05A47"/>
    <w:rsid w:val="00C06019"/>
    <w:rsid w:val="00C0619B"/>
    <w:rsid w:val="00C06A61"/>
    <w:rsid w:val="00C06BE0"/>
    <w:rsid w:val="00C06FCE"/>
    <w:rsid w:val="00C0710C"/>
    <w:rsid w:val="00C0752E"/>
    <w:rsid w:val="00C07571"/>
    <w:rsid w:val="00C07D8B"/>
    <w:rsid w:val="00C07E5E"/>
    <w:rsid w:val="00C10509"/>
    <w:rsid w:val="00C10ECE"/>
    <w:rsid w:val="00C115AA"/>
    <w:rsid w:val="00C1281A"/>
    <w:rsid w:val="00C139C6"/>
    <w:rsid w:val="00C13DA2"/>
    <w:rsid w:val="00C14DF0"/>
    <w:rsid w:val="00C154CF"/>
    <w:rsid w:val="00C15713"/>
    <w:rsid w:val="00C16006"/>
    <w:rsid w:val="00C168AC"/>
    <w:rsid w:val="00C16D65"/>
    <w:rsid w:val="00C20C77"/>
    <w:rsid w:val="00C2151D"/>
    <w:rsid w:val="00C21ED6"/>
    <w:rsid w:val="00C223CD"/>
    <w:rsid w:val="00C22A95"/>
    <w:rsid w:val="00C22F27"/>
    <w:rsid w:val="00C24EEF"/>
    <w:rsid w:val="00C252BF"/>
    <w:rsid w:val="00C26323"/>
    <w:rsid w:val="00C26B23"/>
    <w:rsid w:val="00C27B4F"/>
    <w:rsid w:val="00C307DA"/>
    <w:rsid w:val="00C30A1F"/>
    <w:rsid w:val="00C33022"/>
    <w:rsid w:val="00C33B40"/>
    <w:rsid w:val="00C34563"/>
    <w:rsid w:val="00C34573"/>
    <w:rsid w:val="00C34745"/>
    <w:rsid w:val="00C34DE7"/>
    <w:rsid w:val="00C35845"/>
    <w:rsid w:val="00C363A3"/>
    <w:rsid w:val="00C373A0"/>
    <w:rsid w:val="00C4004D"/>
    <w:rsid w:val="00C40729"/>
    <w:rsid w:val="00C408DA"/>
    <w:rsid w:val="00C41AFF"/>
    <w:rsid w:val="00C41F4D"/>
    <w:rsid w:val="00C420BB"/>
    <w:rsid w:val="00C421E2"/>
    <w:rsid w:val="00C4233C"/>
    <w:rsid w:val="00C42DBF"/>
    <w:rsid w:val="00C4389A"/>
    <w:rsid w:val="00C43B38"/>
    <w:rsid w:val="00C43EEB"/>
    <w:rsid w:val="00C45BC7"/>
    <w:rsid w:val="00C45D03"/>
    <w:rsid w:val="00C4620C"/>
    <w:rsid w:val="00C46F1A"/>
    <w:rsid w:val="00C50C8C"/>
    <w:rsid w:val="00C517B1"/>
    <w:rsid w:val="00C51EED"/>
    <w:rsid w:val="00C5331A"/>
    <w:rsid w:val="00C536A1"/>
    <w:rsid w:val="00C538FD"/>
    <w:rsid w:val="00C548D4"/>
    <w:rsid w:val="00C55496"/>
    <w:rsid w:val="00C56471"/>
    <w:rsid w:val="00C56B4D"/>
    <w:rsid w:val="00C60169"/>
    <w:rsid w:val="00C6058F"/>
    <w:rsid w:val="00C606BA"/>
    <w:rsid w:val="00C60927"/>
    <w:rsid w:val="00C618BB"/>
    <w:rsid w:val="00C620B9"/>
    <w:rsid w:val="00C6264E"/>
    <w:rsid w:val="00C627A0"/>
    <w:rsid w:val="00C63544"/>
    <w:rsid w:val="00C6368B"/>
    <w:rsid w:val="00C636CF"/>
    <w:rsid w:val="00C6398B"/>
    <w:rsid w:val="00C6456D"/>
    <w:rsid w:val="00C648F5"/>
    <w:rsid w:val="00C65401"/>
    <w:rsid w:val="00C65726"/>
    <w:rsid w:val="00C65AF9"/>
    <w:rsid w:val="00C66D77"/>
    <w:rsid w:val="00C66FFB"/>
    <w:rsid w:val="00C70A3C"/>
    <w:rsid w:val="00C70FF1"/>
    <w:rsid w:val="00C71E90"/>
    <w:rsid w:val="00C72364"/>
    <w:rsid w:val="00C72754"/>
    <w:rsid w:val="00C72A8E"/>
    <w:rsid w:val="00C72C29"/>
    <w:rsid w:val="00C737F9"/>
    <w:rsid w:val="00C7390C"/>
    <w:rsid w:val="00C740A0"/>
    <w:rsid w:val="00C74DC2"/>
    <w:rsid w:val="00C75103"/>
    <w:rsid w:val="00C75242"/>
    <w:rsid w:val="00C7542A"/>
    <w:rsid w:val="00C75515"/>
    <w:rsid w:val="00C76338"/>
    <w:rsid w:val="00C7658F"/>
    <w:rsid w:val="00C765B0"/>
    <w:rsid w:val="00C765CA"/>
    <w:rsid w:val="00C76752"/>
    <w:rsid w:val="00C800A6"/>
    <w:rsid w:val="00C80A27"/>
    <w:rsid w:val="00C81F33"/>
    <w:rsid w:val="00C82045"/>
    <w:rsid w:val="00C82493"/>
    <w:rsid w:val="00C8286F"/>
    <w:rsid w:val="00C84A4E"/>
    <w:rsid w:val="00C84B9A"/>
    <w:rsid w:val="00C85AAF"/>
    <w:rsid w:val="00C864DA"/>
    <w:rsid w:val="00C86881"/>
    <w:rsid w:val="00C86A3E"/>
    <w:rsid w:val="00C86B4D"/>
    <w:rsid w:val="00C86EF3"/>
    <w:rsid w:val="00C86FD1"/>
    <w:rsid w:val="00C87446"/>
    <w:rsid w:val="00C87C0C"/>
    <w:rsid w:val="00C87EB5"/>
    <w:rsid w:val="00C9071F"/>
    <w:rsid w:val="00C907DB"/>
    <w:rsid w:val="00C90F0B"/>
    <w:rsid w:val="00C924A8"/>
    <w:rsid w:val="00C924CE"/>
    <w:rsid w:val="00C9260E"/>
    <w:rsid w:val="00C9308A"/>
    <w:rsid w:val="00C93327"/>
    <w:rsid w:val="00C93449"/>
    <w:rsid w:val="00C93D94"/>
    <w:rsid w:val="00C93F9A"/>
    <w:rsid w:val="00C9430E"/>
    <w:rsid w:val="00C943C7"/>
    <w:rsid w:val="00C9465B"/>
    <w:rsid w:val="00C95EE2"/>
    <w:rsid w:val="00C96054"/>
    <w:rsid w:val="00C96506"/>
    <w:rsid w:val="00CA0A69"/>
    <w:rsid w:val="00CA0C90"/>
    <w:rsid w:val="00CA0F0C"/>
    <w:rsid w:val="00CA11D6"/>
    <w:rsid w:val="00CA173D"/>
    <w:rsid w:val="00CA1779"/>
    <w:rsid w:val="00CA1CD6"/>
    <w:rsid w:val="00CA2A16"/>
    <w:rsid w:val="00CA2A4C"/>
    <w:rsid w:val="00CA3009"/>
    <w:rsid w:val="00CA3F70"/>
    <w:rsid w:val="00CA4584"/>
    <w:rsid w:val="00CA50C7"/>
    <w:rsid w:val="00CA54A1"/>
    <w:rsid w:val="00CA551C"/>
    <w:rsid w:val="00CA5A8F"/>
    <w:rsid w:val="00CA6B9B"/>
    <w:rsid w:val="00CA6E30"/>
    <w:rsid w:val="00CA7284"/>
    <w:rsid w:val="00CA77B0"/>
    <w:rsid w:val="00CA7C8D"/>
    <w:rsid w:val="00CB11FD"/>
    <w:rsid w:val="00CB19FC"/>
    <w:rsid w:val="00CB1D6F"/>
    <w:rsid w:val="00CB276A"/>
    <w:rsid w:val="00CB3435"/>
    <w:rsid w:val="00CB3D85"/>
    <w:rsid w:val="00CB61AC"/>
    <w:rsid w:val="00CB6AA1"/>
    <w:rsid w:val="00CB7CBB"/>
    <w:rsid w:val="00CC0430"/>
    <w:rsid w:val="00CC0932"/>
    <w:rsid w:val="00CC0BEC"/>
    <w:rsid w:val="00CC0CCD"/>
    <w:rsid w:val="00CC1AC1"/>
    <w:rsid w:val="00CC400C"/>
    <w:rsid w:val="00CC49F7"/>
    <w:rsid w:val="00CC509A"/>
    <w:rsid w:val="00CC5A44"/>
    <w:rsid w:val="00CC5BB1"/>
    <w:rsid w:val="00CC6E7B"/>
    <w:rsid w:val="00CC6F11"/>
    <w:rsid w:val="00CC7073"/>
    <w:rsid w:val="00CD0EBD"/>
    <w:rsid w:val="00CD1644"/>
    <w:rsid w:val="00CD1AE1"/>
    <w:rsid w:val="00CD2D5A"/>
    <w:rsid w:val="00CD2F9A"/>
    <w:rsid w:val="00CD4969"/>
    <w:rsid w:val="00CD50CD"/>
    <w:rsid w:val="00CD5C16"/>
    <w:rsid w:val="00CD6611"/>
    <w:rsid w:val="00CD7076"/>
    <w:rsid w:val="00CD7FF3"/>
    <w:rsid w:val="00CE021D"/>
    <w:rsid w:val="00CE0236"/>
    <w:rsid w:val="00CE041D"/>
    <w:rsid w:val="00CE0E82"/>
    <w:rsid w:val="00CE1C68"/>
    <w:rsid w:val="00CE1F99"/>
    <w:rsid w:val="00CE2592"/>
    <w:rsid w:val="00CE26AE"/>
    <w:rsid w:val="00CE2E14"/>
    <w:rsid w:val="00CE3F9D"/>
    <w:rsid w:val="00CE46BB"/>
    <w:rsid w:val="00CE49B5"/>
    <w:rsid w:val="00CE5CC0"/>
    <w:rsid w:val="00CE5DA9"/>
    <w:rsid w:val="00CE63DB"/>
    <w:rsid w:val="00CE65A4"/>
    <w:rsid w:val="00CE666F"/>
    <w:rsid w:val="00CE6B10"/>
    <w:rsid w:val="00CE7283"/>
    <w:rsid w:val="00CE7DA4"/>
    <w:rsid w:val="00CE7F90"/>
    <w:rsid w:val="00CF0AAE"/>
    <w:rsid w:val="00CF0D10"/>
    <w:rsid w:val="00CF10A7"/>
    <w:rsid w:val="00CF1999"/>
    <w:rsid w:val="00CF23F5"/>
    <w:rsid w:val="00CF2734"/>
    <w:rsid w:val="00CF391D"/>
    <w:rsid w:val="00CF42E0"/>
    <w:rsid w:val="00CF438D"/>
    <w:rsid w:val="00CF5A2E"/>
    <w:rsid w:val="00CF601E"/>
    <w:rsid w:val="00CF7595"/>
    <w:rsid w:val="00CF7BEE"/>
    <w:rsid w:val="00D01A2E"/>
    <w:rsid w:val="00D01E30"/>
    <w:rsid w:val="00D01FA0"/>
    <w:rsid w:val="00D02A8B"/>
    <w:rsid w:val="00D03000"/>
    <w:rsid w:val="00D035D0"/>
    <w:rsid w:val="00D03B20"/>
    <w:rsid w:val="00D03D68"/>
    <w:rsid w:val="00D03F94"/>
    <w:rsid w:val="00D04007"/>
    <w:rsid w:val="00D043BD"/>
    <w:rsid w:val="00D04D5D"/>
    <w:rsid w:val="00D053D9"/>
    <w:rsid w:val="00D0684F"/>
    <w:rsid w:val="00D0785F"/>
    <w:rsid w:val="00D10D84"/>
    <w:rsid w:val="00D1125C"/>
    <w:rsid w:val="00D1308E"/>
    <w:rsid w:val="00D13452"/>
    <w:rsid w:val="00D1446F"/>
    <w:rsid w:val="00D15576"/>
    <w:rsid w:val="00D169B4"/>
    <w:rsid w:val="00D16D12"/>
    <w:rsid w:val="00D17422"/>
    <w:rsid w:val="00D1786C"/>
    <w:rsid w:val="00D17916"/>
    <w:rsid w:val="00D179C1"/>
    <w:rsid w:val="00D17BD2"/>
    <w:rsid w:val="00D17D3B"/>
    <w:rsid w:val="00D200A0"/>
    <w:rsid w:val="00D207EA"/>
    <w:rsid w:val="00D20E0D"/>
    <w:rsid w:val="00D23512"/>
    <w:rsid w:val="00D2483B"/>
    <w:rsid w:val="00D25014"/>
    <w:rsid w:val="00D250B3"/>
    <w:rsid w:val="00D25D30"/>
    <w:rsid w:val="00D261C9"/>
    <w:rsid w:val="00D2640F"/>
    <w:rsid w:val="00D264B7"/>
    <w:rsid w:val="00D267D2"/>
    <w:rsid w:val="00D26A33"/>
    <w:rsid w:val="00D27128"/>
    <w:rsid w:val="00D271BC"/>
    <w:rsid w:val="00D27670"/>
    <w:rsid w:val="00D27859"/>
    <w:rsid w:val="00D27F3A"/>
    <w:rsid w:val="00D307BF"/>
    <w:rsid w:val="00D30A81"/>
    <w:rsid w:val="00D30D68"/>
    <w:rsid w:val="00D3106C"/>
    <w:rsid w:val="00D31456"/>
    <w:rsid w:val="00D32361"/>
    <w:rsid w:val="00D323A5"/>
    <w:rsid w:val="00D34A9D"/>
    <w:rsid w:val="00D34AB5"/>
    <w:rsid w:val="00D3594B"/>
    <w:rsid w:val="00D35D4B"/>
    <w:rsid w:val="00D3650C"/>
    <w:rsid w:val="00D3712C"/>
    <w:rsid w:val="00D3748D"/>
    <w:rsid w:val="00D376C5"/>
    <w:rsid w:val="00D37BEA"/>
    <w:rsid w:val="00D37C65"/>
    <w:rsid w:val="00D400CB"/>
    <w:rsid w:val="00D4079F"/>
    <w:rsid w:val="00D40B4B"/>
    <w:rsid w:val="00D4257F"/>
    <w:rsid w:val="00D428ED"/>
    <w:rsid w:val="00D429C0"/>
    <w:rsid w:val="00D42D2C"/>
    <w:rsid w:val="00D43703"/>
    <w:rsid w:val="00D44BF1"/>
    <w:rsid w:val="00D44EB4"/>
    <w:rsid w:val="00D45110"/>
    <w:rsid w:val="00D45B9F"/>
    <w:rsid w:val="00D5097E"/>
    <w:rsid w:val="00D50B8C"/>
    <w:rsid w:val="00D51AF5"/>
    <w:rsid w:val="00D51D68"/>
    <w:rsid w:val="00D53117"/>
    <w:rsid w:val="00D533F7"/>
    <w:rsid w:val="00D53A0F"/>
    <w:rsid w:val="00D53E9A"/>
    <w:rsid w:val="00D54F58"/>
    <w:rsid w:val="00D55212"/>
    <w:rsid w:val="00D558F5"/>
    <w:rsid w:val="00D55C08"/>
    <w:rsid w:val="00D5625D"/>
    <w:rsid w:val="00D563C0"/>
    <w:rsid w:val="00D56BF3"/>
    <w:rsid w:val="00D56CAA"/>
    <w:rsid w:val="00D57188"/>
    <w:rsid w:val="00D57396"/>
    <w:rsid w:val="00D60314"/>
    <w:rsid w:val="00D6037A"/>
    <w:rsid w:val="00D60A18"/>
    <w:rsid w:val="00D60C52"/>
    <w:rsid w:val="00D61313"/>
    <w:rsid w:val="00D616FA"/>
    <w:rsid w:val="00D61BA2"/>
    <w:rsid w:val="00D62AFE"/>
    <w:rsid w:val="00D63074"/>
    <w:rsid w:val="00D639BB"/>
    <w:rsid w:val="00D63E78"/>
    <w:rsid w:val="00D6567D"/>
    <w:rsid w:val="00D656BB"/>
    <w:rsid w:val="00D661B6"/>
    <w:rsid w:val="00D67A85"/>
    <w:rsid w:val="00D67C76"/>
    <w:rsid w:val="00D701B6"/>
    <w:rsid w:val="00D702EE"/>
    <w:rsid w:val="00D70C0F"/>
    <w:rsid w:val="00D715E6"/>
    <w:rsid w:val="00D718AF"/>
    <w:rsid w:val="00D72952"/>
    <w:rsid w:val="00D7434F"/>
    <w:rsid w:val="00D74942"/>
    <w:rsid w:val="00D75006"/>
    <w:rsid w:val="00D756A4"/>
    <w:rsid w:val="00D759DB"/>
    <w:rsid w:val="00D75A21"/>
    <w:rsid w:val="00D75E92"/>
    <w:rsid w:val="00D76303"/>
    <w:rsid w:val="00D76439"/>
    <w:rsid w:val="00D76A7C"/>
    <w:rsid w:val="00D777A3"/>
    <w:rsid w:val="00D800E1"/>
    <w:rsid w:val="00D834D5"/>
    <w:rsid w:val="00D835AD"/>
    <w:rsid w:val="00D8389B"/>
    <w:rsid w:val="00D841E5"/>
    <w:rsid w:val="00D844D1"/>
    <w:rsid w:val="00D84A39"/>
    <w:rsid w:val="00D8558E"/>
    <w:rsid w:val="00D855A9"/>
    <w:rsid w:val="00D85C5B"/>
    <w:rsid w:val="00D8660F"/>
    <w:rsid w:val="00D86948"/>
    <w:rsid w:val="00D86F9D"/>
    <w:rsid w:val="00D877DA"/>
    <w:rsid w:val="00D90009"/>
    <w:rsid w:val="00D9017E"/>
    <w:rsid w:val="00D90952"/>
    <w:rsid w:val="00D9124D"/>
    <w:rsid w:val="00D91610"/>
    <w:rsid w:val="00D916F5"/>
    <w:rsid w:val="00D91AE4"/>
    <w:rsid w:val="00D920D1"/>
    <w:rsid w:val="00D9226D"/>
    <w:rsid w:val="00D92888"/>
    <w:rsid w:val="00D9349E"/>
    <w:rsid w:val="00D93B26"/>
    <w:rsid w:val="00D93B65"/>
    <w:rsid w:val="00D955CF"/>
    <w:rsid w:val="00D95BD8"/>
    <w:rsid w:val="00D97112"/>
    <w:rsid w:val="00D971A0"/>
    <w:rsid w:val="00D973ED"/>
    <w:rsid w:val="00D9772E"/>
    <w:rsid w:val="00D97B7E"/>
    <w:rsid w:val="00D97F45"/>
    <w:rsid w:val="00DA0877"/>
    <w:rsid w:val="00DA2D79"/>
    <w:rsid w:val="00DA30E5"/>
    <w:rsid w:val="00DA30EE"/>
    <w:rsid w:val="00DA3341"/>
    <w:rsid w:val="00DA3DD5"/>
    <w:rsid w:val="00DA4616"/>
    <w:rsid w:val="00DA498E"/>
    <w:rsid w:val="00DA4EB8"/>
    <w:rsid w:val="00DA6486"/>
    <w:rsid w:val="00DA6636"/>
    <w:rsid w:val="00DA73E7"/>
    <w:rsid w:val="00DB10F6"/>
    <w:rsid w:val="00DB1511"/>
    <w:rsid w:val="00DB16CF"/>
    <w:rsid w:val="00DB17C1"/>
    <w:rsid w:val="00DB2AA8"/>
    <w:rsid w:val="00DB356A"/>
    <w:rsid w:val="00DB44A0"/>
    <w:rsid w:val="00DB502D"/>
    <w:rsid w:val="00DB521C"/>
    <w:rsid w:val="00DB5F19"/>
    <w:rsid w:val="00DB5FD3"/>
    <w:rsid w:val="00DB6560"/>
    <w:rsid w:val="00DB6987"/>
    <w:rsid w:val="00DB6DB2"/>
    <w:rsid w:val="00DB7994"/>
    <w:rsid w:val="00DC1B9F"/>
    <w:rsid w:val="00DC1C93"/>
    <w:rsid w:val="00DC27DF"/>
    <w:rsid w:val="00DC2E5A"/>
    <w:rsid w:val="00DC3C5E"/>
    <w:rsid w:val="00DC3E1A"/>
    <w:rsid w:val="00DC468E"/>
    <w:rsid w:val="00DC480F"/>
    <w:rsid w:val="00DC572D"/>
    <w:rsid w:val="00DC6888"/>
    <w:rsid w:val="00DC6A63"/>
    <w:rsid w:val="00DC6D85"/>
    <w:rsid w:val="00DC7D0A"/>
    <w:rsid w:val="00DC7E60"/>
    <w:rsid w:val="00DD0E18"/>
    <w:rsid w:val="00DD1792"/>
    <w:rsid w:val="00DD1C59"/>
    <w:rsid w:val="00DD2DE5"/>
    <w:rsid w:val="00DD2E09"/>
    <w:rsid w:val="00DD4F35"/>
    <w:rsid w:val="00DD5C84"/>
    <w:rsid w:val="00DD5CAB"/>
    <w:rsid w:val="00DD6FFB"/>
    <w:rsid w:val="00DD72CE"/>
    <w:rsid w:val="00DD7E72"/>
    <w:rsid w:val="00DE042A"/>
    <w:rsid w:val="00DE0965"/>
    <w:rsid w:val="00DE0FD4"/>
    <w:rsid w:val="00DE17D7"/>
    <w:rsid w:val="00DE1882"/>
    <w:rsid w:val="00DE29A5"/>
    <w:rsid w:val="00DE307E"/>
    <w:rsid w:val="00DE33E4"/>
    <w:rsid w:val="00DE57B9"/>
    <w:rsid w:val="00DE65E8"/>
    <w:rsid w:val="00DE7312"/>
    <w:rsid w:val="00DE781A"/>
    <w:rsid w:val="00DE797B"/>
    <w:rsid w:val="00DE7D31"/>
    <w:rsid w:val="00DE7E31"/>
    <w:rsid w:val="00DF0389"/>
    <w:rsid w:val="00DF0705"/>
    <w:rsid w:val="00DF0732"/>
    <w:rsid w:val="00DF23BA"/>
    <w:rsid w:val="00DF337D"/>
    <w:rsid w:val="00DF358A"/>
    <w:rsid w:val="00DF3F5D"/>
    <w:rsid w:val="00DF42F6"/>
    <w:rsid w:val="00DF4577"/>
    <w:rsid w:val="00DF5A2A"/>
    <w:rsid w:val="00DF5B4A"/>
    <w:rsid w:val="00DF6E6C"/>
    <w:rsid w:val="00DF72D5"/>
    <w:rsid w:val="00DF73A4"/>
    <w:rsid w:val="00DF7B61"/>
    <w:rsid w:val="00DF7BB8"/>
    <w:rsid w:val="00E023EF"/>
    <w:rsid w:val="00E02564"/>
    <w:rsid w:val="00E0430B"/>
    <w:rsid w:val="00E04CFC"/>
    <w:rsid w:val="00E06027"/>
    <w:rsid w:val="00E0655A"/>
    <w:rsid w:val="00E07C06"/>
    <w:rsid w:val="00E1001E"/>
    <w:rsid w:val="00E1077D"/>
    <w:rsid w:val="00E10C01"/>
    <w:rsid w:val="00E10C30"/>
    <w:rsid w:val="00E114F8"/>
    <w:rsid w:val="00E11EE7"/>
    <w:rsid w:val="00E11FE1"/>
    <w:rsid w:val="00E124D3"/>
    <w:rsid w:val="00E12792"/>
    <w:rsid w:val="00E12EE2"/>
    <w:rsid w:val="00E13134"/>
    <w:rsid w:val="00E148AD"/>
    <w:rsid w:val="00E14BCA"/>
    <w:rsid w:val="00E154A3"/>
    <w:rsid w:val="00E155E8"/>
    <w:rsid w:val="00E162DE"/>
    <w:rsid w:val="00E17991"/>
    <w:rsid w:val="00E17C3C"/>
    <w:rsid w:val="00E20754"/>
    <w:rsid w:val="00E208E8"/>
    <w:rsid w:val="00E20BDF"/>
    <w:rsid w:val="00E2114E"/>
    <w:rsid w:val="00E21339"/>
    <w:rsid w:val="00E22666"/>
    <w:rsid w:val="00E23390"/>
    <w:rsid w:val="00E237B6"/>
    <w:rsid w:val="00E249AA"/>
    <w:rsid w:val="00E26960"/>
    <w:rsid w:val="00E27AA5"/>
    <w:rsid w:val="00E27DB0"/>
    <w:rsid w:val="00E31071"/>
    <w:rsid w:val="00E31719"/>
    <w:rsid w:val="00E320F2"/>
    <w:rsid w:val="00E32546"/>
    <w:rsid w:val="00E3274C"/>
    <w:rsid w:val="00E329E6"/>
    <w:rsid w:val="00E32EBB"/>
    <w:rsid w:val="00E33568"/>
    <w:rsid w:val="00E33985"/>
    <w:rsid w:val="00E341C3"/>
    <w:rsid w:val="00E35797"/>
    <w:rsid w:val="00E359D4"/>
    <w:rsid w:val="00E35F2B"/>
    <w:rsid w:val="00E36387"/>
    <w:rsid w:val="00E36BFC"/>
    <w:rsid w:val="00E370A6"/>
    <w:rsid w:val="00E40C82"/>
    <w:rsid w:val="00E40E64"/>
    <w:rsid w:val="00E41BC9"/>
    <w:rsid w:val="00E42579"/>
    <w:rsid w:val="00E427B7"/>
    <w:rsid w:val="00E43FC9"/>
    <w:rsid w:val="00E44301"/>
    <w:rsid w:val="00E459E0"/>
    <w:rsid w:val="00E45C7B"/>
    <w:rsid w:val="00E46F56"/>
    <w:rsid w:val="00E47629"/>
    <w:rsid w:val="00E47856"/>
    <w:rsid w:val="00E50704"/>
    <w:rsid w:val="00E5086D"/>
    <w:rsid w:val="00E50CA8"/>
    <w:rsid w:val="00E51180"/>
    <w:rsid w:val="00E51733"/>
    <w:rsid w:val="00E51853"/>
    <w:rsid w:val="00E52473"/>
    <w:rsid w:val="00E5419A"/>
    <w:rsid w:val="00E55294"/>
    <w:rsid w:val="00E55867"/>
    <w:rsid w:val="00E55934"/>
    <w:rsid w:val="00E5656E"/>
    <w:rsid w:val="00E569F2"/>
    <w:rsid w:val="00E57476"/>
    <w:rsid w:val="00E57486"/>
    <w:rsid w:val="00E61952"/>
    <w:rsid w:val="00E61B98"/>
    <w:rsid w:val="00E61BA2"/>
    <w:rsid w:val="00E61DA9"/>
    <w:rsid w:val="00E65532"/>
    <w:rsid w:val="00E65787"/>
    <w:rsid w:val="00E65CE8"/>
    <w:rsid w:val="00E662FF"/>
    <w:rsid w:val="00E666C3"/>
    <w:rsid w:val="00E67B22"/>
    <w:rsid w:val="00E70230"/>
    <w:rsid w:val="00E70EEA"/>
    <w:rsid w:val="00E7204F"/>
    <w:rsid w:val="00E72FD1"/>
    <w:rsid w:val="00E7303C"/>
    <w:rsid w:val="00E73AB2"/>
    <w:rsid w:val="00E74287"/>
    <w:rsid w:val="00E74459"/>
    <w:rsid w:val="00E7558D"/>
    <w:rsid w:val="00E759FA"/>
    <w:rsid w:val="00E76195"/>
    <w:rsid w:val="00E76908"/>
    <w:rsid w:val="00E771C4"/>
    <w:rsid w:val="00E775B4"/>
    <w:rsid w:val="00E775F1"/>
    <w:rsid w:val="00E807DB"/>
    <w:rsid w:val="00E81FB3"/>
    <w:rsid w:val="00E82290"/>
    <w:rsid w:val="00E826D3"/>
    <w:rsid w:val="00E82AF4"/>
    <w:rsid w:val="00E82DE4"/>
    <w:rsid w:val="00E835D9"/>
    <w:rsid w:val="00E83822"/>
    <w:rsid w:val="00E84161"/>
    <w:rsid w:val="00E84186"/>
    <w:rsid w:val="00E84A78"/>
    <w:rsid w:val="00E84F18"/>
    <w:rsid w:val="00E86A52"/>
    <w:rsid w:val="00E87096"/>
    <w:rsid w:val="00E90343"/>
    <w:rsid w:val="00E90986"/>
    <w:rsid w:val="00E90DAC"/>
    <w:rsid w:val="00E90F0E"/>
    <w:rsid w:val="00E9158D"/>
    <w:rsid w:val="00E9166F"/>
    <w:rsid w:val="00E918BE"/>
    <w:rsid w:val="00E92224"/>
    <w:rsid w:val="00E924D4"/>
    <w:rsid w:val="00E92993"/>
    <w:rsid w:val="00E92BF7"/>
    <w:rsid w:val="00E92CD8"/>
    <w:rsid w:val="00E93096"/>
    <w:rsid w:val="00E932BB"/>
    <w:rsid w:val="00E93D45"/>
    <w:rsid w:val="00E94D0B"/>
    <w:rsid w:val="00E952A3"/>
    <w:rsid w:val="00E95C94"/>
    <w:rsid w:val="00E96B5D"/>
    <w:rsid w:val="00E96F9F"/>
    <w:rsid w:val="00E97349"/>
    <w:rsid w:val="00EA0062"/>
    <w:rsid w:val="00EA03CE"/>
    <w:rsid w:val="00EA1216"/>
    <w:rsid w:val="00EA1D1D"/>
    <w:rsid w:val="00EA1FCC"/>
    <w:rsid w:val="00EA34E7"/>
    <w:rsid w:val="00EA38AD"/>
    <w:rsid w:val="00EA3D13"/>
    <w:rsid w:val="00EA5831"/>
    <w:rsid w:val="00EA5985"/>
    <w:rsid w:val="00EA59EC"/>
    <w:rsid w:val="00EA6BD3"/>
    <w:rsid w:val="00EA6F94"/>
    <w:rsid w:val="00EA6F9D"/>
    <w:rsid w:val="00EA7EAD"/>
    <w:rsid w:val="00EB0F79"/>
    <w:rsid w:val="00EB10E2"/>
    <w:rsid w:val="00EB1143"/>
    <w:rsid w:val="00EB1CCC"/>
    <w:rsid w:val="00EB2195"/>
    <w:rsid w:val="00EB2433"/>
    <w:rsid w:val="00EB259C"/>
    <w:rsid w:val="00EB47DF"/>
    <w:rsid w:val="00EB481E"/>
    <w:rsid w:val="00EB4975"/>
    <w:rsid w:val="00EB49A1"/>
    <w:rsid w:val="00EB4C06"/>
    <w:rsid w:val="00EB5333"/>
    <w:rsid w:val="00EB576F"/>
    <w:rsid w:val="00EB60AE"/>
    <w:rsid w:val="00EB6383"/>
    <w:rsid w:val="00EB6865"/>
    <w:rsid w:val="00EB6C9B"/>
    <w:rsid w:val="00EB745C"/>
    <w:rsid w:val="00EC07C3"/>
    <w:rsid w:val="00EC0D1A"/>
    <w:rsid w:val="00EC0EFC"/>
    <w:rsid w:val="00EC1733"/>
    <w:rsid w:val="00EC255D"/>
    <w:rsid w:val="00EC2B38"/>
    <w:rsid w:val="00EC2C2F"/>
    <w:rsid w:val="00EC3831"/>
    <w:rsid w:val="00EC4295"/>
    <w:rsid w:val="00EC50B5"/>
    <w:rsid w:val="00EC51F4"/>
    <w:rsid w:val="00EC5D5A"/>
    <w:rsid w:val="00EC79F9"/>
    <w:rsid w:val="00EC7A8E"/>
    <w:rsid w:val="00EC7DE2"/>
    <w:rsid w:val="00ED0B3C"/>
    <w:rsid w:val="00ED0DC5"/>
    <w:rsid w:val="00ED0F72"/>
    <w:rsid w:val="00ED1192"/>
    <w:rsid w:val="00ED1347"/>
    <w:rsid w:val="00ED31F5"/>
    <w:rsid w:val="00ED3481"/>
    <w:rsid w:val="00ED348D"/>
    <w:rsid w:val="00ED365F"/>
    <w:rsid w:val="00ED3797"/>
    <w:rsid w:val="00ED4408"/>
    <w:rsid w:val="00ED48D6"/>
    <w:rsid w:val="00ED5655"/>
    <w:rsid w:val="00ED5ADD"/>
    <w:rsid w:val="00ED5D45"/>
    <w:rsid w:val="00ED7D64"/>
    <w:rsid w:val="00ED7FD2"/>
    <w:rsid w:val="00EE069B"/>
    <w:rsid w:val="00EE075F"/>
    <w:rsid w:val="00EE144D"/>
    <w:rsid w:val="00EE14AC"/>
    <w:rsid w:val="00EE257C"/>
    <w:rsid w:val="00EE34A1"/>
    <w:rsid w:val="00EE3D4B"/>
    <w:rsid w:val="00EE4187"/>
    <w:rsid w:val="00EE4A04"/>
    <w:rsid w:val="00EE4C62"/>
    <w:rsid w:val="00EE4CA5"/>
    <w:rsid w:val="00EE5556"/>
    <w:rsid w:val="00EE5A5F"/>
    <w:rsid w:val="00EE6E14"/>
    <w:rsid w:val="00EE708D"/>
    <w:rsid w:val="00EE7FD0"/>
    <w:rsid w:val="00EF015E"/>
    <w:rsid w:val="00EF03E2"/>
    <w:rsid w:val="00EF0BAA"/>
    <w:rsid w:val="00EF1C9B"/>
    <w:rsid w:val="00EF2051"/>
    <w:rsid w:val="00EF25D1"/>
    <w:rsid w:val="00EF2C26"/>
    <w:rsid w:val="00EF2D19"/>
    <w:rsid w:val="00EF30F0"/>
    <w:rsid w:val="00EF33D9"/>
    <w:rsid w:val="00EF3859"/>
    <w:rsid w:val="00EF3977"/>
    <w:rsid w:val="00EF3CD0"/>
    <w:rsid w:val="00EF4270"/>
    <w:rsid w:val="00EF4904"/>
    <w:rsid w:val="00EF49A8"/>
    <w:rsid w:val="00EF57F1"/>
    <w:rsid w:val="00EF59F0"/>
    <w:rsid w:val="00EF5D58"/>
    <w:rsid w:val="00EF6477"/>
    <w:rsid w:val="00EF6D30"/>
    <w:rsid w:val="00EF724E"/>
    <w:rsid w:val="00EF792E"/>
    <w:rsid w:val="00EF7DAA"/>
    <w:rsid w:val="00F00762"/>
    <w:rsid w:val="00F01373"/>
    <w:rsid w:val="00F02EFE"/>
    <w:rsid w:val="00F03AE3"/>
    <w:rsid w:val="00F03B4E"/>
    <w:rsid w:val="00F04903"/>
    <w:rsid w:val="00F04E3C"/>
    <w:rsid w:val="00F05EA4"/>
    <w:rsid w:val="00F05FFD"/>
    <w:rsid w:val="00F069B5"/>
    <w:rsid w:val="00F06EA5"/>
    <w:rsid w:val="00F07272"/>
    <w:rsid w:val="00F07F48"/>
    <w:rsid w:val="00F10323"/>
    <w:rsid w:val="00F10361"/>
    <w:rsid w:val="00F11710"/>
    <w:rsid w:val="00F11BD1"/>
    <w:rsid w:val="00F130B5"/>
    <w:rsid w:val="00F13230"/>
    <w:rsid w:val="00F13916"/>
    <w:rsid w:val="00F13ECA"/>
    <w:rsid w:val="00F13EEA"/>
    <w:rsid w:val="00F14624"/>
    <w:rsid w:val="00F14CC3"/>
    <w:rsid w:val="00F14CFD"/>
    <w:rsid w:val="00F14D7E"/>
    <w:rsid w:val="00F15B64"/>
    <w:rsid w:val="00F1650E"/>
    <w:rsid w:val="00F168FB"/>
    <w:rsid w:val="00F16EF6"/>
    <w:rsid w:val="00F20291"/>
    <w:rsid w:val="00F20406"/>
    <w:rsid w:val="00F20B1B"/>
    <w:rsid w:val="00F22E18"/>
    <w:rsid w:val="00F23DC1"/>
    <w:rsid w:val="00F2423D"/>
    <w:rsid w:val="00F24CEA"/>
    <w:rsid w:val="00F26579"/>
    <w:rsid w:val="00F26863"/>
    <w:rsid w:val="00F26AB3"/>
    <w:rsid w:val="00F27402"/>
    <w:rsid w:val="00F27639"/>
    <w:rsid w:val="00F27861"/>
    <w:rsid w:val="00F3059A"/>
    <w:rsid w:val="00F30B92"/>
    <w:rsid w:val="00F31CC2"/>
    <w:rsid w:val="00F32C87"/>
    <w:rsid w:val="00F3361E"/>
    <w:rsid w:val="00F352F8"/>
    <w:rsid w:val="00F353F1"/>
    <w:rsid w:val="00F358F7"/>
    <w:rsid w:val="00F36010"/>
    <w:rsid w:val="00F365AA"/>
    <w:rsid w:val="00F36643"/>
    <w:rsid w:val="00F37149"/>
    <w:rsid w:val="00F371D3"/>
    <w:rsid w:val="00F371D5"/>
    <w:rsid w:val="00F3763D"/>
    <w:rsid w:val="00F412F0"/>
    <w:rsid w:val="00F44536"/>
    <w:rsid w:val="00F452BA"/>
    <w:rsid w:val="00F45679"/>
    <w:rsid w:val="00F4584C"/>
    <w:rsid w:val="00F45CCE"/>
    <w:rsid w:val="00F45F20"/>
    <w:rsid w:val="00F46886"/>
    <w:rsid w:val="00F468CD"/>
    <w:rsid w:val="00F46F91"/>
    <w:rsid w:val="00F46FC4"/>
    <w:rsid w:val="00F478C8"/>
    <w:rsid w:val="00F503EC"/>
    <w:rsid w:val="00F50CE5"/>
    <w:rsid w:val="00F5207D"/>
    <w:rsid w:val="00F52F39"/>
    <w:rsid w:val="00F53C96"/>
    <w:rsid w:val="00F544E1"/>
    <w:rsid w:val="00F546D7"/>
    <w:rsid w:val="00F5474E"/>
    <w:rsid w:val="00F54B63"/>
    <w:rsid w:val="00F5544A"/>
    <w:rsid w:val="00F554B2"/>
    <w:rsid w:val="00F56622"/>
    <w:rsid w:val="00F56843"/>
    <w:rsid w:val="00F569F4"/>
    <w:rsid w:val="00F56BA5"/>
    <w:rsid w:val="00F56E29"/>
    <w:rsid w:val="00F570E1"/>
    <w:rsid w:val="00F572E5"/>
    <w:rsid w:val="00F57681"/>
    <w:rsid w:val="00F576EF"/>
    <w:rsid w:val="00F6041E"/>
    <w:rsid w:val="00F60C5F"/>
    <w:rsid w:val="00F61C3D"/>
    <w:rsid w:val="00F62026"/>
    <w:rsid w:val="00F624F8"/>
    <w:rsid w:val="00F6307F"/>
    <w:rsid w:val="00F63900"/>
    <w:rsid w:val="00F6427F"/>
    <w:rsid w:val="00F646B4"/>
    <w:rsid w:val="00F653DE"/>
    <w:rsid w:val="00F65CF7"/>
    <w:rsid w:val="00F66966"/>
    <w:rsid w:val="00F66C9B"/>
    <w:rsid w:val="00F703B1"/>
    <w:rsid w:val="00F7062E"/>
    <w:rsid w:val="00F70A1D"/>
    <w:rsid w:val="00F70E6D"/>
    <w:rsid w:val="00F70F7A"/>
    <w:rsid w:val="00F71635"/>
    <w:rsid w:val="00F7253E"/>
    <w:rsid w:val="00F726DA"/>
    <w:rsid w:val="00F74378"/>
    <w:rsid w:val="00F753E5"/>
    <w:rsid w:val="00F75DFB"/>
    <w:rsid w:val="00F75EDE"/>
    <w:rsid w:val="00F8009D"/>
    <w:rsid w:val="00F80624"/>
    <w:rsid w:val="00F806BE"/>
    <w:rsid w:val="00F80A3A"/>
    <w:rsid w:val="00F81182"/>
    <w:rsid w:val="00F81B54"/>
    <w:rsid w:val="00F8285F"/>
    <w:rsid w:val="00F82CB7"/>
    <w:rsid w:val="00F83516"/>
    <w:rsid w:val="00F8372B"/>
    <w:rsid w:val="00F837C6"/>
    <w:rsid w:val="00F83EB6"/>
    <w:rsid w:val="00F84528"/>
    <w:rsid w:val="00F847A4"/>
    <w:rsid w:val="00F84EFF"/>
    <w:rsid w:val="00F853A6"/>
    <w:rsid w:val="00F866EA"/>
    <w:rsid w:val="00F8721D"/>
    <w:rsid w:val="00F87EFD"/>
    <w:rsid w:val="00F900A1"/>
    <w:rsid w:val="00F904BE"/>
    <w:rsid w:val="00F91BAB"/>
    <w:rsid w:val="00F91FB5"/>
    <w:rsid w:val="00F933CD"/>
    <w:rsid w:val="00F9340C"/>
    <w:rsid w:val="00F93BFE"/>
    <w:rsid w:val="00F93CCA"/>
    <w:rsid w:val="00F9637A"/>
    <w:rsid w:val="00F964AA"/>
    <w:rsid w:val="00F965AA"/>
    <w:rsid w:val="00F967B2"/>
    <w:rsid w:val="00F96861"/>
    <w:rsid w:val="00F96B33"/>
    <w:rsid w:val="00F97976"/>
    <w:rsid w:val="00F97D79"/>
    <w:rsid w:val="00F97D7B"/>
    <w:rsid w:val="00FA1D80"/>
    <w:rsid w:val="00FA24CE"/>
    <w:rsid w:val="00FA29D1"/>
    <w:rsid w:val="00FA2E21"/>
    <w:rsid w:val="00FA3246"/>
    <w:rsid w:val="00FA34C9"/>
    <w:rsid w:val="00FA3515"/>
    <w:rsid w:val="00FA391C"/>
    <w:rsid w:val="00FA5C27"/>
    <w:rsid w:val="00FA6039"/>
    <w:rsid w:val="00FA6111"/>
    <w:rsid w:val="00FA741A"/>
    <w:rsid w:val="00FA7481"/>
    <w:rsid w:val="00FB0097"/>
    <w:rsid w:val="00FB1ABF"/>
    <w:rsid w:val="00FB2C9A"/>
    <w:rsid w:val="00FB2D48"/>
    <w:rsid w:val="00FB4F67"/>
    <w:rsid w:val="00FB5275"/>
    <w:rsid w:val="00FB5437"/>
    <w:rsid w:val="00FB551D"/>
    <w:rsid w:val="00FC051D"/>
    <w:rsid w:val="00FC0AF0"/>
    <w:rsid w:val="00FC17B4"/>
    <w:rsid w:val="00FC1883"/>
    <w:rsid w:val="00FC1927"/>
    <w:rsid w:val="00FC1EAA"/>
    <w:rsid w:val="00FC2AF6"/>
    <w:rsid w:val="00FC3502"/>
    <w:rsid w:val="00FC36EA"/>
    <w:rsid w:val="00FC41FD"/>
    <w:rsid w:val="00FC464F"/>
    <w:rsid w:val="00FC49E0"/>
    <w:rsid w:val="00FC4B58"/>
    <w:rsid w:val="00FC5666"/>
    <w:rsid w:val="00FC5AB6"/>
    <w:rsid w:val="00FC5B68"/>
    <w:rsid w:val="00FC5C1B"/>
    <w:rsid w:val="00FC67D7"/>
    <w:rsid w:val="00FC6D36"/>
    <w:rsid w:val="00FC6E2C"/>
    <w:rsid w:val="00FC7A4D"/>
    <w:rsid w:val="00FD0204"/>
    <w:rsid w:val="00FD1C4C"/>
    <w:rsid w:val="00FD2345"/>
    <w:rsid w:val="00FD261B"/>
    <w:rsid w:val="00FD27E3"/>
    <w:rsid w:val="00FD2994"/>
    <w:rsid w:val="00FD36F0"/>
    <w:rsid w:val="00FD3711"/>
    <w:rsid w:val="00FD3FB1"/>
    <w:rsid w:val="00FD497B"/>
    <w:rsid w:val="00FD4D5D"/>
    <w:rsid w:val="00FD5D75"/>
    <w:rsid w:val="00FD610B"/>
    <w:rsid w:val="00FD61CA"/>
    <w:rsid w:val="00FD6698"/>
    <w:rsid w:val="00FD6760"/>
    <w:rsid w:val="00FD73F6"/>
    <w:rsid w:val="00FD7412"/>
    <w:rsid w:val="00FE0061"/>
    <w:rsid w:val="00FE06FD"/>
    <w:rsid w:val="00FE113F"/>
    <w:rsid w:val="00FE1454"/>
    <w:rsid w:val="00FE20C3"/>
    <w:rsid w:val="00FE2D6F"/>
    <w:rsid w:val="00FE374A"/>
    <w:rsid w:val="00FE3C7D"/>
    <w:rsid w:val="00FE5F1A"/>
    <w:rsid w:val="00FE68DD"/>
    <w:rsid w:val="00FE7179"/>
    <w:rsid w:val="00FE7BD7"/>
    <w:rsid w:val="00FE7F1F"/>
    <w:rsid w:val="00FE7FD5"/>
    <w:rsid w:val="00FF0C77"/>
    <w:rsid w:val="00FF0ECC"/>
    <w:rsid w:val="00FF0F8E"/>
    <w:rsid w:val="00FF10F2"/>
    <w:rsid w:val="00FF12C6"/>
    <w:rsid w:val="00FF141D"/>
    <w:rsid w:val="00FF1870"/>
    <w:rsid w:val="00FF1DA7"/>
    <w:rsid w:val="00FF1DE4"/>
    <w:rsid w:val="00FF3624"/>
    <w:rsid w:val="00FF4731"/>
    <w:rsid w:val="00FF4CAE"/>
    <w:rsid w:val="00FF56E8"/>
    <w:rsid w:val="00FF647F"/>
    <w:rsid w:val="00FF7031"/>
    <w:rsid w:val="010D76AC"/>
    <w:rsid w:val="01241D8D"/>
    <w:rsid w:val="015E7B81"/>
    <w:rsid w:val="01637DD4"/>
    <w:rsid w:val="016E5425"/>
    <w:rsid w:val="01824922"/>
    <w:rsid w:val="018618FC"/>
    <w:rsid w:val="0195445B"/>
    <w:rsid w:val="019D6715"/>
    <w:rsid w:val="01A12BA9"/>
    <w:rsid w:val="01E0138F"/>
    <w:rsid w:val="01E33AEE"/>
    <w:rsid w:val="02020E1A"/>
    <w:rsid w:val="020C41B8"/>
    <w:rsid w:val="02212538"/>
    <w:rsid w:val="02307712"/>
    <w:rsid w:val="023E3287"/>
    <w:rsid w:val="02405470"/>
    <w:rsid w:val="024120DF"/>
    <w:rsid w:val="0275139D"/>
    <w:rsid w:val="02804A2F"/>
    <w:rsid w:val="02847935"/>
    <w:rsid w:val="02921796"/>
    <w:rsid w:val="029B2041"/>
    <w:rsid w:val="02D12CB3"/>
    <w:rsid w:val="02F70726"/>
    <w:rsid w:val="03132ED6"/>
    <w:rsid w:val="032906DD"/>
    <w:rsid w:val="03391643"/>
    <w:rsid w:val="033C0ABF"/>
    <w:rsid w:val="034C0A5E"/>
    <w:rsid w:val="03545796"/>
    <w:rsid w:val="035D713C"/>
    <w:rsid w:val="03611528"/>
    <w:rsid w:val="036C1B81"/>
    <w:rsid w:val="03BD70E6"/>
    <w:rsid w:val="03D245FB"/>
    <w:rsid w:val="03EE7C9E"/>
    <w:rsid w:val="040215A2"/>
    <w:rsid w:val="040E5147"/>
    <w:rsid w:val="043C5753"/>
    <w:rsid w:val="044B7C1C"/>
    <w:rsid w:val="04561CDB"/>
    <w:rsid w:val="045645C1"/>
    <w:rsid w:val="046D5BA3"/>
    <w:rsid w:val="047A1008"/>
    <w:rsid w:val="048563A1"/>
    <w:rsid w:val="04876B7B"/>
    <w:rsid w:val="049F114C"/>
    <w:rsid w:val="04A73E57"/>
    <w:rsid w:val="04DA7FBA"/>
    <w:rsid w:val="04E219B2"/>
    <w:rsid w:val="04F15FFC"/>
    <w:rsid w:val="05022329"/>
    <w:rsid w:val="050355F7"/>
    <w:rsid w:val="0506575C"/>
    <w:rsid w:val="05140A0D"/>
    <w:rsid w:val="054674DA"/>
    <w:rsid w:val="05590090"/>
    <w:rsid w:val="056B0785"/>
    <w:rsid w:val="057406F6"/>
    <w:rsid w:val="05992F96"/>
    <w:rsid w:val="05BA3A23"/>
    <w:rsid w:val="05C678F8"/>
    <w:rsid w:val="05CC6593"/>
    <w:rsid w:val="05DA60E7"/>
    <w:rsid w:val="05DC60ED"/>
    <w:rsid w:val="05E803C2"/>
    <w:rsid w:val="05FD0BB6"/>
    <w:rsid w:val="06221BA0"/>
    <w:rsid w:val="06236ABC"/>
    <w:rsid w:val="06456ED1"/>
    <w:rsid w:val="06570E29"/>
    <w:rsid w:val="06610261"/>
    <w:rsid w:val="06723F3E"/>
    <w:rsid w:val="06926BE6"/>
    <w:rsid w:val="06956471"/>
    <w:rsid w:val="06975601"/>
    <w:rsid w:val="06A10869"/>
    <w:rsid w:val="06A415E3"/>
    <w:rsid w:val="06BB1769"/>
    <w:rsid w:val="06CE5729"/>
    <w:rsid w:val="06D90FD9"/>
    <w:rsid w:val="06DB2ABE"/>
    <w:rsid w:val="06DF15C6"/>
    <w:rsid w:val="06E054BB"/>
    <w:rsid w:val="06E06019"/>
    <w:rsid w:val="06E22459"/>
    <w:rsid w:val="06E541DB"/>
    <w:rsid w:val="06EF7E4F"/>
    <w:rsid w:val="06F46397"/>
    <w:rsid w:val="06FA7708"/>
    <w:rsid w:val="06FD5246"/>
    <w:rsid w:val="07001B76"/>
    <w:rsid w:val="0706542D"/>
    <w:rsid w:val="072506FE"/>
    <w:rsid w:val="073E4C46"/>
    <w:rsid w:val="077F6AFD"/>
    <w:rsid w:val="079C44CF"/>
    <w:rsid w:val="07A14DF8"/>
    <w:rsid w:val="07AF3DEE"/>
    <w:rsid w:val="07B109C8"/>
    <w:rsid w:val="07B76A75"/>
    <w:rsid w:val="07E5366C"/>
    <w:rsid w:val="07E871C5"/>
    <w:rsid w:val="080C1BFB"/>
    <w:rsid w:val="08170EFA"/>
    <w:rsid w:val="08235F77"/>
    <w:rsid w:val="084876FD"/>
    <w:rsid w:val="08565868"/>
    <w:rsid w:val="08590E0B"/>
    <w:rsid w:val="08672455"/>
    <w:rsid w:val="088543D4"/>
    <w:rsid w:val="08A6216A"/>
    <w:rsid w:val="08AC33F5"/>
    <w:rsid w:val="08AF5C0A"/>
    <w:rsid w:val="08B2230E"/>
    <w:rsid w:val="08B76600"/>
    <w:rsid w:val="08BF6AC0"/>
    <w:rsid w:val="08C22596"/>
    <w:rsid w:val="08CB4DF6"/>
    <w:rsid w:val="08D40333"/>
    <w:rsid w:val="08D52C39"/>
    <w:rsid w:val="08E241EA"/>
    <w:rsid w:val="08E40E6C"/>
    <w:rsid w:val="08F72F10"/>
    <w:rsid w:val="08F91BA1"/>
    <w:rsid w:val="09003760"/>
    <w:rsid w:val="09091EE6"/>
    <w:rsid w:val="090C2F53"/>
    <w:rsid w:val="09111CDA"/>
    <w:rsid w:val="09191C70"/>
    <w:rsid w:val="091B4DC3"/>
    <w:rsid w:val="09266F3A"/>
    <w:rsid w:val="092F3723"/>
    <w:rsid w:val="09525449"/>
    <w:rsid w:val="09675EDB"/>
    <w:rsid w:val="0974088C"/>
    <w:rsid w:val="097B0D57"/>
    <w:rsid w:val="09C95F4E"/>
    <w:rsid w:val="09D854D2"/>
    <w:rsid w:val="09ED28A1"/>
    <w:rsid w:val="09EE7E68"/>
    <w:rsid w:val="09F20049"/>
    <w:rsid w:val="0A1270E8"/>
    <w:rsid w:val="0A2643DE"/>
    <w:rsid w:val="0A2A24D0"/>
    <w:rsid w:val="0A3142D2"/>
    <w:rsid w:val="0A565062"/>
    <w:rsid w:val="0A686D5F"/>
    <w:rsid w:val="0A6D5B14"/>
    <w:rsid w:val="0A79355A"/>
    <w:rsid w:val="0A7C7817"/>
    <w:rsid w:val="0A7E43B3"/>
    <w:rsid w:val="0AA70168"/>
    <w:rsid w:val="0AE230A7"/>
    <w:rsid w:val="0AF06B55"/>
    <w:rsid w:val="0AF671B5"/>
    <w:rsid w:val="0B091227"/>
    <w:rsid w:val="0B0F2506"/>
    <w:rsid w:val="0B1C4E27"/>
    <w:rsid w:val="0B2834E7"/>
    <w:rsid w:val="0B2D4D44"/>
    <w:rsid w:val="0B585180"/>
    <w:rsid w:val="0B65117F"/>
    <w:rsid w:val="0B971B3A"/>
    <w:rsid w:val="0B9D20E3"/>
    <w:rsid w:val="0BA454EB"/>
    <w:rsid w:val="0BB35128"/>
    <w:rsid w:val="0BB465A4"/>
    <w:rsid w:val="0BBBB1D9"/>
    <w:rsid w:val="0BC9699D"/>
    <w:rsid w:val="0BD225FB"/>
    <w:rsid w:val="0BE4754E"/>
    <w:rsid w:val="0BEF588F"/>
    <w:rsid w:val="0BF10586"/>
    <w:rsid w:val="0C330BF9"/>
    <w:rsid w:val="0C3C3F72"/>
    <w:rsid w:val="0C3F56A6"/>
    <w:rsid w:val="0C4978A4"/>
    <w:rsid w:val="0C6258F4"/>
    <w:rsid w:val="0C6A4C2F"/>
    <w:rsid w:val="0C83569F"/>
    <w:rsid w:val="0C8B239D"/>
    <w:rsid w:val="0C915251"/>
    <w:rsid w:val="0CC6043F"/>
    <w:rsid w:val="0CD870F9"/>
    <w:rsid w:val="0CD958EB"/>
    <w:rsid w:val="0CE40619"/>
    <w:rsid w:val="0D131C82"/>
    <w:rsid w:val="0D1C2B31"/>
    <w:rsid w:val="0D1C769C"/>
    <w:rsid w:val="0D1F22EE"/>
    <w:rsid w:val="0D322414"/>
    <w:rsid w:val="0D382BEB"/>
    <w:rsid w:val="0D3959FC"/>
    <w:rsid w:val="0D430B72"/>
    <w:rsid w:val="0D4D112D"/>
    <w:rsid w:val="0D6E17F6"/>
    <w:rsid w:val="0D71137E"/>
    <w:rsid w:val="0D747118"/>
    <w:rsid w:val="0D79554C"/>
    <w:rsid w:val="0D863183"/>
    <w:rsid w:val="0D886340"/>
    <w:rsid w:val="0D8C3FCA"/>
    <w:rsid w:val="0DB17B0C"/>
    <w:rsid w:val="0DB506E0"/>
    <w:rsid w:val="0DBA6268"/>
    <w:rsid w:val="0DC23362"/>
    <w:rsid w:val="0DC727E9"/>
    <w:rsid w:val="0DF5538A"/>
    <w:rsid w:val="0E3500A7"/>
    <w:rsid w:val="0E583E3D"/>
    <w:rsid w:val="0E5A0E23"/>
    <w:rsid w:val="0E5A1D61"/>
    <w:rsid w:val="0E7343A4"/>
    <w:rsid w:val="0E7C3E8E"/>
    <w:rsid w:val="0E856259"/>
    <w:rsid w:val="0E867BE7"/>
    <w:rsid w:val="0E9D7B6D"/>
    <w:rsid w:val="0EAA5DA0"/>
    <w:rsid w:val="0EB73832"/>
    <w:rsid w:val="0ED85EB3"/>
    <w:rsid w:val="0EE37B2F"/>
    <w:rsid w:val="0EE503EE"/>
    <w:rsid w:val="0F1E32E4"/>
    <w:rsid w:val="0F2601C7"/>
    <w:rsid w:val="0F2E5E60"/>
    <w:rsid w:val="0F2E6EE3"/>
    <w:rsid w:val="0F3F4FAE"/>
    <w:rsid w:val="0F454173"/>
    <w:rsid w:val="0F467C6C"/>
    <w:rsid w:val="0F5D65C3"/>
    <w:rsid w:val="0F696BAE"/>
    <w:rsid w:val="0F6C6D6E"/>
    <w:rsid w:val="0F714958"/>
    <w:rsid w:val="0F8539FB"/>
    <w:rsid w:val="0FA462ED"/>
    <w:rsid w:val="0FC1299C"/>
    <w:rsid w:val="0FD15B88"/>
    <w:rsid w:val="0FD93A55"/>
    <w:rsid w:val="0FE17C31"/>
    <w:rsid w:val="0FEC01A8"/>
    <w:rsid w:val="100B1956"/>
    <w:rsid w:val="10171853"/>
    <w:rsid w:val="102B5C69"/>
    <w:rsid w:val="102E38DE"/>
    <w:rsid w:val="10390FE2"/>
    <w:rsid w:val="10666EB8"/>
    <w:rsid w:val="106A22EC"/>
    <w:rsid w:val="1072406B"/>
    <w:rsid w:val="107E5B34"/>
    <w:rsid w:val="109A0255"/>
    <w:rsid w:val="109F38F1"/>
    <w:rsid w:val="10A03D97"/>
    <w:rsid w:val="10A439C8"/>
    <w:rsid w:val="10EC392E"/>
    <w:rsid w:val="10F24DA2"/>
    <w:rsid w:val="10F72BE2"/>
    <w:rsid w:val="112F0CAC"/>
    <w:rsid w:val="113F0A2C"/>
    <w:rsid w:val="114A28D5"/>
    <w:rsid w:val="115F7335"/>
    <w:rsid w:val="116F6C17"/>
    <w:rsid w:val="117A2552"/>
    <w:rsid w:val="11892FB0"/>
    <w:rsid w:val="1194124F"/>
    <w:rsid w:val="11A06844"/>
    <w:rsid w:val="11B76098"/>
    <w:rsid w:val="11B82A2F"/>
    <w:rsid w:val="11BD72F2"/>
    <w:rsid w:val="11BF1E8F"/>
    <w:rsid w:val="11C22416"/>
    <w:rsid w:val="11F30633"/>
    <w:rsid w:val="11F40CB7"/>
    <w:rsid w:val="12082DB4"/>
    <w:rsid w:val="120A35F8"/>
    <w:rsid w:val="12127277"/>
    <w:rsid w:val="123478DB"/>
    <w:rsid w:val="12484894"/>
    <w:rsid w:val="12493A6F"/>
    <w:rsid w:val="12647566"/>
    <w:rsid w:val="12667D01"/>
    <w:rsid w:val="12720833"/>
    <w:rsid w:val="1275518B"/>
    <w:rsid w:val="129F1E2E"/>
    <w:rsid w:val="12AD185E"/>
    <w:rsid w:val="12B51015"/>
    <w:rsid w:val="12C127D5"/>
    <w:rsid w:val="12EF3DDE"/>
    <w:rsid w:val="13000625"/>
    <w:rsid w:val="13034AF6"/>
    <w:rsid w:val="13067D03"/>
    <w:rsid w:val="13084123"/>
    <w:rsid w:val="130F7913"/>
    <w:rsid w:val="13166F71"/>
    <w:rsid w:val="13245F52"/>
    <w:rsid w:val="132B6CB1"/>
    <w:rsid w:val="132E520E"/>
    <w:rsid w:val="13332358"/>
    <w:rsid w:val="133B32F4"/>
    <w:rsid w:val="133B6BC1"/>
    <w:rsid w:val="13570BEF"/>
    <w:rsid w:val="138150D2"/>
    <w:rsid w:val="13870AAB"/>
    <w:rsid w:val="138A09DF"/>
    <w:rsid w:val="139601A6"/>
    <w:rsid w:val="13A06A19"/>
    <w:rsid w:val="13BA19B5"/>
    <w:rsid w:val="13BD5CC9"/>
    <w:rsid w:val="13DA12AE"/>
    <w:rsid w:val="142A767F"/>
    <w:rsid w:val="142B1148"/>
    <w:rsid w:val="14393E8B"/>
    <w:rsid w:val="1477238B"/>
    <w:rsid w:val="14960DCA"/>
    <w:rsid w:val="14DC7780"/>
    <w:rsid w:val="14E43960"/>
    <w:rsid w:val="14F53D49"/>
    <w:rsid w:val="14F970F2"/>
    <w:rsid w:val="1501404A"/>
    <w:rsid w:val="150739CD"/>
    <w:rsid w:val="151B5B30"/>
    <w:rsid w:val="152031FD"/>
    <w:rsid w:val="154147B5"/>
    <w:rsid w:val="1551616F"/>
    <w:rsid w:val="15683B18"/>
    <w:rsid w:val="1578024C"/>
    <w:rsid w:val="159F27B6"/>
    <w:rsid w:val="15A40F18"/>
    <w:rsid w:val="15AD3422"/>
    <w:rsid w:val="15B93762"/>
    <w:rsid w:val="15BD02B3"/>
    <w:rsid w:val="15BD3C9C"/>
    <w:rsid w:val="15D82142"/>
    <w:rsid w:val="15ED3A7D"/>
    <w:rsid w:val="15FB0537"/>
    <w:rsid w:val="15FF579A"/>
    <w:rsid w:val="160806B1"/>
    <w:rsid w:val="16106A4D"/>
    <w:rsid w:val="164355B1"/>
    <w:rsid w:val="16651685"/>
    <w:rsid w:val="16675F1B"/>
    <w:rsid w:val="166C4C60"/>
    <w:rsid w:val="169F5175"/>
    <w:rsid w:val="16BC33D3"/>
    <w:rsid w:val="16BE30A0"/>
    <w:rsid w:val="16C742A6"/>
    <w:rsid w:val="16D57755"/>
    <w:rsid w:val="16E8338F"/>
    <w:rsid w:val="16F47A66"/>
    <w:rsid w:val="17057FE0"/>
    <w:rsid w:val="170E06C1"/>
    <w:rsid w:val="172A1A73"/>
    <w:rsid w:val="172E2016"/>
    <w:rsid w:val="17321CD7"/>
    <w:rsid w:val="17324119"/>
    <w:rsid w:val="173C240E"/>
    <w:rsid w:val="17472963"/>
    <w:rsid w:val="17561FD3"/>
    <w:rsid w:val="175D55DD"/>
    <w:rsid w:val="1771556D"/>
    <w:rsid w:val="178720DE"/>
    <w:rsid w:val="179D12F9"/>
    <w:rsid w:val="17A10ACD"/>
    <w:rsid w:val="17B0498E"/>
    <w:rsid w:val="17BB58B8"/>
    <w:rsid w:val="17C91E52"/>
    <w:rsid w:val="17E061A1"/>
    <w:rsid w:val="17E12DAC"/>
    <w:rsid w:val="17EC5678"/>
    <w:rsid w:val="17F62EC8"/>
    <w:rsid w:val="17FD2349"/>
    <w:rsid w:val="18125CC4"/>
    <w:rsid w:val="18167ADA"/>
    <w:rsid w:val="184A7313"/>
    <w:rsid w:val="1866181E"/>
    <w:rsid w:val="188937A7"/>
    <w:rsid w:val="189A45F8"/>
    <w:rsid w:val="18A11F5E"/>
    <w:rsid w:val="18A759B3"/>
    <w:rsid w:val="18BE3EA7"/>
    <w:rsid w:val="18C446CD"/>
    <w:rsid w:val="18C722BF"/>
    <w:rsid w:val="18E33ACC"/>
    <w:rsid w:val="18F07B0E"/>
    <w:rsid w:val="19030595"/>
    <w:rsid w:val="19275061"/>
    <w:rsid w:val="193A2730"/>
    <w:rsid w:val="193A37F9"/>
    <w:rsid w:val="194816AB"/>
    <w:rsid w:val="19496893"/>
    <w:rsid w:val="19594D7D"/>
    <w:rsid w:val="197320FA"/>
    <w:rsid w:val="19844A11"/>
    <w:rsid w:val="198C4918"/>
    <w:rsid w:val="19A4218D"/>
    <w:rsid w:val="19A578A5"/>
    <w:rsid w:val="19A8082F"/>
    <w:rsid w:val="19C25486"/>
    <w:rsid w:val="19CE0481"/>
    <w:rsid w:val="19EE7DA5"/>
    <w:rsid w:val="19F67FDF"/>
    <w:rsid w:val="1A107E4E"/>
    <w:rsid w:val="1A2562EB"/>
    <w:rsid w:val="1A2D3B86"/>
    <w:rsid w:val="1A4B08BB"/>
    <w:rsid w:val="1A5A1DD1"/>
    <w:rsid w:val="1A623310"/>
    <w:rsid w:val="1A624CC0"/>
    <w:rsid w:val="1A6C0DD7"/>
    <w:rsid w:val="1A82316D"/>
    <w:rsid w:val="1A8579D8"/>
    <w:rsid w:val="1A966498"/>
    <w:rsid w:val="1AC55DB3"/>
    <w:rsid w:val="1AD15CB4"/>
    <w:rsid w:val="1ADD28CD"/>
    <w:rsid w:val="1AE109B7"/>
    <w:rsid w:val="1AE44690"/>
    <w:rsid w:val="1AED6079"/>
    <w:rsid w:val="1B006D32"/>
    <w:rsid w:val="1B117B13"/>
    <w:rsid w:val="1B39438E"/>
    <w:rsid w:val="1B581EA6"/>
    <w:rsid w:val="1B5E0070"/>
    <w:rsid w:val="1B803AF1"/>
    <w:rsid w:val="1B826E97"/>
    <w:rsid w:val="1BC6614E"/>
    <w:rsid w:val="1BCF5D3F"/>
    <w:rsid w:val="1BD3172D"/>
    <w:rsid w:val="1BE30D69"/>
    <w:rsid w:val="1BEB22CC"/>
    <w:rsid w:val="1BEC3EF1"/>
    <w:rsid w:val="1BEC52DC"/>
    <w:rsid w:val="1BF43710"/>
    <w:rsid w:val="1BF67CA1"/>
    <w:rsid w:val="1C306012"/>
    <w:rsid w:val="1C410B01"/>
    <w:rsid w:val="1C4C16F5"/>
    <w:rsid w:val="1C62435F"/>
    <w:rsid w:val="1C76657B"/>
    <w:rsid w:val="1CBA1C92"/>
    <w:rsid w:val="1CCF4989"/>
    <w:rsid w:val="1CD377A4"/>
    <w:rsid w:val="1CEB2607"/>
    <w:rsid w:val="1CFA5B36"/>
    <w:rsid w:val="1CFE781D"/>
    <w:rsid w:val="1D25789C"/>
    <w:rsid w:val="1D3B342E"/>
    <w:rsid w:val="1D4A28A4"/>
    <w:rsid w:val="1D4C6195"/>
    <w:rsid w:val="1D531AB1"/>
    <w:rsid w:val="1D554B9E"/>
    <w:rsid w:val="1D75496F"/>
    <w:rsid w:val="1D77091A"/>
    <w:rsid w:val="1D8224A4"/>
    <w:rsid w:val="1D903B9F"/>
    <w:rsid w:val="1DCB4D08"/>
    <w:rsid w:val="1DD846DC"/>
    <w:rsid w:val="1E0F1FEB"/>
    <w:rsid w:val="1E104704"/>
    <w:rsid w:val="1E1C2D27"/>
    <w:rsid w:val="1E236A43"/>
    <w:rsid w:val="1E260A50"/>
    <w:rsid w:val="1E363D64"/>
    <w:rsid w:val="1E50206A"/>
    <w:rsid w:val="1E5F0B4D"/>
    <w:rsid w:val="1E801089"/>
    <w:rsid w:val="1E8D6DEA"/>
    <w:rsid w:val="1E9B580D"/>
    <w:rsid w:val="1EA01EFC"/>
    <w:rsid w:val="1EC71774"/>
    <w:rsid w:val="1ED23434"/>
    <w:rsid w:val="1EED2837"/>
    <w:rsid w:val="1EF071E0"/>
    <w:rsid w:val="1EFE6505"/>
    <w:rsid w:val="1F045118"/>
    <w:rsid w:val="1F0B3791"/>
    <w:rsid w:val="1F136BD6"/>
    <w:rsid w:val="1F217149"/>
    <w:rsid w:val="1F2916EC"/>
    <w:rsid w:val="1F46666A"/>
    <w:rsid w:val="1F50668F"/>
    <w:rsid w:val="1F547052"/>
    <w:rsid w:val="1F595ABB"/>
    <w:rsid w:val="1F6A74AF"/>
    <w:rsid w:val="1F792A6C"/>
    <w:rsid w:val="1F7A7A81"/>
    <w:rsid w:val="1F875087"/>
    <w:rsid w:val="1FA12A9A"/>
    <w:rsid w:val="1FA94113"/>
    <w:rsid w:val="1FB51E2A"/>
    <w:rsid w:val="1FC84C81"/>
    <w:rsid w:val="1FC959CB"/>
    <w:rsid w:val="1FD10487"/>
    <w:rsid w:val="1FD46C14"/>
    <w:rsid w:val="1FDC28A9"/>
    <w:rsid w:val="1FDD181D"/>
    <w:rsid w:val="1FEB7FE2"/>
    <w:rsid w:val="1FF3394E"/>
    <w:rsid w:val="1FFD3A69"/>
    <w:rsid w:val="200A47B5"/>
    <w:rsid w:val="20101B32"/>
    <w:rsid w:val="2020494E"/>
    <w:rsid w:val="20295B77"/>
    <w:rsid w:val="202B142C"/>
    <w:rsid w:val="204773C0"/>
    <w:rsid w:val="20572835"/>
    <w:rsid w:val="20686EF4"/>
    <w:rsid w:val="2081277D"/>
    <w:rsid w:val="2082670C"/>
    <w:rsid w:val="209102D2"/>
    <w:rsid w:val="209E5CD1"/>
    <w:rsid w:val="20A43592"/>
    <w:rsid w:val="20A52692"/>
    <w:rsid w:val="20AA569F"/>
    <w:rsid w:val="20D876F4"/>
    <w:rsid w:val="20E81C7A"/>
    <w:rsid w:val="20FD2A9B"/>
    <w:rsid w:val="21344665"/>
    <w:rsid w:val="213A6EF1"/>
    <w:rsid w:val="213D2267"/>
    <w:rsid w:val="21496C71"/>
    <w:rsid w:val="214B449C"/>
    <w:rsid w:val="214D29D4"/>
    <w:rsid w:val="216229A2"/>
    <w:rsid w:val="21672E55"/>
    <w:rsid w:val="21790C7B"/>
    <w:rsid w:val="21930A67"/>
    <w:rsid w:val="21AB15AD"/>
    <w:rsid w:val="21C7485C"/>
    <w:rsid w:val="21D71D3F"/>
    <w:rsid w:val="21DA4AF8"/>
    <w:rsid w:val="21E356E7"/>
    <w:rsid w:val="22204CAB"/>
    <w:rsid w:val="222131C8"/>
    <w:rsid w:val="222378D9"/>
    <w:rsid w:val="222538E2"/>
    <w:rsid w:val="222B56C9"/>
    <w:rsid w:val="22306709"/>
    <w:rsid w:val="22444A79"/>
    <w:rsid w:val="22734267"/>
    <w:rsid w:val="22742C72"/>
    <w:rsid w:val="228319E4"/>
    <w:rsid w:val="22AE153D"/>
    <w:rsid w:val="22DB6A73"/>
    <w:rsid w:val="22EA3929"/>
    <w:rsid w:val="22EE446C"/>
    <w:rsid w:val="23515036"/>
    <w:rsid w:val="23584FBE"/>
    <w:rsid w:val="235C01A3"/>
    <w:rsid w:val="236357EE"/>
    <w:rsid w:val="236D4D1F"/>
    <w:rsid w:val="238C0715"/>
    <w:rsid w:val="2394580C"/>
    <w:rsid w:val="239F1704"/>
    <w:rsid w:val="23B408B4"/>
    <w:rsid w:val="23B8035C"/>
    <w:rsid w:val="23BA3379"/>
    <w:rsid w:val="23D80FC7"/>
    <w:rsid w:val="23D962C6"/>
    <w:rsid w:val="24251166"/>
    <w:rsid w:val="243C1B2E"/>
    <w:rsid w:val="243D44BD"/>
    <w:rsid w:val="246E190D"/>
    <w:rsid w:val="246F55E2"/>
    <w:rsid w:val="247775B2"/>
    <w:rsid w:val="24785D5D"/>
    <w:rsid w:val="247B7A90"/>
    <w:rsid w:val="249054EF"/>
    <w:rsid w:val="24C10C21"/>
    <w:rsid w:val="24CA696E"/>
    <w:rsid w:val="24D97518"/>
    <w:rsid w:val="24F602A7"/>
    <w:rsid w:val="2501103C"/>
    <w:rsid w:val="25425D04"/>
    <w:rsid w:val="25576677"/>
    <w:rsid w:val="255A5882"/>
    <w:rsid w:val="255D7267"/>
    <w:rsid w:val="25731BE9"/>
    <w:rsid w:val="25945135"/>
    <w:rsid w:val="25A73002"/>
    <w:rsid w:val="25AB4B0B"/>
    <w:rsid w:val="25C83200"/>
    <w:rsid w:val="25DB57EF"/>
    <w:rsid w:val="25E05417"/>
    <w:rsid w:val="25EF43FB"/>
    <w:rsid w:val="25F92F9F"/>
    <w:rsid w:val="261145CD"/>
    <w:rsid w:val="261D2C7E"/>
    <w:rsid w:val="262D2E0B"/>
    <w:rsid w:val="263471B5"/>
    <w:rsid w:val="263E0479"/>
    <w:rsid w:val="2649062D"/>
    <w:rsid w:val="2664572D"/>
    <w:rsid w:val="267923D7"/>
    <w:rsid w:val="268221AB"/>
    <w:rsid w:val="26865330"/>
    <w:rsid w:val="26927901"/>
    <w:rsid w:val="26A24405"/>
    <w:rsid w:val="26A63306"/>
    <w:rsid w:val="26C75D32"/>
    <w:rsid w:val="26DD01C5"/>
    <w:rsid w:val="26DF116E"/>
    <w:rsid w:val="26E37072"/>
    <w:rsid w:val="26E4065B"/>
    <w:rsid w:val="26F96A77"/>
    <w:rsid w:val="27005EAC"/>
    <w:rsid w:val="27023FE6"/>
    <w:rsid w:val="27104764"/>
    <w:rsid w:val="27137DB1"/>
    <w:rsid w:val="272A08E8"/>
    <w:rsid w:val="27377C59"/>
    <w:rsid w:val="275178A3"/>
    <w:rsid w:val="27570F3C"/>
    <w:rsid w:val="276F3419"/>
    <w:rsid w:val="277015EE"/>
    <w:rsid w:val="27871667"/>
    <w:rsid w:val="27954AE3"/>
    <w:rsid w:val="27AB4AC0"/>
    <w:rsid w:val="27B22916"/>
    <w:rsid w:val="27B63E65"/>
    <w:rsid w:val="27C76022"/>
    <w:rsid w:val="27D05351"/>
    <w:rsid w:val="27EE3563"/>
    <w:rsid w:val="27F11A7E"/>
    <w:rsid w:val="27F36F38"/>
    <w:rsid w:val="27F827B4"/>
    <w:rsid w:val="28194217"/>
    <w:rsid w:val="28387A36"/>
    <w:rsid w:val="286B1B0D"/>
    <w:rsid w:val="28B42B41"/>
    <w:rsid w:val="28B7787B"/>
    <w:rsid w:val="28BD7F1C"/>
    <w:rsid w:val="28DA72C5"/>
    <w:rsid w:val="28E427E3"/>
    <w:rsid w:val="290131D9"/>
    <w:rsid w:val="290A41C9"/>
    <w:rsid w:val="291C0093"/>
    <w:rsid w:val="291F52AD"/>
    <w:rsid w:val="2934692C"/>
    <w:rsid w:val="29640403"/>
    <w:rsid w:val="29645727"/>
    <w:rsid w:val="296F5BFA"/>
    <w:rsid w:val="298F4BCF"/>
    <w:rsid w:val="298F7333"/>
    <w:rsid w:val="299F678E"/>
    <w:rsid w:val="29A4362F"/>
    <w:rsid w:val="29B52ABA"/>
    <w:rsid w:val="29BB1C00"/>
    <w:rsid w:val="29C66312"/>
    <w:rsid w:val="29CA4CEC"/>
    <w:rsid w:val="29DB511E"/>
    <w:rsid w:val="29E12615"/>
    <w:rsid w:val="29EB7EF5"/>
    <w:rsid w:val="2A070CDC"/>
    <w:rsid w:val="2A0803A6"/>
    <w:rsid w:val="2A177F66"/>
    <w:rsid w:val="2A2A0131"/>
    <w:rsid w:val="2A2B146E"/>
    <w:rsid w:val="2A2C52C1"/>
    <w:rsid w:val="2A4B2CE0"/>
    <w:rsid w:val="2A535D80"/>
    <w:rsid w:val="2A610071"/>
    <w:rsid w:val="2A7712DC"/>
    <w:rsid w:val="2A8B7B5E"/>
    <w:rsid w:val="2A9A1B3E"/>
    <w:rsid w:val="2AA5731F"/>
    <w:rsid w:val="2AAE165A"/>
    <w:rsid w:val="2AB5459A"/>
    <w:rsid w:val="2AE15F8C"/>
    <w:rsid w:val="2AF31D08"/>
    <w:rsid w:val="2B006278"/>
    <w:rsid w:val="2B061C3B"/>
    <w:rsid w:val="2B2551CA"/>
    <w:rsid w:val="2B311778"/>
    <w:rsid w:val="2B4E5F1C"/>
    <w:rsid w:val="2B53301D"/>
    <w:rsid w:val="2B604560"/>
    <w:rsid w:val="2B7B3E79"/>
    <w:rsid w:val="2B923554"/>
    <w:rsid w:val="2B995E2D"/>
    <w:rsid w:val="2B9A103D"/>
    <w:rsid w:val="2BB1654E"/>
    <w:rsid w:val="2BB9608A"/>
    <w:rsid w:val="2BBB3C2B"/>
    <w:rsid w:val="2BC92B36"/>
    <w:rsid w:val="2BE1699B"/>
    <w:rsid w:val="2BE614EF"/>
    <w:rsid w:val="2C0F1BB9"/>
    <w:rsid w:val="2C0F26F1"/>
    <w:rsid w:val="2C113576"/>
    <w:rsid w:val="2C181FCE"/>
    <w:rsid w:val="2C241478"/>
    <w:rsid w:val="2C514BC4"/>
    <w:rsid w:val="2C58286B"/>
    <w:rsid w:val="2C720D42"/>
    <w:rsid w:val="2C7243C7"/>
    <w:rsid w:val="2C7E7036"/>
    <w:rsid w:val="2C841AE1"/>
    <w:rsid w:val="2C9074A2"/>
    <w:rsid w:val="2CD04BFE"/>
    <w:rsid w:val="2CD75EE7"/>
    <w:rsid w:val="2CDA083E"/>
    <w:rsid w:val="2CEA09B3"/>
    <w:rsid w:val="2D174F4D"/>
    <w:rsid w:val="2D1C1852"/>
    <w:rsid w:val="2D203358"/>
    <w:rsid w:val="2D466C09"/>
    <w:rsid w:val="2D4B096A"/>
    <w:rsid w:val="2D547657"/>
    <w:rsid w:val="2D57507D"/>
    <w:rsid w:val="2D7254DB"/>
    <w:rsid w:val="2D7D2F76"/>
    <w:rsid w:val="2D852F81"/>
    <w:rsid w:val="2D886FC2"/>
    <w:rsid w:val="2D8A33B1"/>
    <w:rsid w:val="2D8C0AD7"/>
    <w:rsid w:val="2D931562"/>
    <w:rsid w:val="2D9D0297"/>
    <w:rsid w:val="2D9D4D6B"/>
    <w:rsid w:val="2DAC1924"/>
    <w:rsid w:val="2DC003E3"/>
    <w:rsid w:val="2DC0105F"/>
    <w:rsid w:val="2DDA6352"/>
    <w:rsid w:val="2DDD5528"/>
    <w:rsid w:val="2DE02D16"/>
    <w:rsid w:val="2DE61C68"/>
    <w:rsid w:val="2DE9004C"/>
    <w:rsid w:val="2DEF3F9A"/>
    <w:rsid w:val="2DF3420C"/>
    <w:rsid w:val="2E013B66"/>
    <w:rsid w:val="2E0F0958"/>
    <w:rsid w:val="2E133B06"/>
    <w:rsid w:val="2E1B5B15"/>
    <w:rsid w:val="2E1E112B"/>
    <w:rsid w:val="2E20401E"/>
    <w:rsid w:val="2E734CFA"/>
    <w:rsid w:val="2E90388D"/>
    <w:rsid w:val="2E966AAF"/>
    <w:rsid w:val="2EA96EE9"/>
    <w:rsid w:val="2EB91CEF"/>
    <w:rsid w:val="2EC731D3"/>
    <w:rsid w:val="2ED76B4D"/>
    <w:rsid w:val="2EDC2825"/>
    <w:rsid w:val="2EE52A3C"/>
    <w:rsid w:val="2EED265D"/>
    <w:rsid w:val="2EF35E9B"/>
    <w:rsid w:val="2EFD48E7"/>
    <w:rsid w:val="2F1E7597"/>
    <w:rsid w:val="2F3023E0"/>
    <w:rsid w:val="2F3A25D6"/>
    <w:rsid w:val="2F631B4E"/>
    <w:rsid w:val="2F7815A7"/>
    <w:rsid w:val="2F7B4538"/>
    <w:rsid w:val="2F867E16"/>
    <w:rsid w:val="2F9E394B"/>
    <w:rsid w:val="2FA00840"/>
    <w:rsid w:val="2FC13EB2"/>
    <w:rsid w:val="2FCA2DA4"/>
    <w:rsid w:val="2FD55D37"/>
    <w:rsid w:val="2FE81C58"/>
    <w:rsid w:val="2FEE4220"/>
    <w:rsid w:val="2FEF2C8B"/>
    <w:rsid w:val="30660217"/>
    <w:rsid w:val="30667695"/>
    <w:rsid w:val="30677275"/>
    <w:rsid w:val="30720D54"/>
    <w:rsid w:val="30790861"/>
    <w:rsid w:val="309E29D1"/>
    <w:rsid w:val="30BB506C"/>
    <w:rsid w:val="30BF4AB7"/>
    <w:rsid w:val="30C020AF"/>
    <w:rsid w:val="30C95480"/>
    <w:rsid w:val="3112733B"/>
    <w:rsid w:val="312E1C0D"/>
    <w:rsid w:val="31430E3C"/>
    <w:rsid w:val="314C3110"/>
    <w:rsid w:val="31AE252F"/>
    <w:rsid w:val="31AF504E"/>
    <w:rsid w:val="31CD1358"/>
    <w:rsid w:val="31DC4059"/>
    <w:rsid w:val="31E349BF"/>
    <w:rsid w:val="31FD612A"/>
    <w:rsid w:val="320059CC"/>
    <w:rsid w:val="32044A13"/>
    <w:rsid w:val="32052D84"/>
    <w:rsid w:val="32074E9E"/>
    <w:rsid w:val="3211547B"/>
    <w:rsid w:val="322A157C"/>
    <w:rsid w:val="322C068E"/>
    <w:rsid w:val="324375B9"/>
    <w:rsid w:val="3255310C"/>
    <w:rsid w:val="32663864"/>
    <w:rsid w:val="327B34C0"/>
    <w:rsid w:val="327D2D4D"/>
    <w:rsid w:val="328821C7"/>
    <w:rsid w:val="32A1616B"/>
    <w:rsid w:val="32D62947"/>
    <w:rsid w:val="32DD23D1"/>
    <w:rsid w:val="32E86C7B"/>
    <w:rsid w:val="32F25845"/>
    <w:rsid w:val="32FD6226"/>
    <w:rsid w:val="33301D5D"/>
    <w:rsid w:val="333033B4"/>
    <w:rsid w:val="333F5FE5"/>
    <w:rsid w:val="334034C7"/>
    <w:rsid w:val="334900CB"/>
    <w:rsid w:val="334A7032"/>
    <w:rsid w:val="33673D55"/>
    <w:rsid w:val="336A7F71"/>
    <w:rsid w:val="33702531"/>
    <w:rsid w:val="33854B58"/>
    <w:rsid w:val="33887960"/>
    <w:rsid w:val="33B65D37"/>
    <w:rsid w:val="340100C6"/>
    <w:rsid w:val="340D4FD6"/>
    <w:rsid w:val="340E6B5F"/>
    <w:rsid w:val="341E16C5"/>
    <w:rsid w:val="343178CD"/>
    <w:rsid w:val="34325162"/>
    <w:rsid w:val="343733C3"/>
    <w:rsid w:val="347901AD"/>
    <w:rsid w:val="348340D8"/>
    <w:rsid w:val="34AB5351"/>
    <w:rsid w:val="34DF306C"/>
    <w:rsid w:val="34FB46AF"/>
    <w:rsid w:val="350D242E"/>
    <w:rsid w:val="35133B6B"/>
    <w:rsid w:val="35177805"/>
    <w:rsid w:val="352851D1"/>
    <w:rsid w:val="3532635D"/>
    <w:rsid w:val="353B7249"/>
    <w:rsid w:val="354745B6"/>
    <w:rsid w:val="354E7347"/>
    <w:rsid w:val="355E1D36"/>
    <w:rsid w:val="356629F5"/>
    <w:rsid w:val="356729F9"/>
    <w:rsid w:val="356A1781"/>
    <w:rsid w:val="356D2826"/>
    <w:rsid w:val="357E7930"/>
    <w:rsid w:val="357F1A00"/>
    <w:rsid w:val="35883146"/>
    <w:rsid w:val="35985F2E"/>
    <w:rsid w:val="35B91766"/>
    <w:rsid w:val="35C9741B"/>
    <w:rsid w:val="35CF67DB"/>
    <w:rsid w:val="35D809CA"/>
    <w:rsid w:val="35DC0F62"/>
    <w:rsid w:val="35DC2B11"/>
    <w:rsid w:val="35E112CE"/>
    <w:rsid w:val="36193BED"/>
    <w:rsid w:val="361B0C14"/>
    <w:rsid w:val="361E5753"/>
    <w:rsid w:val="3627401D"/>
    <w:rsid w:val="362A14A3"/>
    <w:rsid w:val="36311216"/>
    <w:rsid w:val="363E456A"/>
    <w:rsid w:val="364366F5"/>
    <w:rsid w:val="36755687"/>
    <w:rsid w:val="367B1390"/>
    <w:rsid w:val="368718D4"/>
    <w:rsid w:val="368D1FB3"/>
    <w:rsid w:val="36995EAD"/>
    <w:rsid w:val="369F535F"/>
    <w:rsid w:val="36B91FB2"/>
    <w:rsid w:val="36BD3984"/>
    <w:rsid w:val="36C4231E"/>
    <w:rsid w:val="36E1595E"/>
    <w:rsid w:val="36E90EBF"/>
    <w:rsid w:val="36FA5757"/>
    <w:rsid w:val="37170B10"/>
    <w:rsid w:val="372C765F"/>
    <w:rsid w:val="373020CA"/>
    <w:rsid w:val="373756CB"/>
    <w:rsid w:val="37384A04"/>
    <w:rsid w:val="37470232"/>
    <w:rsid w:val="37554604"/>
    <w:rsid w:val="37565889"/>
    <w:rsid w:val="377252D0"/>
    <w:rsid w:val="378F7C5F"/>
    <w:rsid w:val="379245C1"/>
    <w:rsid w:val="379A3365"/>
    <w:rsid w:val="37BD3D21"/>
    <w:rsid w:val="37CD3A8A"/>
    <w:rsid w:val="37DD6C34"/>
    <w:rsid w:val="37DE1D84"/>
    <w:rsid w:val="37EC0C94"/>
    <w:rsid w:val="37F00CB9"/>
    <w:rsid w:val="37F37EA8"/>
    <w:rsid w:val="37F44BF0"/>
    <w:rsid w:val="381749A3"/>
    <w:rsid w:val="38843146"/>
    <w:rsid w:val="38932005"/>
    <w:rsid w:val="38951508"/>
    <w:rsid w:val="38990A07"/>
    <w:rsid w:val="38A074FC"/>
    <w:rsid w:val="38A13F99"/>
    <w:rsid w:val="38A83031"/>
    <w:rsid w:val="38B0318D"/>
    <w:rsid w:val="38C84F50"/>
    <w:rsid w:val="38CF7C43"/>
    <w:rsid w:val="38EF7A83"/>
    <w:rsid w:val="38F04617"/>
    <w:rsid w:val="38F97917"/>
    <w:rsid w:val="39103D16"/>
    <w:rsid w:val="39141B90"/>
    <w:rsid w:val="39323958"/>
    <w:rsid w:val="3934669E"/>
    <w:rsid w:val="393C09CF"/>
    <w:rsid w:val="393F3FC2"/>
    <w:rsid w:val="393F5A20"/>
    <w:rsid w:val="39407FDB"/>
    <w:rsid w:val="394D5A3B"/>
    <w:rsid w:val="39605333"/>
    <w:rsid w:val="39645FD9"/>
    <w:rsid w:val="39845031"/>
    <w:rsid w:val="39BBAA27"/>
    <w:rsid w:val="39C46D6B"/>
    <w:rsid w:val="39C95FB0"/>
    <w:rsid w:val="39DD05AA"/>
    <w:rsid w:val="39E27E55"/>
    <w:rsid w:val="39E41336"/>
    <w:rsid w:val="39EC1D78"/>
    <w:rsid w:val="3A197A6B"/>
    <w:rsid w:val="3A340140"/>
    <w:rsid w:val="3A4E1C87"/>
    <w:rsid w:val="3A573120"/>
    <w:rsid w:val="3A5F7548"/>
    <w:rsid w:val="3A63457C"/>
    <w:rsid w:val="3A6F1109"/>
    <w:rsid w:val="3A7F4B9E"/>
    <w:rsid w:val="3A9A36C5"/>
    <w:rsid w:val="3AA329D1"/>
    <w:rsid w:val="3ABE42C4"/>
    <w:rsid w:val="3AC42ACA"/>
    <w:rsid w:val="3AD40B38"/>
    <w:rsid w:val="3AD570C9"/>
    <w:rsid w:val="3AE07AA9"/>
    <w:rsid w:val="3AEE294F"/>
    <w:rsid w:val="3B0946CC"/>
    <w:rsid w:val="3B3808A8"/>
    <w:rsid w:val="3B3C7B4F"/>
    <w:rsid w:val="3B4D015F"/>
    <w:rsid w:val="3B573CBC"/>
    <w:rsid w:val="3B595190"/>
    <w:rsid w:val="3B892775"/>
    <w:rsid w:val="3B943712"/>
    <w:rsid w:val="3B95216F"/>
    <w:rsid w:val="3B96786B"/>
    <w:rsid w:val="3BBC3418"/>
    <w:rsid w:val="3BBC5932"/>
    <w:rsid w:val="3BEF328B"/>
    <w:rsid w:val="3BF403F3"/>
    <w:rsid w:val="3C1844A7"/>
    <w:rsid w:val="3C1E18BC"/>
    <w:rsid w:val="3C225632"/>
    <w:rsid w:val="3C2E226E"/>
    <w:rsid w:val="3C343FB3"/>
    <w:rsid w:val="3C53528C"/>
    <w:rsid w:val="3C545DAA"/>
    <w:rsid w:val="3C6E6E33"/>
    <w:rsid w:val="3C8A4468"/>
    <w:rsid w:val="3C8F604E"/>
    <w:rsid w:val="3C926EA9"/>
    <w:rsid w:val="3CA70803"/>
    <w:rsid w:val="3CB201C5"/>
    <w:rsid w:val="3CC0207C"/>
    <w:rsid w:val="3CC46E4D"/>
    <w:rsid w:val="3CE07B66"/>
    <w:rsid w:val="3D1B3108"/>
    <w:rsid w:val="3D1E0543"/>
    <w:rsid w:val="3D3A214B"/>
    <w:rsid w:val="3D3A5655"/>
    <w:rsid w:val="3D405A98"/>
    <w:rsid w:val="3D4D70A7"/>
    <w:rsid w:val="3D55656B"/>
    <w:rsid w:val="3D5E2C50"/>
    <w:rsid w:val="3D744FC1"/>
    <w:rsid w:val="3D80662F"/>
    <w:rsid w:val="3D915907"/>
    <w:rsid w:val="3DA33696"/>
    <w:rsid w:val="3DA47658"/>
    <w:rsid w:val="3DA774C3"/>
    <w:rsid w:val="3DA902C1"/>
    <w:rsid w:val="3DB57E9B"/>
    <w:rsid w:val="3DD775C9"/>
    <w:rsid w:val="3DDD71E4"/>
    <w:rsid w:val="3DE227F8"/>
    <w:rsid w:val="3E0D1F45"/>
    <w:rsid w:val="3E153962"/>
    <w:rsid w:val="3E1B1DF7"/>
    <w:rsid w:val="3E1E478B"/>
    <w:rsid w:val="3E385429"/>
    <w:rsid w:val="3E4013BF"/>
    <w:rsid w:val="3E405019"/>
    <w:rsid w:val="3E4E7B38"/>
    <w:rsid w:val="3E5E39AE"/>
    <w:rsid w:val="3E652306"/>
    <w:rsid w:val="3E906AFF"/>
    <w:rsid w:val="3E9B5CF6"/>
    <w:rsid w:val="3EB837C9"/>
    <w:rsid w:val="3EC94D70"/>
    <w:rsid w:val="3ECE377C"/>
    <w:rsid w:val="3EDB3275"/>
    <w:rsid w:val="3EEC7C52"/>
    <w:rsid w:val="3EFD1E30"/>
    <w:rsid w:val="3EFF7511"/>
    <w:rsid w:val="3F0157C8"/>
    <w:rsid w:val="3F0423E5"/>
    <w:rsid w:val="3F0D4E45"/>
    <w:rsid w:val="3F11095B"/>
    <w:rsid w:val="3F2275BD"/>
    <w:rsid w:val="3F252A03"/>
    <w:rsid w:val="3F2B4129"/>
    <w:rsid w:val="3F2B4CAA"/>
    <w:rsid w:val="3F2C7E7F"/>
    <w:rsid w:val="3F873292"/>
    <w:rsid w:val="3F932F15"/>
    <w:rsid w:val="3F935D5A"/>
    <w:rsid w:val="3F957645"/>
    <w:rsid w:val="3F975B75"/>
    <w:rsid w:val="3F9E4FAB"/>
    <w:rsid w:val="3FA00B51"/>
    <w:rsid w:val="3FB113E6"/>
    <w:rsid w:val="3FBD28AD"/>
    <w:rsid w:val="3FE25EC4"/>
    <w:rsid w:val="3FF16B04"/>
    <w:rsid w:val="40031EA5"/>
    <w:rsid w:val="40104658"/>
    <w:rsid w:val="40163D38"/>
    <w:rsid w:val="40410860"/>
    <w:rsid w:val="404671AA"/>
    <w:rsid w:val="404B3CFC"/>
    <w:rsid w:val="404D07B2"/>
    <w:rsid w:val="404D74F1"/>
    <w:rsid w:val="404F54B5"/>
    <w:rsid w:val="40776291"/>
    <w:rsid w:val="407A69E3"/>
    <w:rsid w:val="40985A31"/>
    <w:rsid w:val="40B057AF"/>
    <w:rsid w:val="40E142BF"/>
    <w:rsid w:val="40EE63F7"/>
    <w:rsid w:val="40FB759E"/>
    <w:rsid w:val="41020CFF"/>
    <w:rsid w:val="41055B13"/>
    <w:rsid w:val="41234C84"/>
    <w:rsid w:val="41243270"/>
    <w:rsid w:val="412B3377"/>
    <w:rsid w:val="414304B3"/>
    <w:rsid w:val="414A7CD8"/>
    <w:rsid w:val="41521D5F"/>
    <w:rsid w:val="415F42D8"/>
    <w:rsid w:val="416401F3"/>
    <w:rsid w:val="41681A8B"/>
    <w:rsid w:val="416C55CC"/>
    <w:rsid w:val="419F0CAF"/>
    <w:rsid w:val="41B165F6"/>
    <w:rsid w:val="41B855B9"/>
    <w:rsid w:val="41BF2E4D"/>
    <w:rsid w:val="41C55BF9"/>
    <w:rsid w:val="41ED6291"/>
    <w:rsid w:val="42096F28"/>
    <w:rsid w:val="42212B50"/>
    <w:rsid w:val="423E6FEA"/>
    <w:rsid w:val="42511C75"/>
    <w:rsid w:val="426A164F"/>
    <w:rsid w:val="42793B5E"/>
    <w:rsid w:val="42834787"/>
    <w:rsid w:val="42872CE8"/>
    <w:rsid w:val="428A7653"/>
    <w:rsid w:val="428B5910"/>
    <w:rsid w:val="428E06F0"/>
    <w:rsid w:val="428E1CD4"/>
    <w:rsid w:val="429B13E1"/>
    <w:rsid w:val="429D50FC"/>
    <w:rsid w:val="42DA3960"/>
    <w:rsid w:val="42DB03E8"/>
    <w:rsid w:val="42EF2669"/>
    <w:rsid w:val="42F6072A"/>
    <w:rsid w:val="431B3B47"/>
    <w:rsid w:val="431E4EEB"/>
    <w:rsid w:val="431E70E0"/>
    <w:rsid w:val="432305DC"/>
    <w:rsid w:val="433226B5"/>
    <w:rsid w:val="433B2D32"/>
    <w:rsid w:val="43455D09"/>
    <w:rsid w:val="43544A33"/>
    <w:rsid w:val="435B2734"/>
    <w:rsid w:val="43667559"/>
    <w:rsid w:val="436C03C4"/>
    <w:rsid w:val="436D336C"/>
    <w:rsid w:val="43756AF7"/>
    <w:rsid w:val="43830EA5"/>
    <w:rsid w:val="43873E71"/>
    <w:rsid w:val="439613A3"/>
    <w:rsid w:val="44040C9F"/>
    <w:rsid w:val="440E7EF2"/>
    <w:rsid w:val="441F1C82"/>
    <w:rsid w:val="44274E24"/>
    <w:rsid w:val="44504515"/>
    <w:rsid w:val="445362CA"/>
    <w:rsid w:val="4489292A"/>
    <w:rsid w:val="449B17AD"/>
    <w:rsid w:val="44A27FE8"/>
    <w:rsid w:val="44BF015B"/>
    <w:rsid w:val="44DF5F01"/>
    <w:rsid w:val="44EF63AD"/>
    <w:rsid w:val="44FD3CFE"/>
    <w:rsid w:val="450E3F47"/>
    <w:rsid w:val="45167C8A"/>
    <w:rsid w:val="45441824"/>
    <w:rsid w:val="45637495"/>
    <w:rsid w:val="456E2D11"/>
    <w:rsid w:val="45753CB4"/>
    <w:rsid w:val="457B46A0"/>
    <w:rsid w:val="458E654B"/>
    <w:rsid w:val="45A26A38"/>
    <w:rsid w:val="45B33350"/>
    <w:rsid w:val="45BD01EF"/>
    <w:rsid w:val="45C85E85"/>
    <w:rsid w:val="45E01DD4"/>
    <w:rsid w:val="45EA0B20"/>
    <w:rsid w:val="45F53276"/>
    <w:rsid w:val="45F711F6"/>
    <w:rsid w:val="46032A0C"/>
    <w:rsid w:val="462261E9"/>
    <w:rsid w:val="46311E5E"/>
    <w:rsid w:val="46413AB8"/>
    <w:rsid w:val="465824B7"/>
    <w:rsid w:val="4673770A"/>
    <w:rsid w:val="46895C51"/>
    <w:rsid w:val="46A0002B"/>
    <w:rsid w:val="46BC5214"/>
    <w:rsid w:val="46BD6872"/>
    <w:rsid w:val="46BF0EE8"/>
    <w:rsid w:val="46EA7BC5"/>
    <w:rsid w:val="46FFB9B5"/>
    <w:rsid w:val="470017B2"/>
    <w:rsid w:val="47194FE4"/>
    <w:rsid w:val="473241CD"/>
    <w:rsid w:val="47354558"/>
    <w:rsid w:val="474357CE"/>
    <w:rsid w:val="4750160F"/>
    <w:rsid w:val="47616387"/>
    <w:rsid w:val="476843C9"/>
    <w:rsid w:val="47685B0F"/>
    <w:rsid w:val="47923B98"/>
    <w:rsid w:val="47955EBD"/>
    <w:rsid w:val="47A403D8"/>
    <w:rsid w:val="47A635D6"/>
    <w:rsid w:val="47A77F9D"/>
    <w:rsid w:val="47A802C6"/>
    <w:rsid w:val="47D21007"/>
    <w:rsid w:val="47DE1B16"/>
    <w:rsid w:val="480132B5"/>
    <w:rsid w:val="48115B26"/>
    <w:rsid w:val="484D1F60"/>
    <w:rsid w:val="484E542C"/>
    <w:rsid w:val="4853627F"/>
    <w:rsid w:val="48543192"/>
    <w:rsid w:val="48580026"/>
    <w:rsid w:val="486230C4"/>
    <w:rsid w:val="486C7B5C"/>
    <w:rsid w:val="48796BE7"/>
    <w:rsid w:val="488561D8"/>
    <w:rsid w:val="48876476"/>
    <w:rsid w:val="488C4CB7"/>
    <w:rsid w:val="48AF07F2"/>
    <w:rsid w:val="48B73671"/>
    <w:rsid w:val="48C42D83"/>
    <w:rsid w:val="48D817DB"/>
    <w:rsid w:val="48E436FF"/>
    <w:rsid w:val="48EA06CC"/>
    <w:rsid w:val="48F80B5B"/>
    <w:rsid w:val="490D46CD"/>
    <w:rsid w:val="49107A67"/>
    <w:rsid w:val="49303651"/>
    <w:rsid w:val="49415234"/>
    <w:rsid w:val="49465EE1"/>
    <w:rsid w:val="494825A8"/>
    <w:rsid w:val="494E143D"/>
    <w:rsid w:val="497028B0"/>
    <w:rsid w:val="499D04FB"/>
    <w:rsid w:val="49A62AA2"/>
    <w:rsid w:val="49C33848"/>
    <w:rsid w:val="49C40113"/>
    <w:rsid w:val="49D26490"/>
    <w:rsid w:val="49D2768B"/>
    <w:rsid w:val="4A097039"/>
    <w:rsid w:val="4A15624B"/>
    <w:rsid w:val="4A300B36"/>
    <w:rsid w:val="4A415199"/>
    <w:rsid w:val="4A461D2C"/>
    <w:rsid w:val="4A69777E"/>
    <w:rsid w:val="4A772801"/>
    <w:rsid w:val="4ADC593D"/>
    <w:rsid w:val="4AE05878"/>
    <w:rsid w:val="4AE83C29"/>
    <w:rsid w:val="4AF83342"/>
    <w:rsid w:val="4B00236C"/>
    <w:rsid w:val="4B0A0BAE"/>
    <w:rsid w:val="4B0A53EA"/>
    <w:rsid w:val="4B2E0EB5"/>
    <w:rsid w:val="4B460E8D"/>
    <w:rsid w:val="4B6764EA"/>
    <w:rsid w:val="4B694FA2"/>
    <w:rsid w:val="4B9B2820"/>
    <w:rsid w:val="4BB33E2B"/>
    <w:rsid w:val="4BB43832"/>
    <w:rsid w:val="4BBD76EE"/>
    <w:rsid w:val="4BCF1CC5"/>
    <w:rsid w:val="4BDE5A54"/>
    <w:rsid w:val="4BEB6BD9"/>
    <w:rsid w:val="4BFE18B7"/>
    <w:rsid w:val="4C036B30"/>
    <w:rsid w:val="4C09292D"/>
    <w:rsid w:val="4C0E7AAB"/>
    <w:rsid w:val="4C1B0890"/>
    <w:rsid w:val="4C3C7BA4"/>
    <w:rsid w:val="4C4B380D"/>
    <w:rsid w:val="4C4D3164"/>
    <w:rsid w:val="4C525BD2"/>
    <w:rsid w:val="4C6F22E0"/>
    <w:rsid w:val="4C910468"/>
    <w:rsid w:val="4C916A1A"/>
    <w:rsid w:val="4C9F5EB2"/>
    <w:rsid w:val="4CA43EA8"/>
    <w:rsid w:val="4CA76F82"/>
    <w:rsid w:val="4CBE763F"/>
    <w:rsid w:val="4CC8339A"/>
    <w:rsid w:val="4CDF3C24"/>
    <w:rsid w:val="4CFA2633"/>
    <w:rsid w:val="4D410D02"/>
    <w:rsid w:val="4D632FDA"/>
    <w:rsid w:val="4D8F021D"/>
    <w:rsid w:val="4D936930"/>
    <w:rsid w:val="4D9621E3"/>
    <w:rsid w:val="4DAD2116"/>
    <w:rsid w:val="4DCB32C3"/>
    <w:rsid w:val="4DDB219D"/>
    <w:rsid w:val="4DDE4459"/>
    <w:rsid w:val="4DFA47F0"/>
    <w:rsid w:val="4E041B4C"/>
    <w:rsid w:val="4E1266F9"/>
    <w:rsid w:val="4E1771C4"/>
    <w:rsid w:val="4E22528C"/>
    <w:rsid w:val="4E5A6FBD"/>
    <w:rsid w:val="4E5B0744"/>
    <w:rsid w:val="4E9B6F53"/>
    <w:rsid w:val="4EA65703"/>
    <w:rsid w:val="4EB065CA"/>
    <w:rsid w:val="4EB54025"/>
    <w:rsid w:val="4EBF475A"/>
    <w:rsid w:val="4ED00253"/>
    <w:rsid w:val="4ED2217F"/>
    <w:rsid w:val="4F08155D"/>
    <w:rsid w:val="4F273292"/>
    <w:rsid w:val="4F480212"/>
    <w:rsid w:val="4F6065E2"/>
    <w:rsid w:val="4F625709"/>
    <w:rsid w:val="4F6A5C73"/>
    <w:rsid w:val="4F750A5E"/>
    <w:rsid w:val="4F7F3112"/>
    <w:rsid w:val="4F9E6B50"/>
    <w:rsid w:val="4FAF0270"/>
    <w:rsid w:val="4FB8548A"/>
    <w:rsid w:val="4FC107FF"/>
    <w:rsid w:val="4FC231C8"/>
    <w:rsid w:val="4FC31CE0"/>
    <w:rsid w:val="4FC83488"/>
    <w:rsid w:val="4FF2498B"/>
    <w:rsid w:val="4FFD0148"/>
    <w:rsid w:val="50014319"/>
    <w:rsid w:val="5008666F"/>
    <w:rsid w:val="50452984"/>
    <w:rsid w:val="50461E40"/>
    <w:rsid w:val="50591080"/>
    <w:rsid w:val="505F1077"/>
    <w:rsid w:val="507709DE"/>
    <w:rsid w:val="507D0FCC"/>
    <w:rsid w:val="5087299C"/>
    <w:rsid w:val="5089340C"/>
    <w:rsid w:val="508A5D65"/>
    <w:rsid w:val="50972E40"/>
    <w:rsid w:val="5098323E"/>
    <w:rsid w:val="509E3AF6"/>
    <w:rsid w:val="50A93EE5"/>
    <w:rsid w:val="50AD7C16"/>
    <w:rsid w:val="50B0617F"/>
    <w:rsid w:val="50E90DF5"/>
    <w:rsid w:val="50EB6B20"/>
    <w:rsid w:val="51065CA1"/>
    <w:rsid w:val="51130F99"/>
    <w:rsid w:val="51234644"/>
    <w:rsid w:val="51382AF2"/>
    <w:rsid w:val="516F3799"/>
    <w:rsid w:val="51754640"/>
    <w:rsid w:val="517A73D3"/>
    <w:rsid w:val="517C0091"/>
    <w:rsid w:val="51963CCB"/>
    <w:rsid w:val="51985186"/>
    <w:rsid w:val="519E6AEF"/>
    <w:rsid w:val="519F3739"/>
    <w:rsid w:val="51A81D3C"/>
    <w:rsid w:val="51C260C0"/>
    <w:rsid w:val="51C52F1A"/>
    <w:rsid w:val="51C91D2A"/>
    <w:rsid w:val="51EF2334"/>
    <w:rsid w:val="51FA078D"/>
    <w:rsid w:val="51FD687E"/>
    <w:rsid w:val="522114FE"/>
    <w:rsid w:val="52247484"/>
    <w:rsid w:val="522B3D2A"/>
    <w:rsid w:val="522D5A09"/>
    <w:rsid w:val="52360FDF"/>
    <w:rsid w:val="52494B9A"/>
    <w:rsid w:val="525C3C03"/>
    <w:rsid w:val="5265555D"/>
    <w:rsid w:val="5269402E"/>
    <w:rsid w:val="52A826F9"/>
    <w:rsid w:val="52C869FA"/>
    <w:rsid w:val="52D34920"/>
    <w:rsid w:val="530D0452"/>
    <w:rsid w:val="532D1997"/>
    <w:rsid w:val="53413327"/>
    <w:rsid w:val="535F2988"/>
    <w:rsid w:val="536837A0"/>
    <w:rsid w:val="5374479E"/>
    <w:rsid w:val="537838D3"/>
    <w:rsid w:val="53CB5DC1"/>
    <w:rsid w:val="53E414A0"/>
    <w:rsid w:val="53EE6853"/>
    <w:rsid w:val="540C67ED"/>
    <w:rsid w:val="540E7A0E"/>
    <w:rsid w:val="540F2361"/>
    <w:rsid w:val="54321E6C"/>
    <w:rsid w:val="5448522D"/>
    <w:rsid w:val="545834F6"/>
    <w:rsid w:val="546925A8"/>
    <w:rsid w:val="546B07A5"/>
    <w:rsid w:val="54783D7A"/>
    <w:rsid w:val="549E5F1F"/>
    <w:rsid w:val="54B71761"/>
    <w:rsid w:val="54D62711"/>
    <w:rsid w:val="54DC7D39"/>
    <w:rsid w:val="550113B0"/>
    <w:rsid w:val="55041B28"/>
    <w:rsid w:val="551A7DD3"/>
    <w:rsid w:val="552E4807"/>
    <w:rsid w:val="5534549F"/>
    <w:rsid w:val="55482CA2"/>
    <w:rsid w:val="555D6A3F"/>
    <w:rsid w:val="55703EFE"/>
    <w:rsid w:val="557818D5"/>
    <w:rsid w:val="55A353B2"/>
    <w:rsid w:val="55AE205C"/>
    <w:rsid w:val="55C11136"/>
    <w:rsid w:val="55DF64D6"/>
    <w:rsid w:val="55EF2296"/>
    <w:rsid w:val="55FC7F93"/>
    <w:rsid w:val="560776D2"/>
    <w:rsid w:val="560B417E"/>
    <w:rsid w:val="56200CCE"/>
    <w:rsid w:val="56387411"/>
    <w:rsid w:val="564B21AF"/>
    <w:rsid w:val="5657050F"/>
    <w:rsid w:val="56741CE5"/>
    <w:rsid w:val="56764C38"/>
    <w:rsid w:val="56C33697"/>
    <w:rsid w:val="56D33C02"/>
    <w:rsid w:val="56D62FF5"/>
    <w:rsid w:val="56E10EDA"/>
    <w:rsid w:val="56E158E7"/>
    <w:rsid w:val="56E52E45"/>
    <w:rsid w:val="56EB5389"/>
    <w:rsid w:val="56F83234"/>
    <w:rsid w:val="56FA5074"/>
    <w:rsid w:val="5704052C"/>
    <w:rsid w:val="571938AF"/>
    <w:rsid w:val="57194CD7"/>
    <w:rsid w:val="571D243F"/>
    <w:rsid w:val="5751147A"/>
    <w:rsid w:val="575D69A8"/>
    <w:rsid w:val="578216BF"/>
    <w:rsid w:val="57B313E0"/>
    <w:rsid w:val="57C019BB"/>
    <w:rsid w:val="57C8125A"/>
    <w:rsid w:val="57EE4038"/>
    <w:rsid w:val="57F169BA"/>
    <w:rsid w:val="58114F26"/>
    <w:rsid w:val="58163CC2"/>
    <w:rsid w:val="58235717"/>
    <w:rsid w:val="582C2F3B"/>
    <w:rsid w:val="582C571F"/>
    <w:rsid w:val="583C7E30"/>
    <w:rsid w:val="58446798"/>
    <w:rsid w:val="58573DF1"/>
    <w:rsid w:val="5870355D"/>
    <w:rsid w:val="589B0144"/>
    <w:rsid w:val="58BA6FCF"/>
    <w:rsid w:val="58BE1024"/>
    <w:rsid w:val="58C8286B"/>
    <w:rsid w:val="58CE3DC0"/>
    <w:rsid w:val="58DA6761"/>
    <w:rsid w:val="590B120F"/>
    <w:rsid w:val="59156EF7"/>
    <w:rsid w:val="59200E96"/>
    <w:rsid w:val="59205A01"/>
    <w:rsid w:val="592D70D4"/>
    <w:rsid w:val="593E649A"/>
    <w:rsid w:val="59413AC4"/>
    <w:rsid w:val="594A69F4"/>
    <w:rsid w:val="59577788"/>
    <w:rsid w:val="59627858"/>
    <w:rsid w:val="596E75E4"/>
    <w:rsid w:val="59872D1D"/>
    <w:rsid w:val="59A420B1"/>
    <w:rsid w:val="59C33E7E"/>
    <w:rsid w:val="59C93268"/>
    <w:rsid w:val="59EF6EEE"/>
    <w:rsid w:val="5A1C4FCA"/>
    <w:rsid w:val="5A477008"/>
    <w:rsid w:val="5A4B1B8F"/>
    <w:rsid w:val="5A5E1606"/>
    <w:rsid w:val="5A6836E4"/>
    <w:rsid w:val="5A696D6D"/>
    <w:rsid w:val="5A71736B"/>
    <w:rsid w:val="5A960E0A"/>
    <w:rsid w:val="5AA94D80"/>
    <w:rsid w:val="5ACA228E"/>
    <w:rsid w:val="5AD56D85"/>
    <w:rsid w:val="5B016AB6"/>
    <w:rsid w:val="5B200146"/>
    <w:rsid w:val="5B420EA0"/>
    <w:rsid w:val="5B5C5546"/>
    <w:rsid w:val="5B6856AC"/>
    <w:rsid w:val="5B7003A5"/>
    <w:rsid w:val="5B7D5626"/>
    <w:rsid w:val="5B8D1EA5"/>
    <w:rsid w:val="5BA47B3C"/>
    <w:rsid w:val="5BAC2A64"/>
    <w:rsid w:val="5BBA0C56"/>
    <w:rsid w:val="5BC419EC"/>
    <w:rsid w:val="5BC75580"/>
    <w:rsid w:val="5BDA1F60"/>
    <w:rsid w:val="5BDA6901"/>
    <w:rsid w:val="5BE472C9"/>
    <w:rsid w:val="5BFA5186"/>
    <w:rsid w:val="5C023958"/>
    <w:rsid w:val="5C087BC2"/>
    <w:rsid w:val="5C0B6108"/>
    <w:rsid w:val="5C1652F5"/>
    <w:rsid w:val="5C175EB9"/>
    <w:rsid w:val="5C2659CB"/>
    <w:rsid w:val="5C2E2BEE"/>
    <w:rsid w:val="5C5B6E5F"/>
    <w:rsid w:val="5C7B21B8"/>
    <w:rsid w:val="5C8D1A98"/>
    <w:rsid w:val="5C983687"/>
    <w:rsid w:val="5CB47388"/>
    <w:rsid w:val="5CBB0C35"/>
    <w:rsid w:val="5CC70FE5"/>
    <w:rsid w:val="5CE33653"/>
    <w:rsid w:val="5CE972D6"/>
    <w:rsid w:val="5CF87E72"/>
    <w:rsid w:val="5D0A4E32"/>
    <w:rsid w:val="5D301413"/>
    <w:rsid w:val="5D376F57"/>
    <w:rsid w:val="5D3C1BD5"/>
    <w:rsid w:val="5D490211"/>
    <w:rsid w:val="5D5027C7"/>
    <w:rsid w:val="5D627157"/>
    <w:rsid w:val="5D6755E6"/>
    <w:rsid w:val="5D6D7D20"/>
    <w:rsid w:val="5D8A13DC"/>
    <w:rsid w:val="5D903CB6"/>
    <w:rsid w:val="5D9C1E22"/>
    <w:rsid w:val="5DBE28D4"/>
    <w:rsid w:val="5DF0184B"/>
    <w:rsid w:val="5E150DCE"/>
    <w:rsid w:val="5E1E6E49"/>
    <w:rsid w:val="5E330100"/>
    <w:rsid w:val="5E3D5DDD"/>
    <w:rsid w:val="5E491FB5"/>
    <w:rsid w:val="5E6343E6"/>
    <w:rsid w:val="5E831314"/>
    <w:rsid w:val="5EA13B08"/>
    <w:rsid w:val="5EB26097"/>
    <w:rsid w:val="5EC05557"/>
    <w:rsid w:val="5EC11332"/>
    <w:rsid w:val="5EDC49D8"/>
    <w:rsid w:val="5F236244"/>
    <w:rsid w:val="5F596341"/>
    <w:rsid w:val="5F6D27D4"/>
    <w:rsid w:val="5F777F05"/>
    <w:rsid w:val="5F8315D5"/>
    <w:rsid w:val="5F880D89"/>
    <w:rsid w:val="5F8D211A"/>
    <w:rsid w:val="5F9B12C3"/>
    <w:rsid w:val="5F9B710C"/>
    <w:rsid w:val="5FA75877"/>
    <w:rsid w:val="5FE20920"/>
    <w:rsid w:val="5FE92B32"/>
    <w:rsid w:val="5FEB2657"/>
    <w:rsid w:val="5FEF0E07"/>
    <w:rsid w:val="5FF91A33"/>
    <w:rsid w:val="601352FD"/>
    <w:rsid w:val="60226620"/>
    <w:rsid w:val="60512D29"/>
    <w:rsid w:val="605209EA"/>
    <w:rsid w:val="605407F9"/>
    <w:rsid w:val="60552501"/>
    <w:rsid w:val="60724E73"/>
    <w:rsid w:val="60810E94"/>
    <w:rsid w:val="60A964B4"/>
    <w:rsid w:val="60AE73C8"/>
    <w:rsid w:val="60D27063"/>
    <w:rsid w:val="60D934AD"/>
    <w:rsid w:val="60EA61A2"/>
    <w:rsid w:val="60EC60AD"/>
    <w:rsid w:val="60F149D5"/>
    <w:rsid w:val="610F3ACE"/>
    <w:rsid w:val="61181545"/>
    <w:rsid w:val="61270A5C"/>
    <w:rsid w:val="6129463E"/>
    <w:rsid w:val="612F6238"/>
    <w:rsid w:val="6141142E"/>
    <w:rsid w:val="614A69A0"/>
    <w:rsid w:val="61560A9F"/>
    <w:rsid w:val="615F5C12"/>
    <w:rsid w:val="616D6415"/>
    <w:rsid w:val="61887D21"/>
    <w:rsid w:val="618A3788"/>
    <w:rsid w:val="618D0A94"/>
    <w:rsid w:val="619148F7"/>
    <w:rsid w:val="61947821"/>
    <w:rsid w:val="619949AA"/>
    <w:rsid w:val="619A5B3A"/>
    <w:rsid w:val="619F3565"/>
    <w:rsid w:val="61B346C0"/>
    <w:rsid w:val="61B7414B"/>
    <w:rsid w:val="61B74CBD"/>
    <w:rsid w:val="61B914C8"/>
    <w:rsid w:val="61BC1637"/>
    <w:rsid w:val="61D616B2"/>
    <w:rsid w:val="61DC7783"/>
    <w:rsid w:val="61E7223C"/>
    <w:rsid w:val="62253C39"/>
    <w:rsid w:val="623F4FC2"/>
    <w:rsid w:val="62633242"/>
    <w:rsid w:val="626370C9"/>
    <w:rsid w:val="62B814C3"/>
    <w:rsid w:val="62C2393D"/>
    <w:rsid w:val="62C76462"/>
    <w:rsid w:val="62CD3E33"/>
    <w:rsid w:val="62F935D4"/>
    <w:rsid w:val="62FF00E6"/>
    <w:rsid w:val="630468B6"/>
    <w:rsid w:val="630660EA"/>
    <w:rsid w:val="630E4930"/>
    <w:rsid w:val="631615E4"/>
    <w:rsid w:val="63187C4F"/>
    <w:rsid w:val="63250FA6"/>
    <w:rsid w:val="632B00AE"/>
    <w:rsid w:val="632D2C17"/>
    <w:rsid w:val="63495E7C"/>
    <w:rsid w:val="634B6B23"/>
    <w:rsid w:val="634E12D2"/>
    <w:rsid w:val="638A1B7F"/>
    <w:rsid w:val="63C51C10"/>
    <w:rsid w:val="63CE7B8B"/>
    <w:rsid w:val="63D100A7"/>
    <w:rsid w:val="63D6379D"/>
    <w:rsid w:val="63D91A4E"/>
    <w:rsid w:val="64027240"/>
    <w:rsid w:val="642D1AA1"/>
    <w:rsid w:val="6440165C"/>
    <w:rsid w:val="646D5271"/>
    <w:rsid w:val="64713D1D"/>
    <w:rsid w:val="65023600"/>
    <w:rsid w:val="6506448B"/>
    <w:rsid w:val="65092434"/>
    <w:rsid w:val="651A68D4"/>
    <w:rsid w:val="65321C7D"/>
    <w:rsid w:val="65364EE5"/>
    <w:rsid w:val="65605843"/>
    <w:rsid w:val="65B5408C"/>
    <w:rsid w:val="65C40610"/>
    <w:rsid w:val="65ED16BA"/>
    <w:rsid w:val="661E4357"/>
    <w:rsid w:val="661F2403"/>
    <w:rsid w:val="662A24FD"/>
    <w:rsid w:val="66332E33"/>
    <w:rsid w:val="66340D29"/>
    <w:rsid w:val="663959BA"/>
    <w:rsid w:val="664C4663"/>
    <w:rsid w:val="665E7ECB"/>
    <w:rsid w:val="666D3126"/>
    <w:rsid w:val="66703894"/>
    <w:rsid w:val="667F1B2A"/>
    <w:rsid w:val="66865061"/>
    <w:rsid w:val="66886B08"/>
    <w:rsid w:val="6691107E"/>
    <w:rsid w:val="6692511E"/>
    <w:rsid w:val="66A3321C"/>
    <w:rsid w:val="66A57706"/>
    <w:rsid w:val="66A65FE8"/>
    <w:rsid w:val="66D55B50"/>
    <w:rsid w:val="66E14FAD"/>
    <w:rsid w:val="67000CD2"/>
    <w:rsid w:val="672073C1"/>
    <w:rsid w:val="67270811"/>
    <w:rsid w:val="67316AA8"/>
    <w:rsid w:val="673F3D44"/>
    <w:rsid w:val="674728FF"/>
    <w:rsid w:val="67704317"/>
    <w:rsid w:val="677D5F15"/>
    <w:rsid w:val="678069D4"/>
    <w:rsid w:val="678F2EC5"/>
    <w:rsid w:val="67941FDF"/>
    <w:rsid w:val="679B2218"/>
    <w:rsid w:val="67A503A6"/>
    <w:rsid w:val="67D46096"/>
    <w:rsid w:val="67E05870"/>
    <w:rsid w:val="67EE013E"/>
    <w:rsid w:val="680C0B27"/>
    <w:rsid w:val="680D754E"/>
    <w:rsid w:val="681771B0"/>
    <w:rsid w:val="6821322E"/>
    <w:rsid w:val="683525BF"/>
    <w:rsid w:val="684B5932"/>
    <w:rsid w:val="68620C55"/>
    <w:rsid w:val="68696D8C"/>
    <w:rsid w:val="689E184F"/>
    <w:rsid w:val="68A15203"/>
    <w:rsid w:val="68A53906"/>
    <w:rsid w:val="68B02475"/>
    <w:rsid w:val="68B71127"/>
    <w:rsid w:val="68D02311"/>
    <w:rsid w:val="68ED43DC"/>
    <w:rsid w:val="68F12F04"/>
    <w:rsid w:val="691319A4"/>
    <w:rsid w:val="691D2DE3"/>
    <w:rsid w:val="693917E8"/>
    <w:rsid w:val="693C4F15"/>
    <w:rsid w:val="6945267E"/>
    <w:rsid w:val="694A3636"/>
    <w:rsid w:val="694B008C"/>
    <w:rsid w:val="69594EB2"/>
    <w:rsid w:val="69624008"/>
    <w:rsid w:val="69660099"/>
    <w:rsid w:val="696A6FD9"/>
    <w:rsid w:val="699917C7"/>
    <w:rsid w:val="69BE3E6C"/>
    <w:rsid w:val="69C62B69"/>
    <w:rsid w:val="69CA6A3C"/>
    <w:rsid w:val="69D85CC5"/>
    <w:rsid w:val="69E949EF"/>
    <w:rsid w:val="69F523DB"/>
    <w:rsid w:val="69F63C2A"/>
    <w:rsid w:val="6A0028E3"/>
    <w:rsid w:val="6A220CD5"/>
    <w:rsid w:val="6A4A1719"/>
    <w:rsid w:val="6A583F86"/>
    <w:rsid w:val="6A6B6CEA"/>
    <w:rsid w:val="6AA8161C"/>
    <w:rsid w:val="6AC314E0"/>
    <w:rsid w:val="6AD803AF"/>
    <w:rsid w:val="6AEB59E9"/>
    <w:rsid w:val="6B031465"/>
    <w:rsid w:val="6B04686F"/>
    <w:rsid w:val="6B0F74F3"/>
    <w:rsid w:val="6B153A82"/>
    <w:rsid w:val="6B1F1129"/>
    <w:rsid w:val="6B226C22"/>
    <w:rsid w:val="6B44345A"/>
    <w:rsid w:val="6B4A5348"/>
    <w:rsid w:val="6B540FD9"/>
    <w:rsid w:val="6B61015F"/>
    <w:rsid w:val="6B6C6AC7"/>
    <w:rsid w:val="6B6D27AB"/>
    <w:rsid w:val="6B711A73"/>
    <w:rsid w:val="6B813F59"/>
    <w:rsid w:val="6B9A6560"/>
    <w:rsid w:val="6BA95229"/>
    <w:rsid w:val="6BAF6E48"/>
    <w:rsid w:val="6BC65122"/>
    <w:rsid w:val="6BD50277"/>
    <w:rsid w:val="6C3D0495"/>
    <w:rsid w:val="6C4A263E"/>
    <w:rsid w:val="6C7429B6"/>
    <w:rsid w:val="6C8F6D6A"/>
    <w:rsid w:val="6C922507"/>
    <w:rsid w:val="6CB1741D"/>
    <w:rsid w:val="6CB34E01"/>
    <w:rsid w:val="6CD27FC2"/>
    <w:rsid w:val="6CD8418F"/>
    <w:rsid w:val="6CE77ADE"/>
    <w:rsid w:val="6CF26928"/>
    <w:rsid w:val="6CF37B5B"/>
    <w:rsid w:val="6CFD107D"/>
    <w:rsid w:val="6D0A2ED4"/>
    <w:rsid w:val="6D201B74"/>
    <w:rsid w:val="6D3B54BD"/>
    <w:rsid w:val="6D544546"/>
    <w:rsid w:val="6D576E67"/>
    <w:rsid w:val="6D656371"/>
    <w:rsid w:val="6D6A3EAF"/>
    <w:rsid w:val="6DAF79F4"/>
    <w:rsid w:val="6DB637F3"/>
    <w:rsid w:val="6DD16CC6"/>
    <w:rsid w:val="6DD96F22"/>
    <w:rsid w:val="6DDA5E2E"/>
    <w:rsid w:val="6DE74A3A"/>
    <w:rsid w:val="6E0B5D6A"/>
    <w:rsid w:val="6E2C6C85"/>
    <w:rsid w:val="6E331BC4"/>
    <w:rsid w:val="6E3C3A71"/>
    <w:rsid w:val="6E653454"/>
    <w:rsid w:val="6E6974E7"/>
    <w:rsid w:val="6E6C26AB"/>
    <w:rsid w:val="6E785E26"/>
    <w:rsid w:val="6E902663"/>
    <w:rsid w:val="6E9F1259"/>
    <w:rsid w:val="6E9F72FC"/>
    <w:rsid w:val="6EA4171D"/>
    <w:rsid w:val="6EBF073E"/>
    <w:rsid w:val="6EC303CC"/>
    <w:rsid w:val="6EE15DD4"/>
    <w:rsid w:val="6EF461E7"/>
    <w:rsid w:val="6EFA23F5"/>
    <w:rsid w:val="6EFE32DC"/>
    <w:rsid w:val="6F007788"/>
    <w:rsid w:val="6F0648CA"/>
    <w:rsid w:val="6F223809"/>
    <w:rsid w:val="6F2368BB"/>
    <w:rsid w:val="6F263208"/>
    <w:rsid w:val="6F2A5455"/>
    <w:rsid w:val="6F2D7565"/>
    <w:rsid w:val="6F31151E"/>
    <w:rsid w:val="6F435E4B"/>
    <w:rsid w:val="6F6B6123"/>
    <w:rsid w:val="6F6E5177"/>
    <w:rsid w:val="6F8305DC"/>
    <w:rsid w:val="6F8D02CC"/>
    <w:rsid w:val="6FB50C81"/>
    <w:rsid w:val="6FB51E7F"/>
    <w:rsid w:val="6FB668D2"/>
    <w:rsid w:val="6FE31B8D"/>
    <w:rsid w:val="6FF24415"/>
    <w:rsid w:val="702C7C18"/>
    <w:rsid w:val="704E013F"/>
    <w:rsid w:val="70540F18"/>
    <w:rsid w:val="705C7A2E"/>
    <w:rsid w:val="70602C67"/>
    <w:rsid w:val="70734387"/>
    <w:rsid w:val="707610C9"/>
    <w:rsid w:val="707D5A13"/>
    <w:rsid w:val="70815BF1"/>
    <w:rsid w:val="708354B5"/>
    <w:rsid w:val="70916ED3"/>
    <w:rsid w:val="70B157C7"/>
    <w:rsid w:val="70B717A5"/>
    <w:rsid w:val="70C069E7"/>
    <w:rsid w:val="70D4784B"/>
    <w:rsid w:val="70E43168"/>
    <w:rsid w:val="712742BE"/>
    <w:rsid w:val="715E4352"/>
    <w:rsid w:val="71666A47"/>
    <w:rsid w:val="71702256"/>
    <w:rsid w:val="71862530"/>
    <w:rsid w:val="71974C7B"/>
    <w:rsid w:val="719B0B5C"/>
    <w:rsid w:val="71AD7137"/>
    <w:rsid w:val="71B039D9"/>
    <w:rsid w:val="71B50317"/>
    <w:rsid w:val="71C539D9"/>
    <w:rsid w:val="71C70F8F"/>
    <w:rsid w:val="71C84868"/>
    <w:rsid w:val="71CB3514"/>
    <w:rsid w:val="71CB7103"/>
    <w:rsid w:val="71CE42D0"/>
    <w:rsid w:val="71EA1B75"/>
    <w:rsid w:val="71EC77B7"/>
    <w:rsid w:val="71FB200C"/>
    <w:rsid w:val="720D7BE0"/>
    <w:rsid w:val="720E5645"/>
    <w:rsid w:val="721B1E1D"/>
    <w:rsid w:val="7236502C"/>
    <w:rsid w:val="72563884"/>
    <w:rsid w:val="727946A6"/>
    <w:rsid w:val="72824665"/>
    <w:rsid w:val="7283377E"/>
    <w:rsid w:val="728E32A9"/>
    <w:rsid w:val="72A6051C"/>
    <w:rsid w:val="72CB0052"/>
    <w:rsid w:val="72D84D0D"/>
    <w:rsid w:val="72DF64F6"/>
    <w:rsid w:val="72E77231"/>
    <w:rsid w:val="72FB40E8"/>
    <w:rsid w:val="73016589"/>
    <w:rsid w:val="73067085"/>
    <w:rsid w:val="73085A60"/>
    <w:rsid w:val="73191D15"/>
    <w:rsid w:val="731C613E"/>
    <w:rsid w:val="73351BE0"/>
    <w:rsid w:val="733F71E1"/>
    <w:rsid w:val="734A5256"/>
    <w:rsid w:val="73554B4D"/>
    <w:rsid w:val="73D91279"/>
    <w:rsid w:val="73DB0869"/>
    <w:rsid w:val="73DE6D75"/>
    <w:rsid w:val="73EB78DC"/>
    <w:rsid w:val="740841C6"/>
    <w:rsid w:val="741D1750"/>
    <w:rsid w:val="74220D78"/>
    <w:rsid w:val="74337404"/>
    <w:rsid w:val="744363F7"/>
    <w:rsid w:val="74526B8F"/>
    <w:rsid w:val="745727E4"/>
    <w:rsid w:val="746D49E0"/>
    <w:rsid w:val="747122F2"/>
    <w:rsid w:val="74750E51"/>
    <w:rsid w:val="7475329C"/>
    <w:rsid w:val="748350AF"/>
    <w:rsid w:val="74843C2D"/>
    <w:rsid w:val="74861398"/>
    <w:rsid w:val="748F1D8E"/>
    <w:rsid w:val="74AD16AA"/>
    <w:rsid w:val="74C40431"/>
    <w:rsid w:val="74C45F81"/>
    <w:rsid w:val="74CA0BD1"/>
    <w:rsid w:val="74D95A25"/>
    <w:rsid w:val="75012676"/>
    <w:rsid w:val="751C4B1B"/>
    <w:rsid w:val="752D0272"/>
    <w:rsid w:val="755F3426"/>
    <w:rsid w:val="7563110B"/>
    <w:rsid w:val="756428C7"/>
    <w:rsid w:val="759273E4"/>
    <w:rsid w:val="75AC781B"/>
    <w:rsid w:val="75BC5C44"/>
    <w:rsid w:val="75EC2C99"/>
    <w:rsid w:val="761D59F1"/>
    <w:rsid w:val="761D6284"/>
    <w:rsid w:val="762105CC"/>
    <w:rsid w:val="7659469B"/>
    <w:rsid w:val="765E0E62"/>
    <w:rsid w:val="766958B0"/>
    <w:rsid w:val="76827205"/>
    <w:rsid w:val="769E3950"/>
    <w:rsid w:val="76AA0072"/>
    <w:rsid w:val="76C63B13"/>
    <w:rsid w:val="76CF4D29"/>
    <w:rsid w:val="76D27F27"/>
    <w:rsid w:val="76E64E83"/>
    <w:rsid w:val="77023092"/>
    <w:rsid w:val="770342F8"/>
    <w:rsid w:val="770864EA"/>
    <w:rsid w:val="77123D25"/>
    <w:rsid w:val="77131A63"/>
    <w:rsid w:val="771A08AE"/>
    <w:rsid w:val="773F7A8C"/>
    <w:rsid w:val="7757340E"/>
    <w:rsid w:val="775C6A58"/>
    <w:rsid w:val="776539AA"/>
    <w:rsid w:val="778F13B3"/>
    <w:rsid w:val="779DFE07"/>
    <w:rsid w:val="77A0301C"/>
    <w:rsid w:val="77BD21D3"/>
    <w:rsid w:val="77E767DD"/>
    <w:rsid w:val="77F33794"/>
    <w:rsid w:val="780023D4"/>
    <w:rsid w:val="7801148E"/>
    <w:rsid w:val="782C3DBB"/>
    <w:rsid w:val="78393A29"/>
    <w:rsid w:val="7848584C"/>
    <w:rsid w:val="78785F83"/>
    <w:rsid w:val="78827788"/>
    <w:rsid w:val="78A53DAD"/>
    <w:rsid w:val="78CD2822"/>
    <w:rsid w:val="78CF05C6"/>
    <w:rsid w:val="78D1632A"/>
    <w:rsid w:val="78DF290C"/>
    <w:rsid w:val="78EC6152"/>
    <w:rsid w:val="78F430AA"/>
    <w:rsid w:val="790F5726"/>
    <w:rsid w:val="792B0FFC"/>
    <w:rsid w:val="79402638"/>
    <w:rsid w:val="79523624"/>
    <w:rsid w:val="796F2B78"/>
    <w:rsid w:val="7972547A"/>
    <w:rsid w:val="797C0B92"/>
    <w:rsid w:val="799645C5"/>
    <w:rsid w:val="79A87180"/>
    <w:rsid w:val="79C133A1"/>
    <w:rsid w:val="79D13950"/>
    <w:rsid w:val="79E75CC6"/>
    <w:rsid w:val="79FC5545"/>
    <w:rsid w:val="7A133BB8"/>
    <w:rsid w:val="7A3370A0"/>
    <w:rsid w:val="7A383514"/>
    <w:rsid w:val="7A400AB4"/>
    <w:rsid w:val="7A5753CD"/>
    <w:rsid w:val="7A5775DC"/>
    <w:rsid w:val="7A661AA0"/>
    <w:rsid w:val="7A8200D9"/>
    <w:rsid w:val="7A874AA3"/>
    <w:rsid w:val="7AA92E28"/>
    <w:rsid w:val="7ABC73C2"/>
    <w:rsid w:val="7AD56DAE"/>
    <w:rsid w:val="7ADD3005"/>
    <w:rsid w:val="7AE27E85"/>
    <w:rsid w:val="7B290EDA"/>
    <w:rsid w:val="7B454070"/>
    <w:rsid w:val="7B4C705E"/>
    <w:rsid w:val="7B57583D"/>
    <w:rsid w:val="7B611BCA"/>
    <w:rsid w:val="7B767DD7"/>
    <w:rsid w:val="7B962FC3"/>
    <w:rsid w:val="7B98367B"/>
    <w:rsid w:val="7B9B3B38"/>
    <w:rsid w:val="7BA43687"/>
    <w:rsid w:val="7BB3527E"/>
    <w:rsid w:val="7BBA7FD2"/>
    <w:rsid w:val="7BFE2D60"/>
    <w:rsid w:val="7C022B3C"/>
    <w:rsid w:val="7C17054C"/>
    <w:rsid w:val="7C312E0F"/>
    <w:rsid w:val="7C3628C3"/>
    <w:rsid w:val="7C4F69B0"/>
    <w:rsid w:val="7C560525"/>
    <w:rsid w:val="7C5D5770"/>
    <w:rsid w:val="7C5E0CB8"/>
    <w:rsid w:val="7C6154F8"/>
    <w:rsid w:val="7C6A4A6D"/>
    <w:rsid w:val="7C6D4F06"/>
    <w:rsid w:val="7C7E50C1"/>
    <w:rsid w:val="7C853AEC"/>
    <w:rsid w:val="7C964077"/>
    <w:rsid w:val="7CA02F8F"/>
    <w:rsid w:val="7CAC6336"/>
    <w:rsid w:val="7CB25360"/>
    <w:rsid w:val="7CBD77D8"/>
    <w:rsid w:val="7CD72685"/>
    <w:rsid w:val="7CE41397"/>
    <w:rsid w:val="7CE55CFC"/>
    <w:rsid w:val="7CEB264E"/>
    <w:rsid w:val="7D090754"/>
    <w:rsid w:val="7D0C6083"/>
    <w:rsid w:val="7D1271EA"/>
    <w:rsid w:val="7D2E7A2C"/>
    <w:rsid w:val="7D335DD2"/>
    <w:rsid w:val="7D3E7385"/>
    <w:rsid w:val="7D7841A9"/>
    <w:rsid w:val="7D8C41CA"/>
    <w:rsid w:val="7DAD0196"/>
    <w:rsid w:val="7DD90577"/>
    <w:rsid w:val="7DFD6DB9"/>
    <w:rsid w:val="7E1C7C20"/>
    <w:rsid w:val="7E3B7069"/>
    <w:rsid w:val="7E4846CE"/>
    <w:rsid w:val="7E4C6DE2"/>
    <w:rsid w:val="7E54373E"/>
    <w:rsid w:val="7E617F43"/>
    <w:rsid w:val="7E78490B"/>
    <w:rsid w:val="7E814321"/>
    <w:rsid w:val="7E9341BD"/>
    <w:rsid w:val="7E94757F"/>
    <w:rsid w:val="7EBB42E5"/>
    <w:rsid w:val="7ECE447E"/>
    <w:rsid w:val="7EDA6D1E"/>
    <w:rsid w:val="7EE43DE4"/>
    <w:rsid w:val="7F01196F"/>
    <w:rsid w:val="7F023A2B"/>
    <w:rsid w:val="7F105E96"/>
    <w:rsid w:val="7F2746B1"/>
    <w:rsid w:val="7F2E1C9F"/>
    <w:rsid w:val="7F40645D"/>
    <w:rsid w:val="7F906B47"/>
    <w:rsid w:val="7F994871"/>
    <w:rsid w:val="7FAC60B2"/>
    <w:rsid w:val="7FAD1594"/>
    <w:rsid w:val="7FAD2FA3"/>
    <w:rsid w:val="7FC52D17"/>
    <w:rsid w:val="7FFD6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F90982"/>
  <w15:docId w15:val="{A8816E61-5C65-416B-8BA2-57707B9A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10"/>
    <w:qFormat/>
    <w:pPr>
      <w:jc w:val="left"/>
    </w:pPr>
  </w:style>
  <w:style w:type="paragraph" w:styleId="a6">
    <w:name w:val="Body Text"/>
    <w:basedOn w:val="a"/>
    <w:link w:val="a7"/>
    <w:qFormat/>
    <w:pPr>
      <w:autoSpaceDE w:val="0"/>
      <w:autoSpaceDN w:val="0"/>
      <w:adjustRightInd w:val="0"/>
      <w:spacing w:line="360" w:lineRule="auto"/>
      <w:jc w:val="left"/>
    </w:pPr>
    <w:rPr>
      <w:rFonts w:ascii="宋体"/>
      <w:kern w:val="0"/>
      <w:sz w:val="20"/>
    </w:rPr>
  </w:style>
  <w:style w:type="paragraph" w:styleId="30">
    <w:name w:val="toc 3"/>
    <w:basedOn w:val="a"/>
    <w:next w:val="a"/>
    <w:qFormat/>
    <w:pPr>
      <w:ind w:leftChars="400" w:left="840"/>
    </w:pPr>
  </w:style>
  <w:style w:type="paragraph" w:styleId="a8">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9">
    <w:name w:val="Balloon Text"/>
    <w:basedOn w:val="a"/>
    <w:qFormat/>
    <w:rPr>
      <w:sz w:val="18"/>
    </w:rPr>
  </w:style>
  <w:style w:type="paragraph" w:styleId="aa">
    <w:name w:val="footer"/>
    <w:basedOn w:val="a"/>
    <w:link w:val="ab"/>
    <w:uiPriority w:val="99"/>
    <w:qFormat/>
    <w:pPr>
      <w:tabs>
        <w:tab w:val="center" w:pos="4153"/>
        <w:tab w:val="right" w:pos="8306"/>
      </w:tabs>
      <w:snapToGrid w:val="0"/>
      <w:jc w:val="left"/>
    </w:pPr>
    <w:rPr>
      <w:sz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296"/>
      </w:tabs>
      <w:spacing w:line="360" w:lineRule="auto"/>
    </w:pPr>
  </w:style>
  <w:style w:type="paragraph" w:styleId="ae">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qFormat/>
    <w:pPr>
      <w:spacing w:before="240" w:after="60"/>
      <w:jc w:val="center"/>
      <w:outlineLvl w:val="0"/>
    </w:pPr>
    <w:rPr>
      <w:rFonts w:ascii="Cambria" w:hAnsi="Cambria"/>
      <w:b/>
      <w:sz w:val="32"/>
    </w:rPr>
  </w:style>
  <w:style w:type="paragraph" w:styleId="af2">
    <w:name w:val="annotation subject"/>
    <w:basedOn w:val="a5"/>
    <w:next w:val="a5"/>
    <w:qFormat/>
    <w:rPr>
      <w:b/>
    </w:rPr>
  </w:style>
  <w:style w:type="character" w:styleId="af3">
    <w:name w:val="Strong"/>
    <w:uiPriority w:val="22"/>
    <w:qFormat/>
    <w:rPr>
      <w:b/>
    </w:rPr>
  </w:style>
  <w:style w:type="character" w:styleId="af4">
    <w:name w:val="page number"/>
    <w:basedOn w:val="a0"/>
    <w:qFormat/>
  </w:style>
  <w:style w:type="character" w:styleId="af5">
    <w:name w:val="FollowedHyperlink"/>
    <w:uiPriority w:val="99"/>
    <w:unhideWhenUsed/>
    <w:qFormat/>
    <w:rPr>
      <w:color w:val="800080"/>
      <w:u w:val="single"/>
    </w:rPr>
  </w:style>
  <w:style w:type="character" w:styleId="af6">
    <w:name w:val="Hyperlink"/>
    <w:uiPriority w:val="99"/>
    <w:qFormat/>
    <w:rPr>
      <w:color w:val="0000FF"/>
      <w:u w:val="single"/>
    </w:rPr>
  </w:style>
  <w:style w:type="character" w:styleId="af7">
    <w:name w:val="annotation reference"/>
    <w:uiPriority w:val="99"/>
    <w:qFormat/>
    <w:rPr>
      <w:sz w:val="21"/>
    </w:rPr>
  </w:style>
  <w:style w:type="character" w:styleId="af8">
    <w:name w:val="footnote reference"/>
    <w:qFormat/>
    <w:rPr>
      <w:vertAlign w:val="superscript"/>
    </w:rPr>
  </w:style>
  <w:style w:type="character" w:customStyle="1" w:styleId="ab">
    <w:name w:val="页脚 字符"/>
    <w:link w:val="aa"/>
    <w:uiPriority w:val="99"/>
    <w:qFormat/>
    <w:rPr>
      <w:kern w:val="2"/>
      <w:sz w:val="18"/>
    </w:rPr>
  </w:style>
  <w:style w:type="character" w:customStyle="1" w:styleId="read">
    <w:name w:val="read"/>
    <w:basedOn w:val="a0"/>
    <w:qFormat/>
  </w:style>
  <w:style w:type="character" w:customStyle="1" w:styleId="unnamed11">
    <w:name w:val="unnamed11"/>
    <w:qFormat/>
    <w:rPr>
      <w:rFonts w:ascii="宋体" w:eastAsia="宋体" w:hAnsi="宋体" w:hint="eastAsia"/>
      <w:sz w:val="18"/>
    </w:rPr>
  </w:style>
  <w:style w:type="character" w:customStyle="1" w:styleId="af1">
    <w:name w:val="标题 字符"/>
    <w:link w:val="af0"/>
    <w:qFormat/>
    <w:rPr>
      <w:rFonts w:ascii="Cambria" w:hAnsi="Cambria"/>
      <w:b/>
      <w:kern w:val="2"/>
      <w:sz w:val="32"/>
    </w:rPr>
  </w:style>
  <w:style w:type="character" w:customStyle="1" w:styleId="10">
    <w:name w:val="批注文字 字符1"/>
    <w:link w:val="a5"/>
    <w:qFormat/>
    <w:rPr>
      <w:kern w:val="2"/>
      <w:sz w:val="21"/>
    </w:rPr>
  </w:style>
  <w:style w:type="character" w:customStyle="1" w:styleId="a7">
    <w:name w:val="正文文本 字符"/>
    <w:link w:val="a6"/>
    <w:qFormat/>
    <w:rPr>
      <w:rFonts w:ascii="宋体"/>
    </w:rPr>
  </w:style>
  <w:style w:type="character" w:customStyle="1" w:styleId="ad">
    <w:name w:val="页眉 字符"/>
    <w:link w:val="ac"/>
    <w:qFormat/>
    <w:rPr>
      <w:kern w:val="2"/>
      <w:sz w:val="18"/>
    </w:rPr>
  </w:style>
  <w:style w:type="character" w:customStyle="1" w:styleId="grame">
    <w:name w:val="grame"/>
    <w:basedOn w:val="a0"/>
    <w:qFormat/>
  </w:style>
  <w:style w:type="paragraph" w:customStyle="1" w:styleId="CharCharChar">
    <w:name w:val="Char Char Char"/>
    <w:basedOn w:val="a"/>
    <w:qFormat/>
  </w:style>
  <w:style w:type="paragraph" w:customStyle="1" w:styleId="CharChar">
    <w:name w:val="Char Char"/>
    <w:basedOn w:val="a"/>
    <w:qFormat/>
  </w:style>
  <w:style w:type="paragraph" w:customStyle="1" w:styleId="12">
    <w:name w:val="列出段落1"/>
    <w:basedOn w:val="a"/>
    <w:uiPriority w:val="34"/>
    <w:qFormat/>
    <w:pPr>
      <w:ind w:firstLineChars="200" w:firstLine="420"/>
    </w:pPr>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HD">
    <w:name w:val="HD一级标题"/>
    <w:basedOn w:val="2"/>
    <w:next w:val="HD0"/>
    <w:qFormat/>
    <w:pPr>
      <w:snapToGrid w:val="0"/>
      <w:spacing w:before="0" w:after="0" w:line="415" w:lineRule="auto"/>
      <w:jc w:val="center"/>
    </w:pPr>
    <w:rPr>
      <w:rFonts w:ascii="宋体" w:eastAsia="宋体" w:hAnsi="宋体"/>
      <w:bCs/>
      <w:szCs w:val="32"/>
    </w:rPr>
  </w:style>
  <w:style w:type="paragraph" w:customStyle="1" w:styleId="HD0">
    <w:name w:val="HD正文"/>
    <w:basedOn w:val="a"/>
    <w:qFormat/>
    <w:pPr>
      <w:snapToGrid w:val="0"/>
      <w:spacing w:line="360" w:lineRule="auto"/>
      <w:ind w:firstLineChars="200" w:firstLine="420"/>
    </w:pPr>
    <w:rPr>
      <w:szCs w:val="21"/>
    </w:rPr>
  </w:style>
  <w:style w:type="paragraph" w:customStyle="1" w:styleId="13">
    <w:name w:val="样式1"/>
    <w:basedOn w:val="a"/>
    <w:qFormat/>
    <w:pPr>
      <w:pBdr>
        <w:bottom w:val="single" w:sz="4" w:space="1" w:color="auto"/>
      </w:pBdr>
      <w:jc w:val="right"/>
    </w:pPr>
    <w:rPr>
      <w:color w:val="000000"/>
      <w:sz w:val="18"/>
    </w:rPr>
  </w:style>
  <w:style w:type="paragraph" w:customStyle="1" w:styleId="msonormal1">
    <w:name w:val="msonormal1"/>
    <w:qFormat/>
    <w:pPr>
      <w:widowControl w:val="0"/>
      <w:jc w:val="both"/>
    </w:pPr>
    <w:rPr>
      <w:kern w:val="2"/>
      <w:sz w:val="21"/>
    </w:rPr>
  </w:style>
  <w:style w:type="paragraph" w:customStyle="1" w:styleId="CharCharChar1">
    <w:name w:val="Char Char Char1"/>
    <w:basedOn w:val="a"/>
    <w:qFormat/>
  </w:style>
  <w:style w:type="paragraph" w:customStyle="1" w:styleId="HD1">
    <w:name w:val="HD封面标题"/>
    <w:basedOn w:val="a"/>
    <w:next w:val="a"/>
    <w:qFormat/>
    <w:pPr>
      <w:snapToGrid w:val="0"/>
      <w:spacing w:before="100" w:beforeAutospacing="1" w:after="100" w:afterAutospacing="1" w:line="360" w:lineRule="auto"/>
      <w:jc w:val="center"/>
    </w:pPr>
    <w:rPr>
      <w:b/>
      <w:sz w:val="44"/>
      <w:szCs w:val="22"/>
    </w:rPr>
  </w:style>
  <w:style w:type="paragraph" w:customStyle="1" w:styleId="HD2">
    <w:name w:val="HD居中正文"/>
    <w:basedOn w:val="HD0"/>
    <w:next w:val="HD0"/>
    <w:qFormat/>
    <w:pPr>
      <w:ind w:firstLineChars="0" w:firstLine="0"/>
      <w:jc w:val="center"/>
    </w:pPr>
  </w:style>
  <w:style w:type="paragraph" w:customStyle="1" w:styleId="HD3">
    <w:name w:val="HD封面副标题"/>
    <w:basedOn w:val="HD0"/>
    <w:next w:val="HD0"/>
    <w:qFormat/>
    <w:pPr>
      <w:jc w:val="center"/>
    </w:pPr>
    <w:rPr>
      <w:b/>
      <w:sz w:val="30"/>
    </w:rPr>
  </w:style>
  <w:style w:type="paragraph" w:customStyle="1" w:styleId="af9">
    <w:name w:val="正文所"/>
    <w:basedOn w:val="a"/>
    <w:qFormat/>
    <w:pPr>
      <w:spacing w:line="360" w:lineRule="auto"/>
      <w:ind w:firstLineChars="200" w:firstLine="420"/>
    </w:pPr>
    <w:rPr>
      <w:rFonts w:ascii="宋体"/>
    </w:rPr>
  </w:style>
  <w:style w:type="paragraph" w:customStyle="1" w:styleId="CharCharCharChar">
    <w:name w:val="Char Char Char Char"/>
    <w:basedOn w:val="a"/>
    <w:qFormat/>
    <w:pPr>
      <w:tabs>
        <w:tab w:val="left" w:pos="360"/>
      </w:tabs>
    </w:pPr>
  </w:style>
  <w:style w:type="paragraph" w:customStyle="1" w:styleId="14">
    <w:name w:val="修订1"/>
    <w:uiPriority w:val="99"/>
    <w:unhideWhenUsed/>
    <w:qFormat/>
    <w:rPr>
      <w:kern w:val="2"/>
      <w:sz w:val="21"/>
    </w:rPr>
  </w:style>
  <w:style w:type="paragraph" w:customStyle="1" w:styleId="CharCharChar2">
    <w:name w:val="Char Char Char2"/>
    <w:basedOn w:val="a"/>
    <w:qFormat/>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110">
    <w:name w:val="修订11"/>
    <w:uiPriority w:val="99"/>
    <w:semiHidden/>
    <w:qFormat/>
    <w:rPr>
      <w:kern w:val="2"/>
      <w:sz w:val="21"/>
    </w:rPr>
  </w:style>
  <w:style w:type="paragraph" w:styleId="afa">
    <w:name w:val="List Paragraph"/>
    <w:basedOn w:val="a"/>
    <w:uiPriority w:val="34"/>
    <w:qFormat/>
    <w:pPr>
      <w:ind w:firstLineChars="200" w:firstLine="420"/>
    </w:pPr>
  </w:style>
  <w:style w:type="paragraph" w:customStyle="1" w:styleId="121">
    <w:name w:val="修订121"/>
    <w:uiPriority w:val="99"/>
    <w:unhideWhenUsed/>
    <w:qFormat/>
    <w:rPr>
      <w:kern w:val="2"/>
      <w:sz w:val="21"/>
    </w:rPr>
  </w:style>
  <w:style w:type="paragraph" w:customStyle="1" w:styleId="Char">
    <w:name w:val="Char"/>
    <w:basedOn w:val="a"/>
    <w:qFormat/>
  </w:style>
  <w:style w:type="paragraph" w:customStyle="1" w:styleId="CharChar1">
    <w:name w:val="Char Char1"/>
    <w:basedOn w:val="a"/>
    <w:qFormat/>
  </w:style>
  <w:style w:type="paragraph" w:customStyle="1" w:styleId="21">
    <w:name w:val="修订2"/>
    <w:uiPriority w:val="99"/>
    <w:semiHidden/>
    <w:qFormat/>
    <w:rPr>
      <w:kern w:val="2"/>
      <w:sz w:val="21"/>
    </w:rPr>
  </w:style>
  <w:style w:type="paragraph" w:customStyle="1" w:styleId="CharChar2">
    <w:name w:val="Char Char2"/>
    <w:basedOn w:val="a"/>
    <w:qFormat/>
  </w:style>
  <w:style w:type="paragraph" w:customStyle="1" w:styleId="HD4">
    <w:name w:val="HD正文标题"/>
    <w:basedOn w:val="HD0"/>
    <w:next w:val="HD0"/>
    <w:qFormat/>
    <w:rPr>
      <w:b/>
    </w:rPr>
  </w:style>
  <w:style w:type="paragraph" w:customStyle="1" w:styleId="afb">
    <w:name w:val="正文正文"/>
    <w:basedOn w:val="a"/>
    <w:qFormat/>
    <w:pPr>
      <w:spacing w:afterLines="25" w:line="360" w:lineRule="auto"/>
      <w:ind w:firstLineChars="200" w:firstLine="200"/>
    </w:pPr>
    <w:rPr>
      <w:sz w:val="24"/>
    </w:rPr>
  </w:style>
  <w:style w:type="paragraph" w:customStyle="1" w:styleId="120">
    <w:name w:val="修订12"/>
    <w:uiPriority w:val="99"/>
    <w:semiHidden/>
    <w:qFormat/>
    <w:rPr>
      <w:kern w:val="2"/>
      <w:sz w:val="21"/>
    </w:rPr>
  </w:style>
  <w:style w:type="paragraph" w:customStyle="1" w:styleId="Char1">
    <w:name w:val="Char1"/>
    <w:basedOn w:val="a"/>
    <w:qFormat/>
  </w:style>
  <w:style w:type="paragraph" w:customStyle="1" w:styleId="Listbullet">
    <w:name w:val="List_bullet"/>
    <w:basedOn w:val="a"/>
    <w:qFormat/>
    <w:pPr>
      <w:widowControl/>
      <w:tabs>
        <w:tab w:val="left" w:pos="360"/>
      </w:tabs>
      <w:ind w:left="360" w:hanging="360"/>
      <w:jc w:val="left"/>
    </w:pPr>
    <w:rPr>
      <w:kern w:val="0"/>
      <w:sz w:val="24"/>
    </w:rPr>
  </w:style>
  <w:style w:type="character" w:customStyle="1" w:styleId="afc">
    <w:name w:val="批注文字 字符"/>
    <w:qFormat/>
    <w:rPr>
      <w:kern w:val="2"/>
      <w:sz w:val="21"/>
    </w:rPr>
  </w:style>
  <w:style w:type="character" w:customStyle="1" w:styleId="Char0">
    <w:name w:val="批注文字 Char"/>
    <w:qFormat/>
    <w:rPr>
      <w:kern w:val="2"/>
      <w:sz w:val="21"/>
    </w:rPr>
  </w:style>
  <w:style w:type="paragraph" w:customStyle="1" w:styleId="TOC1">
    <w:name w:val="TOC 标题1"/>
    <w:basedOn w:val="1"/>
    <w:next w:val="a"/>
    <w:uiPriority w:val="39"/>
    <w:semiHidden/>
    <w:unhideWhenUsed/>
    <w:qFormat/>
    <w:pPr>
      <w:spacing w:before="340" w:after="330" w:line="578" w:lineRule="auto"/>
      <w:outlineLvl w:val="9"/>
    </w:pPr>
    <w:rPr>
      <w:rFonts w:ascii="Times New Roman"/>
      <w:bCs/>
      <w:color w:val="auto"/>
      <w:kern w:val="44"/>
      <w:sz w:val="44"/>
      <w:szCs w:val="44"/>
    </w:rPr>
  </w:style>
  <w:style w:type="paragraph" w:customStyle="1" w:styleId="32">
    <w:name w:val="修订3"/>
    <w:hidden/>
    <w:uiPriority w:val="99"/>
    <w:semiHidden/>
    <w:qFormat/>
    <w:rPr>
      <w:kern w:val="2"/>
      <w:sz w:val="21"/>
    </w:rPr>
  </w:style>
  <w:style w:type="paragraph" w:styleId="afd">
    <w:name w:val="Revision"/>
    <w:hidden/>
    <w:uiPriority w:val="99"/>
    <w:semiHidden/>
    <w:rsid w:val="00F5544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DC7A0F24-728A-4BD4-A563-02C12AD96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114</Pages>
  <Words>11654</Words>
  <Characters>66433</Characters>
  <Application>Microsoft Office Word</Application>
  <DocSecurity>0</DocSecurity>
  <Lines>553</Lines>
  <Paragraphs>155</Paragraphs>
  <ScaleCrop>false</ScaleCrop>
  <Company>yhfund</Company>
  <LinksUpToDate>false</LinksUpToDate>
  <CharactersWithSpaces>77932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何元媛</dc:creator>
  <cp:lastModifiedBy>郑翔</cp:lastModifiedBy>
  <cp:revision>97</cp:revision>
  <cp:lastPrinted>2026-06-23T03:45:00Z</cp:lastPrinted>
  <dcterms:created xsi:type="dcterms:W3CDTF">2025-10-11T00:02:00Z</dcterms:created>
  <dcterms:modified xsi:type="dcterms:W3CDTF">2026-07-13T07:05:00Z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contractId">
    <vt:lpwstr>3a1ddc21d7e2421399add055856f0429</vt:lpwstr>
  </property>
  <property fmtid="{D5CDD505-2E9C-101B-9397-08002B2CF9AE}" pid="4" name="verificationId">
    <vt:lpwstr>8bc8df13764a239d</vt:lpwstr>
  </property>
  <property fmtid="{D5CDD505-2E9C-101B-9397-08002B2CF9AE}" pid="5" name="ICV">
    <vt:lpwstr>95AEDBC19D1F4560BAA719AE71B9AD63</vt:lpwstr>
  </property>
  <property fmtid="{D5CDD505-2E9C-101B-9397-08002B2CF9AE}" pid="6" name="KSOTemplateDocerSaveRecord">
    <vt:lpwstr>eyJoZGlkIjoiNDQ0ZWQxNjM1M2JmOWExZjUxOWY5MDUxNGJjOThiOTUiLCJ1c2VySWQiOiIyNTA3NDA1MTEifQ==</vt:lpwstr>
  </property>
</Properties>
</file>