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header4.xml" ContentType="application/vnd.openxmlformats-officedocument.wordprocessingml.header+xml"/>
  <Override PartName="/word/footer22.xml" ContentType="application/vnd.openxmlformats-officedocument.wordprocessingml.footer+xml"/>
  <Override PartName="/word/header5.xml" ContentType="application/vnd.openxmlformats-officedocument.wordprocessingml.head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AB1A39" w14:textId="77777777" w:rsidR="005039DD" w:rsidRDefault="005039DD">
      <w:pPr>
        <w:spacing w:line="360" w:lineRule="auto"/>
        <w:jc w:val="center"/>
        <w:rPr>
          <w:rFonts w:ascii="仿宋_GB2312" w:eastAsia="仿宋_GB2312"/>
          <w:sz w:val="28"/>
          <w:szCs w:val="28"/>
        </w:rPr>
      </w:pPr>
      <w:bookmarkStart w:id="0" w:name="_Hlk96416505"/>
    </w:p>
    <w:p w14:paraId="7919A16B" w14:textId="77777777" w:rsidR="005039DD" w:rsidRDefault="005039DD">
      <w:pPr>
        <w:spacing w:line="360" w:lineRule="auto"/>
        <w:jc w:val="center"/>
        <w:rPr>
          <w:bCs/>
          <w:sz w:val="24"/>
        </w:rPr>
      </w:pPr>
    </w:p>
    <w:p w14:paraId="67528639" w14:textId="77777777" w:rsidR="005039DD" w:rsidRDefault="005039DD">
      <w:pPr>
        <w:jc w:val="center"/>
        <w:rPr>
          <w:b/>
          <w:sz w:val="52"/>
        </w:rPr>
      </w:pPr>
    </w:p>
    <w:p w14:paraId="63F42F51" w14:textId="77777777" w:rsidR="005039DD" w:rsidRPr="002C2B23" w:rsidRDefault="0040620F">
      <w:pPr>
        <w:jc w:val="center"/>
        <w:rPr>
          <w:b/>
          <w:sz w:val="52"/>
          <w:lang w:eastAsia="zh-CN"/>
        </w:rPr>
      </w:pPr>
      <w:r w:rsidRPr="002C2B23">
        <w:rPr>
          <w:rFonts w:hint="eastAsia"/>
          <w:b/>
          <w:sz w:val="52"/>
          <w:lang w:eastAsia="zh-CN"/>
        </w:rPr>
        <w:t>红土创新</w:t>
      </w:r>
      <w:r w:rsidRPr="002C2B23">
        <w:rPr>
          <w:b/>
          <w:sz w:val="52"/>
          <w:lang w:eastAsia="zh-CN"/>
        </w:rPr>
        <w:t>基金管理有限公司</w:t>
      </w:r>
    </w:p>
    <w:p w14:paraId="29C824DF" w14:textId="77777777" w:rsidR="005039DD" w:rsidRPr="002C2B23" w:rsidRDefault="005039DD">
      <w:pPr>
        <w:rPr>
          <w:b/>
          <w:lang w:eastAsia="zh-CN"/>
        </w:rPr>
      </w:pPr>
    </w:p>
    <w:p w14:paraId="7E3B4ECF" w14:textId="77777777" w:rsidR="005039DD" w:rsidRPr="002C2B23" w:rsidRDefault="005039DD">
      <w:pPr>
        <w:jc w:val="center"/>
        <w:rPr>
          <w:b/>
          <w:sz w:val="52"/>
          <w:lang w:eastAsia="zh-CN"/>
        </w:rPr>
      </w:pPr>
    </w:p>
    <w:p w14:paraId="444B4632" w14:textId="77777777" w:rsidR="005039DD" w:rsidRPr="002C2B23" w:rsidRDefault="0040620F">
      <w:pPr>
        <w:spacing w:line="360" w:lineRule="auto"/>
        <w:jc w:val="center"/>
        <w:rPr>
          <w:b/>
          <w:sz w:val="48"/>
          <w:lang w:eastAsia="zh-CN"/>
        </w:rPr>
      </w:pPr>
      <w:bookmarkStart w:id="1" w:name="_Toc123112262"/>
      <w:bookmarkStart w:id="2" w:name="_Toc123112223"/>
      <w:bookmarkStart w:id="3" w:name="_Toc123701382"/>
      <w:bookmarkStart w:id="4" w:name="_Toc139992300"/>
      <w:bookmarkStart w:id="5" w:name="_Toc139991725"/>
      <w:r w:rsidRPr="002C2B23">
        <w:rPr>
          <w:b/>
          <w:sz w:val="48"/>
          <w:lang w:eastAsia="zh-CN"/>
        </w:rPr>
        <w:t>红土创新领航智选混合型证券投资基金</w:t>
      </w:r>
    </w:p>
    <w:p w14:paraId="16D0D4B1" w14:textId="0879DB0C" w:rsidR="005039DD" w:rsidRPr="002C2B23" w:rsidRDefault="0040620F">
      <w:pPr>
        <w:spacing w:line="360" w:lineRule="auto"/>
        <w:jc w:val="center"/>
        <w:rPr>
          <w:b/>
          <w:sz w:val="48"/>
          <w:lang w:eastAsia="zh-CN"/>
        </w:rPr>
      </w:pPr>
      <w:r w:rsidRPr="002C2B23">
        <w:rPr>
          <w:b/>
          <w:sz w:val="48"/>
          <w:lang w:eastAsia="zh-CN"/>
        </w:rPr>
        <w:t>基金合同</w:t>
      </w:r>
      <w:bookmarkEnd w:id="1"/>
      <w:bookmarkEnd w:id="2"/>
      <w:bookmarkEnd w:id="3"/>
      <w:bookmarkEnd w:id="4"/>
      <w:bookmarkEnd w:id="5"/>
    </w:p>
    <w:p w14:paraId="647C4CAF" w14:textId="33E7BD87" w:rsidR="005039DD" w:rsidRPr="002C2B23" w:rsidRDefault="005039DD">
      <w:pPr>
        <w:spacing w:line="360" w:lineRule="auto"/>
        <w:jc w:val="center"/>
        <w:rPr>
          <w:b/>
          <w:sz w:val="48"/>
          <w:lang w:eastAsia="zh-CN"/>
        </w:rPr>
      </w:pPr>
    </w:p>
    <w:p w14:paraId="0F96D33B" w14:textId="77777777" w:rsidR="005039DD" w:rsidRPr="002C2B23" w:rsidRDefault="005039DD">
      <w:pPr>
        <w:spacing w:line="360" w:lineRule="auto"/>
        <w:jc w:val="center"/>
        <w:rPr>
          <w:b/>
          <w:sz w:val="52"/>
          <w:lang w:eastAsia="zh-CN"/>
        </w:rPr>
      </w:pPr>
    </w:p>
    <w:p w14:paraId="2832495D" w14:textId="77777777" w:rsidR="005039DD" w:rsidRPr="002C2B23" w:rsidRDefault="005039DD">
      <w:pPr>
        <w:spacing w:line="360" w:lineRule="auto"/>
        <w:jc w:val="center"/>
        <w:rPr>
          <w:b/>
          <w:sz w:val="52"/>
          <w:lang w:eastAsia="zh-CN"/>
        </w:rPr>
      </w:pPr>
    </w:p>
    <w:p w14:paraId="2C3540D7" w14:textId="77777777" w:rsidR="005039DD" w:rsidRPr="002C2B23" w:rsidRDefault="005039DD">
      <w:pPr>
        <w:spacing w:line="360" w:lineRule="auto"/>
        <w:rPr>
          <w:b/>
          <w:lang w:eastAsia="zh-CN"/>
        </w:rPr>
      </w:pPr>
    </w:p>
    <w:p w14:paraId="12053999" w14:textId="77777777" w:rsidR="005039DD" w:rsidRPr="002C2B23" w:rsidRDefault="0040620F">
      <w:pPr>
        <w:spacing w:line="360" w:lineRule="auto"/>
        <w:jc w:val="center"/>
        <w:rPr>
          <w:b/>
          <w:sz w:val="36"/>
          <w:lang w:eastAsia="zh-CN"/>
        </w:rPr>
      </w:pPr>
      <w:bookmarkStart w:id="6" w:name="_Toc123112263"/>
      <w:bookmarkStart w:id="7" w:name="_Toc139991726"/>
      <w:bookmarkStart w:id="8" w:name="_Toc123112224"/>
      <w:bookmarkStart w:id="9" w:name="_Toc123701383"/>
      <w:bookmarkStart w:id="10" w:name="_Toc139992301"/>
      <w:r w:rsidRPr="002C2B23">
        <w:rPr>
          <w:b/>
          <w:sz w:val="36"/>
          <w:lang w:eastAsia="zh-CN"/>
        </w:rPr>
        <w:t>基金管理人：</w:t>
      </w:r>
      <w:bookmarkEnd w:id="6"/>
      <w:bookmarkEnd w:id="7"/>
      <w:bookmarkEnd w:id="8"/>
      <w:bookmarkEnd w:id="9"/>
      <w:bookmarkEnd w:id="10"/>
      <w:r w:rsidRPr="002C2B23">
        <w:rPr>
          <w:b/>
          <w:sz w:val="36"/>
          <w:lang w:eastAsia="zh-CN"/>
        </w:rPr>
        <w:t>红土创新基金管理有限公司</w:t>
      </w:r>
      <w:r w:rsidRPr="002C2B23">
        <w:rPr>
          <w:b/>
          <w:sz w:val="36"/>
          <w:lang w:eastAsia="zh-CN"/>
        </w:rPr>
        <w:t xml:space="preserve"> </w:t>
      </w:r>
    </w:p>
    <w:p w14:paraId="6D7F4C9D" w14:textId="77777777" w:rsidR="005039DD" w:rsidRPr="002C2B23" w:rsidRDefault="0040620F">
      <w:pPr>
        <w:spacing w:line="360" w:lineRule="auto"/>
        <w:jc w:val="center"/>
        <w:rPr>
          <w:b/>
          <w:sz w:val="36"/>
          <w:lang w:eastAsia="zh-CN"/>
        </w:rPr>
      </w:pPr>
      <w:bookmarkStart w:id="11" w:name="_Toc139992302"/>
      <w:bookmarkStart w:id="12" w:name="_Toc139991727"/>
      <w:bookmarkStart w:id="13" w:name="_Toc123701384"/>
      <w:bookmarkStart w:id="14" w:name="_Toc123112264"/>
      <w:bookmarkStart w:id="15" w:name="_Toc123112225"/>
      <w:r w:rsidRPr="002C2B23">
        <w:rPr>
          <w:b/>
          <w:sz w:val="36"/>
          <w:lang w:eastAsia="zh-CN"/>
        </w:rPr>
        <w:t>基金托管人：</w:t>
      </w:r>
      <w:bookmarkEnd w:id="11"/>
      <w:bookmarkEnd w:id="12"/>
      <w:bookmarkEnd w:id="13"/>
      <w:bookmarkEnd w:id="14"/>
      <w:bookmarkEnd w:id="15"/>
      <w:r w:rsidRPr="002C2B23">
        <w:rPr>
          <w:b/>
          <w:sz w:val="36"/>
          <w:lang w:eastAsia="zh-CN"/>
        </w:rPr>
        <w:t>中国建设银行股份有限公司</w:t>
      </w:r>
    </w:p>
    <w:p w14:paraId="47AB1F6A" w14:textId="77777777" w:rsidR="005039DD" w:rsidRPr="002C2B23" w:rsidRDefault="005039DD">
      <w:pPr>
        <w:jc w:val="center"/>
        <w:rPr>
          <w:bCs/>
          <w:sz w:val="32"/>
          <w:lang w:eastAsia="zh-CN"/>
        </w:rPr>
      </w:pPr>
    </w:p>
    <w:p w14:paraId="0AE1136E" w14:textId="77777777" w:rsidR="005039DD" w:rsidRPr="002C2B23" w:rsidRDefault="005039DD">
      <w:pPr>
        <w:jc w:val="center"/>
        <w:rPr>
          <w:bCs/>
          <w:sz w:val="28"/>
          <w:lang w:eastAsia="zh-CN"/>
        </w:rPr>
      </w:pPr>
      <w:bookmarkStart w:id="16" w:name="_Toc123112227"/>
      <w:bookmarkStart w:id="17" w:name="_Toc123112266"/>
      <w:bookmarkStart w:id="18" w:name="_Toc123701386"/>
      <w:bookmarkStart w:id="19" w:name="_Toc139991729"/>
    </w:p>
    <w:p w14:paraId="77B32857" w14:textId="77777777" w:rsidR="005039DD" w:rsidRPr="002C2B23" w:rsidRDefault="005039DD">
      <w:pPr>
        <w:jc w:val="center"/>
        <w:rPr>
          <w:bCs/>
          <w:sz w:val="28"/>
          <w:lang w:eastAsia="zh-CN"/>
        </w:rPr>
      </w:pPr>
    </w:p>
    <w:p w14:paraId="5F34A419" w14:textId="74B51532" w:rsidR="005039DD" w:rsidRPr="002C2B23" w:rsidRDefault="0040620F">
      <w:pPr>
        <w:jc w:val="center"/>
        <w:rPr>
          <w:bCs/>
          <w:sz w:val="28"/>
          <w:lang w:eastAsia="zh-CN"/>
        </w:rPr>
        <w:sectPr w:rsidR="005039DD" w:rsidRPr="002C2B23">
          <w:headerReference w:type="default" r:id="rId8"/>
          <w:footerReference w:type="default" r:id="rId9"/>
          <w:footerReference w:type="first" r:id="rId10"/>
          <w:pgSz w:w="12240" w:h="15840"/>
          <w:pgMar w:top="1440" w:right="1800" w:bottom="1440" w:left="1800" w:header="720" w:footer="720" w:gutter="0"/>
          <w:cols w:space="720"/>
          <w:titlePg/>
          <w:docGrid w:linePitch="312"/>
        </w:sectPr>
      </w:pPr>
      <w:r w:rsidRPr="002C2B23">
        <w:rPr>
          <w:rFonts w:ascii="宋体"/>
          <w:b/>
          <w:bCs/>
          <w:sz w:val="30"/>
          <w:lang w:eastAsia="zh-CN"/>
        </w:rPr>
        <w:t>二</w:t>
      </w:r>
      <w:r w:rsidRPr="002C2B23">
        <w:rPr>
          <w:rFonts w:ascii="宋体" w:hint="eastAsia"/>
          <w:b/>
          <w:bCs/>
          <w:sz w:val="30"/>
          <w:lang w:eastAsia="zh-CN"/>
        </w:rPr>
        <w:t>〇</w:t>
      </w:r>
      <w:r w:rsidRPr="002C2B23">
        <w:rPr>
          <w:rFonts w:ascii="宋体"/>
          <w:b/>
          <w:bCs/>
          <w:sz w:val="30"/>
          <w:lang w:eastAsia="zh-CN"/>
        </w:rPr>
        <w:t>二</w:t>
      </w:r>
      <w:r w:rsidRPr="002C2B23">
        <w:rPr>
          <w:rFonts w:ascii="宋体" w:hint="eastAsia"/>
          <w:b/>
          <w:bCs/>
          <w:sz w:val="30"/>
          <w:lang w:eastAsia="zh-CN"/>
        </w:rPr>
        <w:t>六</w:t>
      </w:r>
      <w:r w:rsidRPr="002C2B23">
        <w:rPr>
          <w:rFonts w:ascii="宋体"/>
          <w:b/>
          <w:bCs/>
          <w:sz w:val="30"/>
          <w:lang w:eastAsia="zh-CN"/>
        </w:rPr>
        <w:t>年</w:t>
      </w:r>
      <w:r w:rsidR="00CA5A3A">
        <w:rPr>
          <w:rFonts w:ascii="宋体" w:hint="eastAsia"/>
          <w:b/>
          <w:bCs/>
          <w:sz w:val="30"/>
          <w:lang w:eastAsia="zh-CN"/>
        </w:rPr>
        <w:t>九</w:t>
      </w:r>
      <w:r w:rsidRPr="002C2B23">
        <w:rPr>
          <w:rFonts w:ascii="宋体"/>
          <w:b/>
          <w:bCs/>
          <w:sz w:val="30"/>
          <w:lang w:eastAsia="zh-CN"/>
        </w:rPr>
        <w:t>月</w:t>
      </w:r>
    </w:p>
    <w:p w14:paraId="01884367" w14:textId="52DF6963" w:rsidR="005039DD" w:rsidRPr="002C2B23" w:rsidRDefault="0040620F">
      <w:pPr>
        <w:jc w:val="center"/>
        <w:rPr>
          <w:b/>
          <w:sz w:val="28"/>
          <w:lang w:eastAsia="zh-CN"/>
        </w:rPr>
      </w:pPr>
      <w:r w:rsidRPr="002C2B23">
        <w:rPr>
          <w:b/>
          <w:sz w:val="28"/>
          <w:lang w:eastAsia="zh-CN"/>
        </w:rPr>
        <w:lastRenderedPageBreak/>
        <w:t>目</w:t>
      </w:r>
      <w:r w:rsidRPr="002C2B23">
        <w:rPr>
          <w:b/>
          <w:sz w:val="28"/>
          <w:lang w:eastAsia="zh-CN"/>
        </w:rPr>
        <w:t xml:space="preserve">    </w:t>
      </w:r>
      <w:r w:rsidRPr="002C2B23">
        <w:rPr>
          <w:b/>
          <w:sz w:val="28"/>
          <w:lang w:eastAsia="zh-CN"/>
        </w:rPr>
        <w:t>录</w:t>
      </w:r>
      <w:bookmarkEnd w:id="16"/>
      <w:bookmarkEnd w:id="17"/>
      <w:bookmarkEnd w:id="18"/>
      <w:bookmarkEnd w:id="19"/>
    </w:p>
    <w:p w14:paraId="638E849B" w14:textId="77777777" w:rsidR="005039DD" w:rsidRPr="002C2B23" w:rsidRDefault="005039DD">
      <w:pPr>
        <w:jc w:val="center"/>
        <w:rPr>
          <w:bCs/>
          <w:sz w:val="28"/>
          <w:lang w:eastAsia="zh-CN"/>
        </w:rPr>
      </w:pPr>
    </w:p>
    <w:bookmarkStart w:id="20" w:name="_Toc8727"/>
    <w:bookmarkStart w:id="21" w:name="_Toc26897"/>
    <w:bookmarkStart w:id="22" w:name="_Toc139991730"/>
    <w:bookmarkStart w:id="23" w:name="_Toc29629"/>
    <w:bookmarkStart w:id="24" w:name="_Toc15517"/>
    <w:bookmarkStart w:id="25" w:name="_Toc23386"/>
    <w:bookmarkStart w:id="26" w:name="_Toc6306"/>
    <w:bookmarkStart w:id="27" w:name="_Toc4867"/>
    <w:bookmarkStart w:id="28" w:name="_Toc32639"/>
    <w:bookmarkStart w:id="29" w:name="_Toc30935"/>
    <w:bookmarkStart w:id="30" w:name="_Toc141703880"/>
    <w:bookmarkStart w:id="31" w:name="_Toc4966"/>
    <w:bookmarkStart w:id="32" w:name="_Toc123112268"/>
    <w:bookmarkStart w:id="33" w:name="_Toc123701389"/>
    <w:bookmarkStart w:id="34" w:name="_Toc123112229"/>
    <w:bookmarkStart w:id="35" w:name="_Toc233456271"/>
    <w:p w14:paraId="6D82255E" w14:textId="0EFB953E" w:rsidR="005039DD" w:rsidRPr="002C2B23" w:rsidRDefault="0040620F">
      <w:pPr>
        <w:pStyle w:val="1"/>
        <w:rPr>
          <w:rFonts w:ascii="宋体" w:hAnsi="宋体" w:cstheme="minorBidi"/>
          <w:noProof/>
          <w:kern w:val="2"/>
          <w:sz w:val="24"/>
          <w:szCs w:val="24"/>
          <w:lang w:eastAsia="zh-CN" w:bidi="ar-SA"/>
        </w:rPr>
      </w:pPr>
      <w:r w:rsidRPr="002C2B23">
        <w:rPr>
          <w:rFonts w:ascii="宋体" w:hAnsi="宋体"/>
          <w:b/>
          <w:sz w:val="24"/>
          <w:szCs w:val="24"/>
        </w:rPr>
        <w:fldChar w:fldCharType="begin"/>
      </w:r>
      <w:r w:rsidRPr="002C2B23">
        <w:rPr>
          <w:rFonts w:ascii="宋体" w:hAnsi="宋体"/>
          <w:b/>
          <w:bCs/>
          <w:sz w:val="24"/>
          <w:szCs w:val="24"/>
        </w:rPr>
        <w:instrText xml:space="preserve"> TOC \o "1-1" \h \z \u </w:instrText>
      </w:r>
      <w:r w:rsidRPr="002C2B23">
        <w:rPr>
          <w:rFonts w:ascii="宋体" w:hAnsi="宋体"/>
          <w:b/>
          <w:sz w:val="24"/>
          <w:szCs w:val="24"/>
        </w:rPr>
        <w:fldChar w:fldCharType="separate"/>
      </w:r>
      <w:hyperlink w:anchor="_Toc109141361" w:history="1">
        <w:r w:rsidRPr="002C2B23">
          <w:rPr>
            <w:rStyle w:val="aff"/>
            <w:rFonts w:ascii="宋体" w:hAnsi="宋体"/>
            <w:noProof/>
            <w:sz w:val="24"/>
            <w:szCs w:val="24"/>
            <w:lang w:eastAsia="zh-CN"/>
          </w:rPr>
          <w:t>第一部分  前言</w:t>
        </w:r>
        <w:r w:rsidRPr="002C2B23">
          <w:rPr>
            <w:rFonts w:ascii="宋体" w:hAnsi="宋体"/>
            <w:noProof/>
            <w:sz w:val="24"/>
            <w:szCs w:val="24"/>
          </w:rPr>
          <w:tab/>
        </w:r>
        <w:r w:rsidRPr="002C2B23">
          <w:rPr>
            <w:rFonts w:ascii="宋体" w:hAnsi="宋体"/>
            <w:noProof/>
            <w:sz w:val="24"/>
            <w:szCs w:val="24"/>
          </w:rPr>
          <w:fldChar w:fldCharType="begin"/>
        </w:r>
        <w:r w:rsidRPr="002C2B23">
          <w:rPr>
            <w:rFonts w:ascii="宋体" w:hAnsi="宋体"/>
            <w:noProof/>
            <w:sz w:val="24"/>
            <w:szCs w:val="24"/>
          </w:rPr>
          <w:instrText xml:space="preserve"> PAGEREF _Toc109141361 \h </w:instrText>
        </w:r>
        <w:r w:rsidRPr="002C2B23">
          <w:rPr>
            <w:rFonts w:ascii="宋体" w:hAnsi="宋体"/>
            <w:noProof/>
            <w:sz w:val="24"/>
            <w:szCs w:val="24"/>
          </w:rPr>
        </w:r>
        <w:r w:rsidRPr="002C2B23">
          <w:rPr>
            <w:rFonts w:ascii="宋体" w:hAnsi="宋体"/>
            <w:noProof/>
            <w:sz w:val="24"/>
            <w:szCs w:val="24"/>
          </w:rPr>
          <w:fldChar w:fldCharType="separate"/>
        </w:r>
        <w:r w:rsidR="00CA7E78">
          <w:rPr>
            <w:rFonts w:ascii="宋体" w:hAnsi="宋体"/>
            <w:noProof/>
            <w:sz w:val="24"/>
            <w:szCs w:val="24"/>
          </w:rPr>
          <w:t>3</w:t>
        </w:r>
        <w:r w:rsidRPr="002C2B23">
          <w:rPr>
            <w:rFonts w:ascii="宋体" w:hAnsi="宋体"/>
            <w:noProof/>
            <w:sz w:val="24"/>
            <w:szCs w:val="24"/>
          </w:rPr>
          <w:fldChar w:fldCharType="end"/>
        </w:r>
      </w:hyperlink>
    </w:p>
    <w:p w14:paraId="34E08481" w14:textId="0D19FC79" w:rsidR="005039DD" w:rsidRPr="002C2B23" w:rsidRDefault="00507226">
      <w:pPr>
        <w:pStyle w:val="1"/>
        <w:rPr>
          <w:rFonts w:ascii="宋体" w:hAnsi="宋体" w:cstheme="minorBidi"/>
          <w:noProof/>
          <w:kern w:val="2"/>
          <w:sz w:val="24"/>
          <w:szCs w:val="24"/>
          <w:lang w:eastAsia="zh-CN" w:bidi="ar-SA"/>
        </w:rPr>
      </w:pPr>
      <w:hyperlink w:anchor="_Toc109141362" w:history="1">
        <w:r w:rsidR="0040620F" w:rsidRPr="002C2B23">
          <w:rPr>
            <w:rStyle w:val="aff"/>
            <w:rFonts w:ascii="宋体" w:hAnsi="宋体"/>
            <w:noProof/>
            <w:sz w:val="24"/>
            <w:szCs w:val="24"/>
            <w:lang w:eastAsia="zh-CN"/>
          </w:rPr>
          <w:t>第二部分  释义</w:t>
        </w:r>
        <w:r w:rsidR="0040620F" w:rsidRPr="002C2B23">
          <w:rPr>
            <w:rFonts w:ascii="宋体" w:hAnsi="宋体"/>
            <w:noProof/>
            <w:sz w:val="24"/>
            <w:szCs w:val="24"/>
          </w:rPr>
          <w:tab/>
        </w:r>
        <w:r w:rsidR="0040620F" w:rsidRPr="002C2B23">
          <w:rPr>
            <w:rFonts w:ascii="宋体" w:hAnsi="宋体"/>
            <w:noProof/>
            <w:sz w:val="24"/>
            <w:szCs w:val="24"/>
          </w:rPr>
          <w:fldChar w:fldCharType="begin"/>
        </w:r>
        <w:r w:rsidR="0040620F" w:rsidRPr="002C2B23">
          <w:rPr>
            <w:rFonts w:ascii="宋体" w:hAnsi="宋体"/>
            <w:noProof/>
            <w:sz w:val="24"/>
            <w:szCs w:val="24"/>
          </w:rPr>
          <w:instrText xml:space="preserve"> PAGEREF _Toc109141362 \h </w:instrText>
        </w:r>
        <w:r w:rsidR="0040620F" w:rsidRPr="002C2B23">
          <w:rPr>
            <w:rFonts w:ascii="宋体" w:hAnsi="宋体"/>
            <w:noProof/>
            <w:sz w:val="24"/>
            <w:szCs w:val="24"/>
          </w:rPr>
        </w:r>
        <w:r w:rsidR="0040620F" w:rsidRPr="002C2B23">
          <w:rPr>
            <w:rFonts w:ascii="宋体" w:hAnsi="宋体"/>
            <w:noProof/>
            <w:sz w:val="24"/>
            <w:szCs w:val="24"/>
          </w:rPr>
          <w:fldChar w:fldCharType="separate"/>
        </w:r>
        <w:r w:rsidR="00CA7E78">
          <w:rPr>
            <w:rFonts w:ascii="宋体" w:hAnsi="宋体"/>
            <w:noProof/>
            <w:sz w:val="24"/>
            <w:szCs w:val="24"/>
          </w:rPr>
          <w:t>6</w:t>
        </w:r>
        <w:r w:rsidR="0040620F" w:rsidRPr="002C2B23">
          <w:rPr>
            <w:rFonts w:ascii="宋体" w:hAnsi="宋体"/>
            <w:noProof/>
            <w:sz w:val="24"/>
            <w:szCs w:val="24"/>
          </w:rPr>
          <w:fldChar w:fldCharType="end"/>
        </w:r>
      </w:hyperlink>
    </w:p>
    <w:p w14:paraId="24481E5C" w14:textId="03F4A16D" w:rsidR="005039DD" w:rsidRPr="002C2B23" w:rsidRDefault="00507226">
      <w:pPr>
        <w:pStyle w:val="1"/>
        <w:rPr>
          <w:rFonts w:ascii="宋体" w:hAnsi="宋体" w:cstheme="minorBidi"/>
          <w:noProof/>
          <w:kern w:val="2"/>
          <w:sz w:val="24"/>
          <w:szCs w:val="24"/>
          <w:lang w:eastAsia="zh-CN" w:bidi="ar-SA"/>
        </w:rPr>
      </w:pPr>
      <w:hyperlink w:anchor="_Toc109141363" w:history="1">
        <w:r w:rsidR="0040620F" w:rsidRPr="002C2B23">
          <w:rPr>
            <w:rStyle w:val="aff"/>
            <w:rFonts w:ascii="宋体" w:hAnsi="宋体"/>
            <w:noProof/>
            <w:sz w:val="24"/>
            <w:szCs w:val="24"/>
            <w:lang w:eastAsia="zh-CN"/>
          </w:rPr>
          <w:t>第三部分  基金的基本情况</w:t>
        </w:r>
        <w:r w:rsidR="0040620F" w:rsidRPr="002C2B23">
          <w:rPr>
            <w:rFonts w:ascii="宋体" w:hAnsi="宋体"/>
            <w:noProof/>
            <w:sz w:val="24"/>
            <w:szCs w:val="24"/>
          </w:rPr>
          <w:tab/>
        </w:r>
        <w:r w:rsidR="0040620F" w:rsidRPr="002C2B23">
          <w:rPr>
            <w:rFonts w:ascii="宋体" w:hAnsi="宋体"/>
            <w:noProof/>
            <w:sz w:val="24"/>
            <w:szCs w:val="24"/>
          </w:rPr>
          <w:fldChar w:fldCharType="begin"/>
        </w:r>
        <w:r w:rsidR="0040620F" w:rsidRPr="002C2B23">
          <w:rPr>
            <w:rFonts w:ascii="宋体" w:hAnsi="宋体"/>
            <w:noProof/>
            <w:sz w:val="24"/>
            <w:szCs w:val="24"/>
          </w:rPr>
          <w:instrText xml:space="preserve"> PAGEREF _Toc109141363 \h </w:instrText>
        </w:r>
        <w:r w:rsidR="0040620F" w:rsidRPr="002C2B23">
          <w:rPr>
            <w:rFonts w:ascii="宋体" w:hAnsi="宋体"/>
            <w:noProof/>
            <w:sz w:val="24"/>
            <w:szCs w:val="24"/>
          </w:rPr>
        </w:r>
        <w:r w:rsidR="0040620F" w:rsidRPr="002C2B23">
          <w:rPr>
            <w:rFonts w:ascii="宋体" w:hAnsi="宋体"/>
            <w:noProof/>
            <w:sz w:val="24"/>
            <w:szCs w:val="24"/>
          </w:rPr>
          <w:fldChar w:fldCharType="separate"/>
        </w:r>
        <w:r w:rsidR="00CA7E78">
          <w:rPr>
            <w:rFonts w:ascii="宋体" w:hAnsi="宋体"/>
            <w:noProof/>
            <w:sz w:val="24"/>
            <w:szCs w:val="24"/>
          </w:rPr>
          <w:t>12</w:t>
        </w:r>
        <w:r w:rsidR="0040620F" w:rsidRPr="002C2B23">
          <w:rPr>
            <w:rFonts w:ascii="宋体" w:hAnsi="宋体"/>
            <w:noProof/>
            <w:sz w:val="24"/>
            <w:szCs w:val="24"/>
          </w:rPr>
          <w:fldChar w:fldCharType="end"/>
        </w:r>
      </w:hyperlink>
    </w:p>
    <w:p w14:paraId="7DC16C8F" w14:textId="16C21105" w:rsidR="005039DD" w:rsidRPr="002C2B23" w:rsidRDefault="00507226">
      <w:pPr>
        <w:pStyle w:val="1"/>
        <w:rPr>
          <w:rFonts w:ascii="宋体" w:hAnsi="宋体" w:cstheme="minorBidi"/>
          <w:noProof/>
          <w:kern w:val="2"/>
          <w:sz w:val="24"/>
          <w:szCs w:val="24"/>
          <w:lang w:eastAsia="zh-CN" w:bidi="ar-SA"/>
        </w:rPr>
      </w:pPr>
      <w:hyperlink w:anchor="_Toc109141364" w:history="1">
        <w:r w:rsidR="0040620F" w:rsidRPr="002C2B23">
          <w:rPr>
            <w:rStyle w:val="aff"/>
            <w:rFonts w:ascii="宋体" w:hAnsi="宋体"/>
            <w:noProof/>
            <w:sz w:val="24"/>
            <w:szCs w:val="24"/>
            <w:lang w:eastAsia="zh-CN"/>
          </w:rPr>
          <w:t>第四部分  基金份额的发售</w:t>
        </w:r>
        <w:r w:rsidR="0040620F" w:rsidRPr="002C2B23">
          <w:rPr>
            <w:rFonts w:ascii="宋体" w:hAnsi="宋体"/>
            <w:noProof/>
            <w:sz w:val="24"/>
            <w:szCs w:val="24"/>
          </w:rPr>
          <w:tab/>
        </w:r>
        <w:r w:rsidR="0040620F" w:rsidRPr="002C2B23">
          <w:rPr>
            <w:rFonts w:ascii="宋体" w:hAnsi="宋体"/>
            <w:noProof/>
            <w:sz w:val="24"/>
            <w:szCs w:val="24"/>
          </w:rPr>
          <w:fldChar w:fldCharType="begin"/>
        </w:r>
        <w:r w:rsidR="0040620F" w:rsidRPr="002C2B23">
          <w:rPr>
            <w:rFonts w:ascii="宋体" w:hAnsi="宋体"/>
            <w:noProof/>
            <w:sz w:val="24"/>
            <w:szCs w:val="24"/>
          </w:rPr>
          <w:instrText xml:space="preserve"> PAGEREF _Toc109141364 \h </w:instrText>
        </w:r>
        <w:r w:rsidR="0040620F" w:rsidRPr="002C2B23">
          <w:rPr>
            <w:rFonts w:ascii="宋体" w:hAnsi="宋体"/>
            <w:noProof/>
            <w:sz w:val="24"/>
            <w:szCs w:val="24"/>
          </w:rPr>
        </w:r>
        <w:r w:rsidR="0040620F" w:rsidRPr="002C2B23">
          <w:rPr>
            <w:rFonts w:ascii="宋体" w:hAnsi="宋体"/>
            <w:noProof/>
            <w:sz w:val="24"/>
            <w:szCs w:val="24"/>
          </w:rPr>
          <w:fldChar w:fldCharType="separate"/>
        </w:r>
        <w:r w:rsidR="00CA7E78">
          <w:rPr>
            <w:rFonts w:ascii="宋体" w:hAnsi="宋体"/>
            <w:noProof/>
            <w:sz w:val="24"/>
            <w:szCs w:val="24"/>
          </w:rPr>
          <w:t>14</w:t>
        </w:r>
        <w:r w:rsidR="0040620F" w:rsidRPr="002C2B23">
          <w:rPr>
            <w:rFonts w:ascii="宋体" w:hAnsi="宋体"/>
            <w:noProof/>
            <w:sz w:val="24"/>
            <w:szCs w:val="24"/>
          </w:rPr>
          <w:fldChar w:fldCharType="end"/>
        </w:r>
      </w:hyperlink>
    </w:p>
    <w:p w14:paraId="006EB28C" w14:textId="43A57BA6" w:rsidR="005039DD" w:rsidRPr="002C2B23" w:rsidRDefault="00507226">
      <w:pPr>
        <w:pStyle w:val="1"/>
        <w:rPr>
          <w:rFonts w:ascii="宋体" w:hAnsi="宋体" w:cstheme="minorBidi"/>
          <w:noProof/>
          <w:kern w:val="2"/>
          <w:sz w:val="24"/>
          <w:szCs w:val="24"/>
          <w:lang w:eastAsia="zh-CN" w:bidi="ar-SA"/>
        </w:rPr>
      </w:pPr>
      <w:hyperlink w:anchor="_Toc109141365" w:history="1">
        <w:r w:rsidR="0040620F" w:rsidRPr="002C2B23">
          <w:rPr>
            <w:rStyle w:val="aff"/>
            <w:rFonts w:ascii="宋体" w:hAnsi="宋体"/>
            <w:noProof/>
            <w:sz w:val="24"/>
            <w:szCs w:val="24"/>
            <w:lang w:eastAsia="zh-CN"/>
          </w:rPr>
          <w:t>第五部分  基金备案</w:t>
        </w:r>
        <w:r w:rsidR="0040620F" w:rsidRPr="002C2B23">
          <w:rPr>
            <w:rFonts w:ascii="宋体" w:hAnsi="宋体"/>
            <w:noProof/>
            <w:sz w:val="24"/>
            <w:szCs w:val="24"/>
          </w:rPr>
          <w:tab/>
        </w:r>
        <w:r w:rsidR="0040620F" w:rsidRPr="002C2B23">
          <w:rPr>
            <w:rFonts w:ascii="宋体" w:hAnsi="宋体"/>
            <w:noProof/>
            <w:sz w:val="24"/>
            <w:szCs w:val="24"/>
          </w:rPr>
          <w:fldChar w:fldCharType="begin"/>
        </w:r>
        <w:r w:rsidR="0040620F" w:rsidRPr="002C2B23">
          <w:rPr>
            <w:rFonts w:ascii="宋体" w:hAnsi="宋体"/>
            <w:noProof/>
            <w:sz w:val="24"/>
            <w:szCs w:val="24"/>
          </w:rPr>
          <w:instrText xml:space="preserve"> PAGEREF _Toc109141365 \h </w:instrText>
        </w:r>
        <w:r w:rsidR="0040620F" w:rsidRPr="002C2B23">
          <w:rPr>
            <w:rFonts w:ascii="宋体" w:hAnsi="宋体"/>
            <w:noProof/>
            <w:sz w:val="24"/>
            <w:szCs w:val="24"/>
          </w:rPr>
        </w:r>
        <w:r w:rsidR="0040620F" w:rsidRPr="002C2B23">
          <w:rPr>
            <w:rFonts w:ascii="宋体" w:hAnsi="宋体"/>
            <w:noProof/>
            <w:sz w:val="24"/>
            <w:szCs w:val="24"/>
          </w:rPr>
          <w:fldChar w:fldCharType="separate"/>
        </w:r>
        <w:r w:rsidR="00CA7E78">
          <w:rPr>
            <w:rFonts w:ascii="宋体" w:hAnsi="宋体"/>
            <w:noProof/>
            <w:sz w:val="24"/>
            <w:szCs w:val="24"/>
          </w:rPr>
          <w:t>16</w:t>
        </w:r>
        <w:r w:rsidR="0040620F" w:rsidRPr="002C2B23">
          <w:rPr>
            <w:rFonts w:ascii="宋体" w:hAnsi="宋体"/>
            <w:noProof/>
            <w:sz w:val="24"/>
            <w:szCs w:val="24"/>
          </w:rPr>
          <w:fldChar w:fldCharType="end"/>
        </w:r>
      </w:hyperlink>
    </w:p>
    <w:p w14:paraId="31C45D6E" w14:textId="1F05A348" w:rsidR="005039DD" w:rsidRPr="002C2B23" w:rsidRDefault="00507226">
      <w:pPr>
        <w:pStyle w:val="1"/>
        <w:rPr>
          <w:rFonts w:ascii="宋体" w:hAnsi="宋体" w:cstheme="minorBidi"/>
          <w:noProof/>
          <w:kern w:val="2"/>
          <w:sz w:val="24"/>
          <w:szCs w:val="24"/>
          <w:lang w:eastAsia="zh-CN" w:bidi="ar-SA"/>
        </w:rPr>
      </w:pPr>
      <w:hyperlink w:anchor="_Toc109141366" w:history="1">
        <w:r w:rsidR="0040620F" w:rsidRPr="002C2B23">
          <w:rPr>
            <w:rStyle w:val="aff"/>
            <w:rFonts w:ascii="宋体" w:hAnsi="宋体"/>
            <w:noProof/>
            <w:sz w:val="24"/>
            <w:szCs w:val="24"/>
            <w:lang w:eastAsia="zh-CN"/>
          </w:rPr>
          <w:t>第六部分  基金份额的申购与赎回</w:t>
        </w:r>
        <w:r w:rsidR="0040620F" w:rsidRPr="002C2B23">
          <w:rPr>
            <w:rFonts w:ascii="宋体" w:hAnsi="宋体"/>
            <w:noProof/>
            <w:sz w:val="24"/>
            <w:szCs w:val="24"/>
          </w:rPr>
          <w:tab/>
        </w:r>
        <w:r w:rsidR="0040620F" w:rsidRPr="002C2B23">
          <w:rPr>
            <w:rFonts w:ascii="宋体" w:hAnsi="宋体"/>
            <w:noProof/>
            <w:sz w:val="24"/>
            <w:szCs w:val="24"/>
          </w:rPr>
          <w:fldChar w:fldCharType="begin"/>
        </w:r>
        <w:r w:rsidR="0040620F" w:rsidRPr="002C2B23">
          <w:rPr>
            <w:rFonts w:ascii="宋体" w:hAnsi="宋体"/>
            <w:noProof/>
            <w:sz w:val="24"/>
            <w:szCs w:val="24"/>
          </w:rPr>
          <w:instrText xml:space="preserve"> PAGEREF _Toc109141366 \h </w:instrText>
        </w:r>
        <w:r w:rsidR="0040620F" w:rsidRPr="002C2B23">
          <w:rPr>
            <w:rFonts w:ascii="宋体" w:hAnsi="宋体"/>
            <w:noProof/>
            <w:sz w:val="24"/>
            <w:szCs w:val="24"/>
          </w:rPr>
        </w:r>
        <w:r w:rsidR="0040620F" w:rsidRPr="002C2B23">
          <w:rPr>
            <w:rFonts w:ascii="宋体" w:hAnsi="宋体"/>
            <w:noProof/>
            <w:sz w:val="24"/>
            <w:szCs w:val="24"/>
          </w:rPr>
          <w:fldChar w:fldCharType="separate"/>
        </w:r>
        <w:r w:rsidR="00CA7E78">
          <w:rPr>
            <w:rFonts w:ascii="宋体" w:hAnsi="宋体"/>
            <w:noProof/>
            <w:sz w:val="24"/>
            <w:szCs w:val="24"/>
          </w:rPr>
          <w:t>18</w:t>
        </w:r>
        <w:r w:rsidR="0040620F" w:rsidRPr="002C2B23">
          <w:rPr>
            <w:rFonts w:ascii="宋体" w:hAnsi="宋体"/>
            <w:noProof/>
            <w:sz w:val="24"/>
            <w:szCs w:val="24"/>
          </w:rPr>
          <w:fldChar w:fldCharType="end"/>
        </w:r>
      </w:hyperlink>
    </w:p>
    <w:p w14:paraId="5541241F" w14:textId="10BD5F80" w:rsidR="005039DD" w:rsidRPr="002C2B23" w:rsidRDefault="00507226">
      <w:pPr>
        <w:pStyle w:val="1"/>
        <w:rPr>
          <w:rFonts w:ascii="宋体" w:hAnsi="宋体" w:cstheme="minorBidi"/>
          <w:noProof/>
          <w:kern w:val="2"/>
          <w:sz w:val="24"/>
          <w:szCs w:val="24"/>
          <w:lang w:eastAsia="zh-CN" w:bidi="ar-SA"/>
        </w:rPr>
      </w:pPr>
      <w:hyperlink w:anchor="_Toc109141367" w:history="1">
        <w:r w:rsidR="0040620F" w:rsidRPr="002C2B23">
          <w:rPr>
            <w:rStyle w:val="aff"/>
            <w:rFonts w:ascii="宋体" w:hAnsi="宋体"/>
            <w:noProof/>
            <w:sz w:val="24"/>
            <w:szCs w:val="24"/>
            <w:lang w:eastAsia="zh-CN"/>
          </w:rPr>
          <w:t>第七部分  基金合同当事人及权利义务</w:t>
        </w:r>
        <w:r w:rsidR="0040620F" w:rsidRPr="002C2B23">
          <w:rPr>
            <w:rFonts w:ascii="宋体" w:hAnsi="宋体"/>
            <w:noProof/>
            <w:sz w:val="24"/>
            <w:szCs w:val="24"/>
          </w:rPr>
          <w:tab/>
        </w:r>
        <w:r w:rsidR="0040620F" w:rsidRPr="002C2B23">
          <w:rPr>
            <w:rFonts w:ascii="宋体" w:hAnsi="宋体"/>
            <w:noProof/>
            <w:sz w:val="24"/>
            <w:szCs w:val="24"/>
          </w:rPr>
          <w:fldChar w:fldCharType="begin"/>
        </w:r>
        <w:r w:rsidR="0040620F" w:rsidRPr="002C2B23">
          <w:rPr>
            <w:rFonts w:ascii="宋体" w:hAnsi="宋体"/>
            <w:noProof/>
            <w:sz w:val="24"/>
            <w:szCs w:val="24"/>
          </w:rPr>
          <w:instrText xml:space="preserve"> PAGEREF _Toc109141367 \h </w:instrText>
        </w:r>
        <w:r w:rsidR="0040620F" w:rsidRPr="002C2B23">
          <w:rPr>
            <w:rFonts w:ascii="宋体" w:hAnsi="宋体"/>
            <w:noProof/>
            <w:sz w:val="24"/>
            <w:szCs w:val="24"/>
          </w:rPr>
        </w:r>
        <w:r w:rsidR="0040620F" w:rsidRPr="002C2B23">
          <w:rPr>
            <w:rFonts w:ascii="宋体" w:hAnsi="宋体"/>
            <w:noProof/>
            <w:sz w:val="24"/>
            <w:szCs w:val="24"/>
          </w:rPr>
          <w:fldChar w:fldCharType="separate"/>
        </w:r>
        <w:r w:rsidR="00CA7E78">
          <w:rPr>
            <w:rFonts w:ascii="宋体" w:hAnsi="宋体"/>
            <w:noProof/>
            <w:sz w:val="24"/>
            <w:szCs w:val="24"/>
          </w:rPr>
          <w:t>28</w:t>
        </w:r>
        <w:r w:rsidR="0040620F" w:rsidRPr="002C2B23">
          <w:rPr>
            <w:rFonts w:ascii="宋体" w:hAnsi="宋体"/>
            <w:noProof/>
            <w:sz w:val="24"/>
            <w:szCs w:val="24"/>
          </w:rPr>
          <w:fldChar w:fldCharType="end"/>
        </w:r>
      </w:hyperlink>
    </w:p>
    <w:p w14:paraId="3F139277" w14:textId="08A31E1B" w:rsidR="005039DD" w:rsidRPr="002C2B23" w:rsidRDefault="00507226">
      <w:pPr>
        <w:pStyle w:val="1"/>
        <w:rPr>
          <w:rFonts w:ascii="宋体" w:hAnsi="宋体" w:cstheme="minorBidi"/>
          <w:noProof/>
          <w:kern w:val="2"/>
          <w:sz w:val="24"/>
          <w:szCs w:val="24"/>
          <w:lang w:eastAsia="zh-CN" w:bidi="ar-SA"/>
        </w:rPr>
      </w:pPr>
      <w:hyperlink w:anchor="_Toc109141368" w:history="1">
        <w:r w:rsidR="0040620F" w:rsidRPr="002C2B23">
          <w:rPr>
            <w:rStyle w:val="aff"/>
            <w:rFonts w:ascii="宋体" w:hAnsi="宋体"/>
            <w:noProof/>
            <w:sz w:val="24"/>
            <w:szCs w:val="24"/>
            <w:lang w:eastAsia="zh-CN"/>
          </w:rPr>
          <w:t>第八部分  基金份额持有人大会</w:t>
        </w:r>
        <w:r w:rsidR="0040620F" w:rsidRPr="002C2B23">
          <w:rPr>
            <w:rFonts w:ascii="宋体" w:hAnsi="宋体"/>
            <w:noProof/>
            <w:sz w:val="24"/>
            <w:szCs w:val="24"/>
          </w:rPr>
          <w:tab/>
        </w:r>
        <w:r w:rsidR="0040620F" w:rsidRPr="002C2B23">
          <w:rPr>
            <w:rFonts w:ascii="宋体" w:hAnsi="宋体"/>
            <w:noProof/>
            <w:sz w:val="24"/>
            <w:szCs w:val="24"/>
          </w:rPr>
          <w:fldChar w:fldCharType="begin"/>
        </w:r>
        <w:r w:rsidR="0040620F" w:rsidRPr="002C2B23">
          <w:rPr>
            <w:rFonts w:ascii="宋体" w:hAnsi="宋体"/>
            <w:noProof/>
            <w:sz w:val="24"/>
            <w:szCs w:val="24"/>
          </w:rPr>
          <w:instrText xml:space="preserve"> PAGEREF _Toc109141368 \h </w:instrText>
        </w:r>
        <w:r w:rsidR="0040620F" w:rsidRPr="002C2B23">
          <w:rPr>
            <w:rFonts w:ascii="宋体" w:hAnsi="宋体"/>
            <w:noProof/>
            <w:sz w:val="24"/>
            <w:szCs w:val="24"/>
          </w:rPr>
        </w:r>
        <w:r w:rsidR="0040620F" w:rsidRPr="002C2B23">
          <w:rPr>
            <w:rFonts w:ascii="宋体" w:hAnsi="宋体"/>
            <w:noProof/>
            <w:sz w:val="24"/>
            <w:szCs w:val="24"/>
          </w:rPr>
          <w:fldChar w:fldCharType="separate"/>
        </w:r>
        <w:r w:rsidR="00CA7E78">
          <w:rPr>
            <w:rFonts w:ascii="宋体" w:hAnsi="宋体"/>
            <w:noProof/>
            <w:sz w:val="24"/>
            <w:szCs w:val="24"/>
          </w:rPr>
          <w:t>36</w:t>
        </w:r>
        <w:r w:rsidR="0040620F" w:rsidRPr="002C2B23">
          <w:rPr>
            <w:rFonts w:ascii="宋体" w:hAnsi="宋体"/>
            <w:noProof/>
            <w:sz w:val="24"/>
            <w:szCs w:val="24"/>
          </w:rPr>
          <w:fldChar w:fldCharType="end"/>
        </w:r>
      </w:hyperlink>
    </w:p>
    <w:p w14:paraId="6CE6AF40" w14:textId="02472423" w:rsidR="005039DD" w:rsidRPr="002C2B23" w:rsidRDefault="00507226">
      <w:pPr>
        <w:pStyle w:val="1"/>
        <w:rPr>
          <w:rFonts w:ascii="宋体" w:hAnsi="宋体" w:cstheme="minorBidi"/>
          <w:noProof/>
          <w:kern w:val="2"/>
          <w:sz w:val="24"/>
          <w:szCs w:val="24"/>
          <w:lang w:eastAsia="zh-CN" w:bidi="ar-SA"/>
        </w:rPr>
      </w:pPr>
      <w:hyperlink w:anchor="_Toc109141369" w:history="1">
        <w:r w:rsidR="0040620F" w:rsidRPr="002C2B23">
          <w:rPr>
            <w:rStyle w:val="aff"/>
            <w:rFonts w:ascii="宋体" w:hAnsi="宋体"/>
            <w:noProof/>
            <w:sz w:val="24"/>
            <w:szCs w:val="24"/>
            <w:lang w:eastAsia="zh-CN"/>
          </w:rPr>
          <w:t>第九部分  基金管理人、基金托管人的更换条件和程序</w:t>
        </w:r>
        <w:r w:rsidR="0040620F" w:rsidRPr="002C2B23">
          <w:rPr>
            <w:rFonts w:ascii="宋体" w:hAnsi="宋体"/>
            <w:noProof/>
            <w:sz w:val="24"/>
            <w:szCs w:val="24"/>
          </w:rPr>
          <w:tab/>
        </w:r>
        <w:r w:rsidR="0040620F" w:rsidRPr="002C2B23">
          <w:rPr>
            <w:rFonts w:ascii="宋体" w:hAnsi="宋体"/>
            <w:noProof/>
            <w:sz w:val="24"/>
            <w:szCs w:val="24"/>
          </w:rPr>
          <w:fldChar w:fldCharType="begin"/>
        </w:r>
        <w:r w:rsidR="0040620F" w:rsidRPr="002C2B23">
          <w:rPr>
            <w:rFonts w:ascii="宋体" w:hAnsi="宋体"/>
            <w:noProof/>
            <w:sz w:val="24"/>
            <w:szCs w:val="24"/>
          </w:rPr>
          <w:instrText xml:space="preserve"> PAGEREF _Toc109141369 \h </w:instrText>
        </w:r>
        <w:r w:rsidR="0040620F" w:rsidRPr="002C2B23">
          <w:rPr>
            <w:rFonts w:ascii="宋体" w:hAnsi="宋体"/>
            <w:noProof/>
            <w:sz w:val="24"/>
            <w:szCs w:val="24"/>
          </w:rPr>
        </w:r>
        <w:r w:rsidR="0040620F" w:rsidRPr="002C2B23">
          <w:rPr>
            <w:rFonts w:ascii="宋体" w:hAnsi="宋体"/>
            <w:noProof/>
            <w:sz w:val="24"/>
            <w:szCs w:val="24"/>
          </w:rPr>
          <w:fldChar w:fldCharType="separate"/>
        </w:r>
        <w:r w:rsidR="00CA7E78">
          <w:rPr>
            <w:rFonts w:ascii="宋体" w:hAnsi="宋体"/>
            <w:noProof/>
            <w:sz w:val="24"/>
            <w:szCs w:val="24"/>
          </w:rPr>
          <w:t>46</w:t>
        </w:r>
        <w:r w:rsidR="0040620F" w:rsidRPr="002C2B23">
          <w:rPr>
            <w:rFonts w:ascii="宋体" w:hAnsi="宋体"/>
            <w:noProof/>
            <w:sz w:val="24"/>
            <w:szCs w:val="24"/>
          </w:rPr>
          <w:fldChar w:fldCharType="end"/>
        </w:r>
      </w:hyperlink>
    </w:p>
    <w:p w14:paraId="68DE2A27" w14:textId="46505356" w:rsidR="005039DD" w:rsidRPr="002C2B23" w:rsidRDefault="00507226">
      <w:pPr>
        <w:pStyle w:val="1"/>
        <w:rPr>
          <w:rFonts w:ascii="宋体" w:hAnsi="宋体" w:cstheme="minorBidi"/>
          <w:noProof/>
          <w:kern w:val="2"/>
          <w:sz w:val="24"/>
          <w:szCs w:val="24"/>
          <w:lang w:eastAsia="zh-CN" w:bidi="ar-SA"/>
        </w:rPr>
      </w:pPr>
      <w:hyperlink w:anchor="_Toc109141370" w:history="1">
        <w:r w:rsidR="0040620F" w:rsidRPr="002C2B23">
          <w:rPr>
            <w:rStyle w:val="aff"/>
            <w:rFonts w:ascii="宋体" w:hAnsi="宋体"/>
            <w:noProof/>
            <w:sz w:val="24"/>
            <w:szCs w:val="24"/>
            <w:lang w:eastAsia="zh-CN"/>
          </w:rPr>
          <w:t>第十部分  基金的托管</w:t>
        </w:r>
        <w:r w:rsidR="0040620F" w:rsidRPr="002C2B23">
          <w:rPr>
            <w:rFonts w:ascii="宋体" w:hAnsi="宋体"/>
            <w:noProof/>
            <w:sz w:val="24"/>
            <w:szCs w:val="24"/>
          </w:rPr>
          <w:tab/>
        </w:r>
        <w:r w:rsidR="0040620F" w:rsidRPr="002C2B23">
          <w:rPr>
            <w:rFonts w:ascii="宋体" w:hAnsi="宋体"/>
            <w:noProof/>
            <w:sz w:val="24"/>
            <w:szCs w:val="24"/>
          </w:rPr>
          <w:fldChar w:fldCharType="begin"/>
        </w:r>
        <w:r w:rsidR="0040620F" w:rsidRPr="002C2B23">
          <w:rPr>
            <w:rFonts w:ascii="宋体" w:hAnsi="宋体"/>
            <w:noProof/>
            <w:sz w:val="24"/>
            <w:szCs w:val="24"/>
          </w:rPr>
          <w:instrText xml:space="preserve"> PAGEREF _Toc109141370 \h </w:instrText>
        </w:r>
        <w:r w:rsidR="0040620F" w:rsidRPr="002C2B23">
          <w:rPr>
            <w:rFonts w:ascii="宋体" w:hAnsi="宋体"/>
            <w:noProof/>
            <w:sz w:val="24"/>
            <w:szCs w:val="24"/>
          </w:rPr>
        </w:r>
        <w:r w:rsidR="0040620F" w:rsidRPr="002C2B23">
          <w:rPr>
            <w:rFonts w:ascii="宋体" w:hAnsi="宋体"/>
            <w:noProof/>
            <w:sz w:val="24"/>
            <w:szCs w:val="24"/>
          </w:rPr>
          <w:fldChar w:fldCharType="separate"/>
        </w:r>
        <w:r w:rsidR="00CA7E78">
          <w:rPr>
            <w:rFonts w:ascii="宋体" w:hAnsi="宋体"/>
            <w:noProof/>
            <w:sz w:val="24"/>
            <w:szCs w:val="24"/>
          </w:rPr>
          <w:t>49</w:t>
        </w:r>
        <w:r w:rsidR="0040620F" w:rsidRPr="002C2B23">
          <w:rPr>
            <w:rFonts w:ascii="宋体" w:hAnsi="宋体"/>
            <w:noProof/>
            <w:sz w:val="24"/>
            <w:szCs w:val="24"/>
          </w:rPr>
          <w:fldChar w:fldCharType="end"/>
        </w:r>
      </w:hyperlink>
    </w:p>
    <w:p w14:paraId="2E03F668" w14:textId="35B00137" w:rsidR="005039DD" w:rsidRPr="002C2B23" w:rsidRDefault="00507226">
      <w:pPr>
        <w:pStyle w:val="1"/>
        <w:rPr>
          <w:rFonts w:ascii="宋体" w:hAnsi="宋体" w:cstheme="minorBidi"/>
          <w:noProof/>
          <w:kern w:val="2"/>
          <w:sz w:val="24"/>
          <w:szCs w:val="24"/>
          <w:lang w:eastAsia="zh-CN" w:bidi="ar-SA"/>
        </w:rPr>
      </w:pPr>
      <w:hyperlink w:anchor="_Toc109141371" w:history="1">
        <w:r w:rsidR="0040620F" w:rsidRPr="002C2B23">
          <w:rPr>
            <w:rStyle w:val="aff"/>
            <w:rFonts w:ascii="宋体" w:hAnsi="宋体"/>
            <w:noProof/>
            <w:sz w:val="24"/>
            <w:szCs w:val="24"/>
            <w:lang w:eastAsia="zh-CN"/>
          </w:rPr>
          <w:t>第十一部分  基金份额的登记</w:t>
        </w:r>
        <w:r w:rsidR="0040620F" w:rsidRPr="002C2B23">
          <w:rPr>
            <w:rFonts w:ascii="宋体" w:hAnsi="宋体"/>
            <w:noProof/>
            <w:sz w:val="24"/>
            <w:szCs w:val="24"/>
          </w:rPr>
          <w:tab/>
        </w:r>
        <w:r w:rsidR="0040620F" w:rsidRPr="002C2B23">
          <w:rPr>
            <w:rFonts w:ascii="宋体" w:hAnsi="宋体"/>
            <w:noProof/>
            <w:sz w:val="24"/>
            <w:szCs w:val="24"/>
          </w:rPr>
          <w:fldChar w:fldCharType="begin"/>
        </w:r>
        <w:r w:rsidR="0040620F" w:rsidRPr="002C2B23">
          <w:rPr>
            <w:rFonts w:ascii="宋体" w:hAnsi="宋体"/>
            <w:noProof/>
            <w:sz w:val="24"/>
            <w:szCs w:val="24"/>
          </w:rPr>
          <w:instrText xml:space="preserve"> PAGEREF _Toc109141371 \h </w:instrText>
        </w:r>
        <w:r w:rsidR="0040620F" w:rsidRPr="002C2B23">
          <w:rPr>
            <w:rFonts w:ascii="宋体" w:hAnsi="宋体"/>
            <w:noProof/>
            <w:sz w:val="24"/>
            <w:szCs w:val="24"/>
          </w:rPr>
        </w:r>
        <w:r w:rsidR="0040620F" w:rsidRPr="002C2B23">
          <w:rPr>
            <w:rFonts w:ascii="宋体" w:hAnsi="宋体"/>
            <w:noProof/>
            <w:sz w:val="24"/>
            <w:szCs w:val="24"/>
          </w:rPr>
          <w:fldChar w:fldCharType="separate"/>
        </w:r>
        <w:r w:rsidR="00CA7E78">
          <w:rPr>
            <w:rFonts w:ascii="宋体" w:hAnsi="宋体"/>
            <w:noProof/>
            <w:sz w:val="24"/>
            <w:szCs w:val="24"/>
          </w:rPr>
          <w:t>50</w:t>
        </w:r>
        <w:r w:rsidR="0040620F" w:rsidRPr="002C2B23">
          <w:rPr>
            <w:rFonts w:ascii="宋体" w:hAnsi="宋体"/>
            <w:noProof/>
            <w:sz w:val="24"/>
            <w:szCs w:val="24"/>
          </w:rPr>
          <w:fldChar w:fldCharType="end"/>
        </w:r>
      </w:hyperlink>
    </w:p>
    <w:p w14:paraId="6910BE42" w14:textId="67EE87D3" w:rsidR="005039DD" w:rsidRPr="002C2B23" w:rsidRDefault="00507226">
      <w:pPr>
        <w:pStyle w:val="1"/>
        <w:rPr>
          <w:rFonts w:ascii="宋体" w:hAnsi="宋体" w:cstheme="minorBidi"/>
          <w:noProof/>
          <w:kern w:val="2"/>
          <w:sz w:val="24"/>
          <w:szCs w:val="24"/>
          <w:lang w:eastAsia="zh-CN" w:bidi="ar-SA"/>
        </w:rPr>
      </w:pPr>
      <w:hyperlink w:anchor="_Toc109141372" w:history="1">
        <w:r w:rsidR="0040620F" w:rsidRPr="002C2B23">
          <w:rPr>
            <w:rStyle w:val="aff"/>
            <w:rFonts w:ascii="宋体" w:hAnsi="宋体"/>
            <w:noProof/>
            <w:sz w:val="24"/>
            <w:szCs w:val="24"/>
            <w:lang w:eastAsia="zh-CN"/>
          </w:rPr>
          <w:t>第十二部分  基金的投资</w:t>
        </w:r>
        <w:r w:rsidR="0040620F" w:rsidRPr="002C2B23">
          <w:rPr>
            <w:rFonts w:ascii="宋体" w:hAnsi="宋体"/>
            <w:noProof/>
            <w:sz w:val="24"/>
            <w:szCs w:val="24"/>
          </w:rPr>
          <w:tab/>
        </w:r>
        <w:r w:rsidR="0040620F" w:rsidRPr="002C2B23">
          <w:rPr>
            <w:rFonts w:ascii="宋体" w:hAnsi="宋体"/>
            <w:noProof/>
            <w:sz w:val="24"/>
            <w:szCs w:val="24"/>
          </w:rPr>
          <w:fldChar w:fldCharType="begin"/>
        </w:r>
        <w:r w:rsidR="0040620F" w:rsidRPr="002C2B23">
          <w:rPr>
            <w:rFonts w:ascii="宋体" w:hAnsi="宋体"/>
            <w:noProof/>
            <w:sz w:val="24"/>
            <w:szCs w:val="24"/>
          </w:rPr>
          <w:instrText xml:space="preserve"> PAGEREF _Toc109141372 \h </w:instrText>
        </w:r>
        <w:r w:rsidR="0040620F" w:rsidRPr="002C2B23">
          <w:rPr>
            <w:rFonts w:ascii="宋体" w:hAnsi="宋体"/>
            <w:noProof/>
            <w:sz w:val="24"/>
            <w:szCs w:val="24"/>
          </w:rPr>
        </w:r>
        <w:r w:rsidR="0040620F" w:rsidRPr="002C2B23">
          <w:rPr>
            <w:rFonts w:ascii="宋体" w:hAnsi="宋体"/>
            <w:noProof/>
            <w:sz w:val="24"/>
            <w:szCs w:val="24"/>
          </w:rPr>
          <w:fldChar w:fldCharType="separate"/>
        </w:r>
        <w:r w:rsidR="00CA7E78">
          <w:rPr>
            <w:rFonts w:ascii="宋体" w:hAnsi="宋体"/>
            <w:noProof/>
            <w:sz w:val="24"/>
            <w:szCs w:val="24"/>
          </w:rPr>
          <w:t>52</w:t>
        </w:r>
        <w:r w:rsidR="0040620F" w:rsidRPr="002C2B23">
          <w:rPr>
            <w:rFonts w:ascii="宋体" w:hAnsi="宋体"/>
            <w:noProof/>
            <w:sz w:val="24"/>
            <w:szCs w:val="24"/>
          </w:rPr>
          <w:fldChar w:fldCharType="end"/>
        </w:r>
      </w:hyperlink>
    </w:p>
    <w:p w14:paraId="425FD8F2" w14:textId="03C1EB27" w:rsidR="005039DD" w:rsidRPr="002C2B23" w:rsidRDefault="00507226">
      <w:pPr>
        <w:pStyle w:val="1"/>
        <w:rPr>
          <w:rFonts w:ascii="宋体" w:hAnsi="宋体" w:cstheme="minorBidi"/>
          <w:noProof/>
          <w:kern w:val="2"/>
          <w:sz w:val="24"/>
          <w:szCs w:val="24"/>
          <w:lang w:eastAsia="zh-CN" w:bidi="ar-SA"/>
        </w:rPr>
      </w:pPr>
      <w:hyperlink w:anchor="_Toc109141373" w:history="1">
        <w:r w:rsidR="0040620F" w:rsidRPr="002C2B23">
          <w:rPr>
            <w:rStyle w:val="aff"/>
            <w:rFonts w:ascii="宋体" w:hAnsi="宋体"/>
            <w:noProof/>
            <w:sz w:val="24"/>
            <w:szCs w:val="24"/>
            <w:lang w:eastAsia="zh-CN"/>
          </w:rPr>
          <w:t>第十三部分  基金的财产</w:t>
        </w:r>
        <w:r w:rsidR="0040620F" w:rsidRPr="002C2B23">
          <w:rPr>
            <w:rFonts w:ascii="宋体" w:hAnsi="宋体"/>
            <w:noProof/>
            <w:sz w:val="24"/>
            <w:szCs w:val="24"/>
          </w:rPr>
          <w:tab/>
        </w:r>
        <w:r w:rsidR="0040620F" w:rsidRPr="002C2B23">
          <w:rPr>
            <w:rFonts w:ascii="宋体" w:hAnsi="宋体"/>
            <w:noProof/>
            <w:sz w:val="24"/>
            <w:szCs w:val="24"/>
          </w:rPr>
          <w:fldChar w:fldCharType="begin"/>
        </w:r>
        <w:r w:rsidR="0040620F" w:rsidRPr="002C2B23">
          <w:rPr>
            <w:rFonts w:ascii="宋体" w:hAnsi="宋体"/>
            <w:noProof/>
            <w:sz w:val="24"/>
            <w:szCs w:val="24"/>
          </w:rPr>
          <w:instrText xml:space="preserve"> PAGEREF _Toc109141373 \h </w:instrText>
        </w:r>
        <w:r w:rsidR="0040620F" w:rsidRPr="002C2B23">
          <w:rPr>
            <w:rFonts w:ascii="宋体" w:hAnsi="宋体"/>
            <w:noProof/>
            <w:sz w:val="24"/>
            <w:szCs w:val="24"/>
          </w:rPr>
        </w:r>
        <w:r w:rsidR="0040620F" w:rsidRPr="002C2B23">
          <w:rPr>
            <w:rFonts w:ascii="宋体" w:hAnsi="宋体"/>
            <w:noProof/>
            <w:sz w:val="24"/>
            <w:szCs w:val="24"/>
          </w:rPr>
          <w:fldChar w:fldCharType="separate"/>
        </w:r>
        <w:r w:rsidR="00CA7E78">
          <w:rPr>
            <w:rFonts w:ascii="宋体" w:hAnsi="宋体"/>
            <w:noProof/>
            <w:sz w:val="24"/>
            <w:szCs w:val="24"/>
          </w:rPr>
          <w:t>64</w:t>
        </w:r>
        <w:r w:rsidR="0040620F" w:rsidRPr="002C2B23">
          <w:rPr>
            <w:rFonts w:ascii="宋体" w:hAnsi="宋体"/>
            <w:noProof/>
            <w:sz w:val="24"/>
            <w:szCs w:val="24"/>
          </w:rPr>
          <w:fldChar w:fldCharType="end"/>
        </w:r>
      </w:hyperlink>
    </w:p>
    <w:p w14:paraId="72129620" w14:textId="24390E22" w:rsidR="005039DD" w:rsidRPr="002C2B23" w:rsidRDefault="00507226">
      <w:pPr>
        <w:pStyle w:val="1"/>
        <w:rPr>
          <w:rFonts w:ascii="宋体" w:hAnsi="宋体" w:cstheme="minorBidi"/>
          <w:noProof/>
          <w:kern w:val="2"/>
          <w:sz w:val="24"/>
          <w:szCs w:val="24"/>
          <w:lang w:eastAsia="zh-CN" w:bidi="ar-SA"/>
        </w:rPr>
      </w:pPr>
      <w:hyperlink w:anchor="_Toc109141374" w:history="1">
        <w:r w:rsidR="0040620F" w:rsidRPr="002C2B23">
          <w:rPr>
            <w:rStyle w:val="aff"/>
            <w:rFonts w:ascii="宋体" w:hAnsi="宋体"/>
            <w:noProof/>
            <w:sz w:val="24"/>
            <w:szCs w:val="24"/>
            <w:lang w:eastAsia="zh-CN"/>
          </w:rPr>
          <w:t>第十四部分  基金资产估值</w:t>
        </w:r>
        <w:r w:rsidR="0040620F" w:rsidRPr="002C2B23">
          <w:rPr>
            <w:rFonts w:ascii="宋体" w:hAnsi="宋体"/>
            <w:noProof/>
            <w:sz w:val="24"/>
            <w:szCs w:val="24"/>
          </w:rPr>
          <w:tab/>
        </w:r>
        <w:r w:rsidR="0040620F" w:rsidRPr="002C2B23">
          <w:rPr>
            <w:rFonts w:ascii="宋体" w:hAnsi="宋体"/>
            <w:noProof/>
            <w:sz w:val="24"/>
            <w:szCs w:val="24"/>
          </w:rPr>
          <w:fldChar w:fldCharType="begin"/>
        </w:r>
        <w:r w:rsidR="0040620F" w:rsidRPr="002C2B23">
          <w:rPr>
            <w:rFonts w:ascii="宋体" w:hAnsi="宋体"/>
            <w:noProof/>
            <w:sz w:val="24"/>
            <w:szCs w:val="24"/>
          </w:rPr>
          <w:instrText xml:space="preserve"> PAGEREF _Toc109141374 \h </w:instrText>
        </w:r>
        <w:r w:rsidR="0040620F" w:rsidRPr="002C2B23">
          <w:rPr>
            <w:rFonts w:ascii="宋体" w:hAnsi="宋体"/>
            <w:noProof/>
            <w:sz w:val="24"/>
            <w:szCs w:val="24"/>
          </w:rPr>
        </w:r>
        <w:r w:rsidR="0040620F" w:rsidRPr="002C2B23">
          <w:rPr>
            <w:rFonts w:ascii="宋体" w:hAnsi="宋体"/>
            <w:noProof/>
            <w:sz w:val="24"/>
            <w:szCs w:val="24"/>
          </w:rPr>
          <w:fldChar w:fldCharType="separate"/>
        </w:r>
        <w:r w:rsidR="00CA7E78">
          <w:rPr>
            <w:rFonts w:ascii="宋体" w:hAnsi="宋体"/>
            <w:noProof/>
            <w:sz w:val="24"/>
            <w:szCs w:val="24"/>
          </w:rPr>
          <w:t>65</w:t>
        </w:r>
        <w:r w:rsidR="0040620F" w:rsidRPr="002C2B23">
          <w:rPr>
            <w:rFonts w:ascii="宋体" w:hAnsi="宋体"/>
            <w:noProof/>
            <w:sz w:val="24"/>
            <w:szCs w:val="24"/>
          </w:rPr>
          <w:fldChar w:fldCharType="end"/>
        </w:r>
      </w:hyperlink>
    </w:p>
    <w:p w14:paraId="4E163E23" w14:textId="194E7804" w:rsidR="005039DD" w:rsidRPr="002C2B23" w:rsidRDefault="00507226">
      <w:pPr>
        <w:pStyle w:val="1"/>
        <w:rPr>
          <w:rFonts w:ascii="宋体" w:hAnsi="宋体" w:cstheme="minorBidi"/>
          <w:noProof/>
          <w:kern w:val="2"/>
          <w:sz w:val="24"/>
          <w:szCs w:val="24"/>
          <w:lang w:eastAsia="zh-CN" w:bidi="ar-SA"/>
        </w:rPr>
      </w:pPr>
      <w:hyperlink w:anchor="_Toc109141375" w:history="1">
        <w:r w:rsidR="0040620F" w:rsidRPr="002C2B23">
          <w:rPr>
            <w:rStyle w:val="aff"/>
            <w:rFonts w:ascii="宋体" w:hAnsi="宋体"/>
            <w:noProof/>
            <w:sz w:val="24"/>
            <w:szCs w:val="24"/>
            <w:lang w:eastAsia="zh-CN"/>
          </w:rPr>
          <w:t>第十五部分  基金费用与税收</w:t>
        </w:r>
        <w:r w:rsidR="0040620F" w:rsidRPr="002C2B23">
          <w:rPr>
            <w:rFonts w:ascii="宋体" w:hAnsi="宋体"/>
            <w:noProof/>
            <w:sz w:val="24"/>
            <w:szCs w:val="24"/>
          </w:rPr>
          <w:tab/>
        </w:r>
        <w:r w:rsidR="0040620F" w:rsidRPr="002C2B23">
          <w:rPr>
            <w:rFonts w:ascii="宋体" w:hAnsi="宋体"/>
            <w:noProof/>
            <w:sz w:val="24"/>
            <w:szCs w:val="24"/>
          </w:rPr>
          <w:fldChar w:fldCharType="begin"/>
        </w:r>
        <w:r w:rsidR="0040620F" w:rsidRPr="002C2B23">
          <w:rPr>
            <w:rFonts w:ascii="宋体" w:hAnsi="宋体"/>
            <w:noProof/>
            <w:sz w:val="24"/>
            <w:szCs w:val="24"/>
          </w:rPr>
          <w:instrText xml:space="preserve"> PAGEREF _Toc109141375 \h </w:instrText>
        </w:r>
        <w:r w:rsidR="0040620F" w:rsidRPr="002C2B23">
          <w:rPr>
            <w:rFonts w:ascii="宋体" w:hAnsi="宋体"/>
            <w:noProof/>
            <w:sz w:val="24"/>
            <w:szCs w:val="24"/>
          </w:rPr>
        </w:r>
        <w:r w:rsidR="0040620F" w:rsidRPr="002C2B23">
          <w:rPr>
            <w:rFonts w:ascii="宋体" w:hAnsi="宋体"/>
            <w:noProof/>
            <w:sz w:val="24"/>
            <w:szCs w:val="24"/>
          </w:rPr>
          <w:fldChar w:fldCharType="separate"/>
        </w:r>
        <w:r w:rsidR="00CA7E78">
          <w:rPr>
            <w:rFonts w:ascii="宋体" w:hAnsi="宋体"/>
            <w:noProof/>
            <w:sz w:val="24"/>
            <w:szCs w:val="24"/>
          </w:rPr>
          <w:t>73</w:t>
        </w:r>
        <w:r w:rsidR="0040620F" w:rsidRPr="002C2B23">
          <w:rPr>
            <w:rFonts w:ascii="宋体" w:hAnsi="宋体"/>
            <w:noProof/>
            <w:sz w:val="24"/>
            <w:szCs w:val="24"/>
          </w:rPr>
          <w:fldChar w:fldCharType="end"/>
        </w:r>
      </w:hyperlink>
    </w:p>
    <w:p w14:paraId="465AAFF0" w14:textId="3D815022" w:rsidR="005039DD" w:rsidRPr="002C2B23" w:rsidRDefault="00507226">
      <w:pPr>
        <w:pStyle w:val="1"/>
        <w:rPr>
          <w:rFonts w:ascii="宋体" w:hAnsi="宋体" w:cstheme="minorBidi"/>
          <w:noProof/>
          <w:kern w:val="2"/>
          <w:sz w:val="24"/>
          <w:szCs w:val="24"/>
          <w:lang w:eastAsia="zh-CN" w:bidi="ar-SA"/>
        </w:rPr>
      </w:pPr>
      <w:hyperlink w:anchor="_Toc109141376" w:history="1">
        <w:r w:rsidR="0040620F" w:rsidRPr="002C2B23">
          <w:rPr>
            <w:rStyle w:val="aff"/>
            <w:rFonts w:ascii="宋体" w:hAnsi="宋体"/>
            <w:noProof/>
            <w:sz w:val="24"/>
            <w:szCs w:val="24"/>
            <w:lang w:eastAsia="zh-CN"/>
          </w:rPr>
          <w:t>第十六部分  基金的收益与分配</w:t>
        </w:r>
        <w:r w:rsidR="0040620F" w:rsidRPr="002C2B23">
          <w:rPr>
            <w:rFonts w:ascii="宋体" w:hAnsi="宋体"/>
            <w:noProof/>
            <w:sz w:val="24"/>
            <w:szCs w:val="24"/>
          </w:rPr>
          <w:tab/>
        </w:r>
        <w:r w:rsidR="0040620F" w:rsidRPr="002C2B23">
          <w:rPr>
            <w:rFonts w:ascii="宋体" w:hAnsi="宋体"/>
            <w:noProof/>
            <w:sz w:val="24"/>
            <w:szCs w:val="24"/>
          </w:rPr>
          <w:fldChar w:fldCharType="begin"/>
        </w:r>
        <w:r w:rsidR="0040620F" w:rsidRPr="002C2B23">
          <w:rPr>
            <w:rFonts w:ascii="宋体" w:hAnsi="宋体"/>
            <w:noProof/>
            <w:sz w:val="24"/>
            <w:szCs w:val="24"/>
          </w:rPr>
          <w:instrText xml:space="preserve"> PAGEREF _Toc109141376 \h </w:instrText>
        </w:r>
        <w:r w:rsidR="0040620F" w:rsidRPr="002C2B23">
          <w:rPr>
            <w:rFonts w:ascii="宋体" w:hAnsi="宋体"/>
            <w:noProof/>
            <w:sz w:val="24"/>
            <w:szCs w:val="24"/>
          </w:rPr>
        </w:r>
        <w:r w:rsidR="0040620F" w:rsidRPr="002C2B23">
          <w:rPr>
            <w:rFonts w:ascii="宋体" w:hAnsi="宋体"/>
            <w:noProof/>
            <w:sz w:val="24"/>
            <w:szCs w:val="24"/>
          </w:rPr>
          <w:fldChar w:fldCharType="separate"/>
        </w:r>
        <w:r w:rsidR="00CA7E78">
          <w:rPr>
            <w:rFonts w:ascii="宋体" w:hAnsi="宋体"/>
            <w:noProof/>
            <w:sz w:val="24"/>
            <w:szCs w:val="24"/>
          </w:rPr>
          <w:t>77</w:t>
        </w:r>
        <w:r w:rsidR="0040620F" w:rsidRPr="002C2B23">
          <w:rPr>
            <w:rFonts w:ascii="宋体" w:hAnsi="宋体"/>
            <w:noProof/>
            <w:sz w:val="24"/>
            <w:szCs w:val="24"/>
          </w:rPr>
          <w:fldChar w:fldCharType="end"/>
        </w:r>
      </w:hyperlink>
    </w:p>
    <w:p w14:paraId="201C6142" w14:textId="0D1163FE" w:rsidR="005039DD" w:rsidRPr="002C2B23" w:rsidRDefault="00507226">
      <w:pPr>
        <w:pStyle w:val="1"/>
        <w:rPr>
          <w:rFonts w:ascii="宋体" w:hAnsi="宋体" w:cstheme="minorBidi"/>
          <w:noProof/>
          <w:kern w:val="2"/>
          <w:sz w:val="24"/>
          <w:szCs w:val="24"/>
          <w:lang w:eastAsia="zh-CN" w:bidi="ar-SA"/>
        </w:rPr>
      </w:pPr>
      <w:hyperlink w:anchor="_Toc109141377" w:history="1">
        <w:r w:rsidR="0040620F" w:rsidRPr="002C2B23">
          <w:rPr>
            <w:rStyle w:val="aff"/>
            <w:rFonts w:ascii="宋体" w:hAnsi="宋体"/>
            <w:noProof/>
            <w:sz w:val="24"/>
            <w:szCs w:val="24"/>
            <w:lang w:eastAsia="zh-CN"/>
          </w:rPr>
          <w:t>第十七部分  基金的会计与审计</w:t>
        </w:r>
        <w:r w:rsidR="0040620F" w:rsidRPr="002C2B23">
          <w:rPr>
            <w:rFonts w:ascii="宋体" w:hAnsi="宋体"/>
            <w:noProof/>
            <w:sz w:val="24"/>
            <w:szCs w:val="24"/>
          </w:rPr>
          <w:tab/>
        </w:r>
        <w:r w:rsidR="0040620F" w:rsidRPr="002C2B23">
          <w:rPr>
            <w:rFonts w:ascii="宋体" w:hAnsi="宋体"/>
            <w:noProof/>
            <w:sz w:val="24"/>
            <w:szCs w:val="24"/>
          </w:rPr>
          <w:fldChar w:fldCharType="begin"/>
        </w:r>
        <w:r w:rsidR="0040620F" w:rsidRPr="002C2B23">
          <w:rPr>
            <w:rFonts w:ascii="宋体" w:hAnsi="宋体"/>
            <w:noProof/>
            <w:sz w:val="24"/>
            <w:szCs w:val="24"/>
          </w:rPr>
          <w:instrText xml:space="preserve"> PAGEREF _Toc109141377 \h </w:instrText>
        </w:r>
        <w:r w:rsidR="0040620F" w:rsidRPr="002C2B23">
          <w:rPr>
            <w:rFonts w:ascii="宋体" w:hAnsi="宋体"/>
            <w:noProof/>
            <w:sz w:val="24"/>
            <w:szCs w:val="24"/>
          </w:rPr>
        </w:r>
        <w:r w:rsidR="0040620F" w:rsidRPr="002C2B23">
          <w:rPr>
            <w:rFonts w:ascii="宋体" w:hAnsi="宋体"/>
            <w:noProof/>
            <w:sz w:val="24"/>
            <w:szCs w:val="24"/>
          </w:rPr>
          <w:fldChar w:fldCharType="separate"/>
        </w:r>
        <w:r w:rsidR="00CA7E78">
          <w:rPr>
            <w:rFonts w:ascii="宋体" w:hAnsi="宋体"/>
            <w:noProof/>
            <w:sz w:val="24"/>
            <w:szCs w:val="24"/>
          </w:rPr>
          <w:t>79</w:t>
        </w:r>
        <w:r w:rsidR="0040620F" w:rsidRPr="002C2B23">
          <w:rPr>
            <w:rFonts w:ascii="宋体" w:hAnsi="宋体"/>
            <w:noProof/>
            <w:sz w:val="24"/>
            <w:szCs w:val="24"/>
          </w:rPr>
          <w:fldChar w:fldCharType="end"/>
        </w:r>
      </w:hyperlink>
    </w:p>
    <w:p w14:paraId="7BCBD6FF" w14:textId="7DB14DBE" w:rsidR="005039DD" w:rsidRPr="002C2B23" w:rsidRDefault="00507226">
      <w:pPr>
        <w:pStyle w:val="1"/>
        <w:rPr>
          <w:rFonts w:ascii="宋体" w:hAnsi="宋体" w:cstheme="minorBidi"/>
          <w:noProof/>
          <w:kern w:val="2"/>
          <w:sz w:val="24"/>
          <w:szCs w:val="24"/>
          <w:lang w:eastAsia="zh-CN" w:bidi="ar-SA"/>
        </w:rPr>
      </w:pPr>
      <w:hyperlink w:anchor="_Toc109141378" w:history="1">
        <w:r w:rsidR="0040620F" w:rsidRPr="002C2B23">
          <w:rPr>
            <w:rStyle w:val="aff"/>
            <w:rFonts w:ascii="宋体" w:hAnsi="宋体"/>
            <w:noProof/>
            <w:sz w:val="24"/>
            <w:szCs w:val="24"/>
            <w:lang w:eastAsia="zh-CN"/>
          </w:rPr>
          <w:t>第十八部分  基金的信息披露</w:t>
        </w:r>
        <w:r w:rsidR="0040620F" w:rsidRPr="002C2B23">
          <w:rPr>
            <w:rFonts w:ascii="宋体" w:hAnsi="宋体"/>
            <w:noProof/>
            <w:sz w:val="24"/>
            <w:szCs w:val="24"/>
          </w:rPr>
          <w:tab/>
        </w:r>
        <w:r w:rsidR="0040620F" w:rsidRPr="002C2B23">
          <w:rPr>
            <w:rFonts w:ascii="宋体" w:hAnsi="宋体"/>
            <w:noProof/>
            <w:sz w:val="24"/>
            <w:szCs w:val="24"/>
          </w:rPr>
          <w:fldChar w:fldCharType="begin"/>
        </w:r>
        <w:r w:rsidR="0040620F" w:rsidRPr="002C2B23">
          <w:rPr>
            <w:rFonts w:ascii="宋体" w:hAnsi="宋体"/>
            <w:noProof/>
            <w:sz w:val="24"/>
            <w:szCs w:val="24"/>
          </w:rPr>
          <w:instrText xml:space="preserve"> PAGEREF _Toc109141378 \h </w:instrText>
        </w:r>
        <w:r w:rsidR="0040620F" w:rsidRPr="002C2B23">
          <w:rPr>
            <w:rFonts w:ascii="宋体" w:hAnsi="宋体"/>
            <w:noProof/>
            <w:sz w:val="24"/>
            <w:szCs w:val="24"/>
          </w:rPr>
        </w:r>
        <w:r w:rsidR="0040620F" w:rsidRPr="002C2B23">
          <w:rPr>
            <w:rFonts w:ascii="宋体" w:hAnsi="宋体"/>
            <w:noProof/>
            <w:sz w:val="24"/>
            <w:szCs w:val="24"/>
          </w:rPr>
          <w:fldChar w:fldCharType="separate"/>
        </w:r>
        <w:r w:rsidR="00CA7E78">
          <w:rPr>
            <w:rFonts w:ascii="宋体" w:hAnsi="宋体"/>
            <w:noProof/>
            <w:sz w:val="24"/>
            <w:szCs w:val="24"/>
          </w:rPr>
          <w:t>80</w:t>
        </w:r>
        <w:r w:rsidR="0040620F" w:rsidRPr="002C2B23">
          <w:rPr>
            <w:rFonts w:ascii="宋体" w:hAnsi="宋体"/>
            <w:noProof/>
            <w:sz w:val="24"/>
            <w:szCs w:val="24"/>
          </w:rPr>
          <w:fldChar w:fldCharType="end"/>
        </w:r>
      </w:hyperlink>
    </w:p>
    <w:p w14:paraId="5603F36A" w14:textId="2A2AECD2" w:rsidR="005039DD" w:rsidRPr="002C2B23" w:rsidRDefault="00507226">
      <w:pPr>
        <w:pStyle w:val="1"/>
        <w:rPr>
          <w:rFonts w:ascii="宋体" w:hAnsi="宋体" w:cstheme="minorBidi"/>
          <w:noProof/>
          <w:kern w:val="2"/>
          <w:sz w:val="24"/>
          <w:szCs w:val="24"/>
          <w:lang w:eastAsia="zh-CN" w:bidi="ar-SA"/>
        </w:rPr>
      </w:pPr>
      <w:hyperlink w:anchor="_Toc109141379" w:history="1">
        <w:r w:rsidR="0040620F" w:rsidRPr="002C2B23">
          <w:rPr>
            <w:rStyle w:val="aff"/>
            <w:rFonts w:ascii="宋体" w:hAnsi="宋体"/>
            <w:noProof/>
            <w:sz w:val="24"/>
            <w:szCs w:val="24"/>
            <w:lang w:eastAsia="zh-CN"/>
          </w:rPr>
          <w:t>第十九部分  基金合同的变更、终止与基金财产的清算</w:t>
        </w:r>
        <w:r w:rsidR="0040620F" w:rsidRPr="002C2B23">
          <w:rPr>
            <w:rFonts w:ascii="宋体" w:hAnsi="宋体"/>
            <w:noProof/>
            <w:sz w:val="24"/>
            <w:szCs w:val="24"/>
          </w:rPr>
          <w:tab/>
        </w:r>
        <w:r w:rsidR="0040620F" w:rsidRPr="002C2B23">
          <w:rPr>
            <w:rFonts w:ascii="宋体" w:hAnsi="宋体"/>
            <w:noProof/>
            <w:sz w:val="24"/>
            <w:szCs w:val="24"/>
          </w:rPr>
          <w:fldChar w:fldCharType="begin"/>
        </w:r>
        <w:r w:rsidR="0040620F" w:rsidRPr="002C2B23">
          <w:rPr>
            <w:rFonts w:ascii="宋体" w:hAnsi="宋体"/>
            <w:noProof/>
            <w:sz w:val="24"/>
            <w:szCs w:val="24"/>
          </w:rPr>
          <w:instrText xml:space="preserve"> PAGEREF _Toc109141379 \h </w:instrText>
        </w:r>
        <w:r w:rsidR="0040620F" w:rsidRPr="002C2B23">
          <w:rPr>
            <w:rFonts w:ascii="宋体" w:hAnsi="宋体"/>
            <w:noProof/>
            <w:sz w:val="24"/>
            <w:szCs w:val="24"/>
          </w:rPr>
        </w:r>
        <w:r w:rsidR="0040620F" w:rsidRPr="002C2B23">
          <w:rPr>
            <w:rFonts w:ascii="宋体" w:hAnsi="宋体"/>
            <w:noProof/>
            <w:sz w:val="24"/>
            <w:szCs w:val="24"/>
          </w:rPr>
          <w:fldChar w:fldCharType="separate"/>
        </w:r>
        <w:r w:rsidR="00CA7E78">
          <w:rPr>
            <w:rFonts w:ascii="宋体" w:hAnsi="宋体"/>
            <w:noProof/>
            <w:sz w:val="24"/>
            <w:szCs w:val="24"/>
          </w:rPr>
          <w:t>88</w:t>
        </w:r>
        <w:r w:rsidR="0040620F" w:rsidRPr="002C2B23">
          <w:rPr>
            <w:rFonts w:ascii="宋体" w:hAnsi="宋体"/>
            <w:noProof/>
            <w:sz w:val="24"/>
            <w:szCs w:val="24"/>
          </w:rPr>
          <w:fldChar w:fldCharType="end"/>
        </w:r>
      </w:hyperlink>
    </w:p>
    <w:p w14:paraId="709E103B" w14:textId="6981309F" w:rsidR="005039DD" w:rsidRPr="002C2B23" w:rsidRDefault="00507226">
      <w:pPr>
        <w:pStyle w:val="1"/>
        <w:rPr>
          <w:rFonts w:ascii="宋体" w:hAnsi="宋体" w:cstheme="minorBidi"/>
          <w:noProof/>
          <w:kern w:val="2"/>
          <w:sz w:val="24"/>
          <w:szCs w:val="24"/>
          <w:lang w:eastAsia="zh-CN" w:bidi="ar-SA"/>
        </w:rPr>
      </w:pPr>
      <w:hyperlink w:anchor="_Toc109141380" w:history="1">
        <w:r w:rsidR="0040620F" w:rsidRPr="002C2B23">
          <w:rPr>
            <w:rStyle w:val="aff"/>
            <w:rFonts w:ascii="宋体" w:hAnsi="宋体"/>
            <w:noProof/>
            <w:sz w:val="24"/>
            <w:szCs w:val="24"/>
            <w:lang w:eastAsia="zh-CN"/>
          </w:rPr>
          <w:t>第二十部分  违约责任</w:t>
        </w:r>
        <w:r w:rsidR="0040620F" w:rsidRPr="002C2B23">
          <w:rPr>
            <w:rFonts w:ascii="宋体" w:hAnsi="宋体"/>
            <w:noProof/>
            <w:sz w:val="24"/>
            <w:szCs w:val="24"/>
          </w:rPr>
          <w:tab/>
        </w:r>
        <w:r w:rsidR="0040620F" w:rsidRPr="002C2B23">
          <w:rPr>
            <w:rFonts w:ascii="宋体" w:hAnsi="宋体"/>
            <w:noProof/>
            <w:sz w:val="24"/>
            <w:szCs w:val="24"/>
          </w:rPr>
          <w:fldChar w:fldCharType="begin"/>
        </w:r>
        <w:r w:rsidR="0040620F" w:rsidRPr="002C2B23">
          <w:rPr>
            <w:rFonts w:ascii="宋体" w:hAnsi="宋体"/>
            <w:noProof/>
            <w:sz w:val="24"/>
            <w:szCs w:val="24"/>
          </w:rPr>
          <w:instrText xml:space="preserve"> PAGEREF _Toc109141380 \h </w:instrText>
        </w:r>
        <w:r w:rsidR="0040620F" w:rsidRPr="002C2B23">
          <w:rPr>
            <w:rFonts w:ascii="宋体" w:hAnsi="宋体"/>
            <w:noProof/>
            <w:sz w:val="24"/>
            <w:szCs w:val="24"/>
          </w:rPr>
        </w:r>
        <w:r w:rsidR="0040620F" w:rsidRPr="002C2B23">
          <w:rPr>
            <w:rFonts w:ascii="宋体" w:hAnsi="宋体"/>
            <w:noProof/>
            <w:sz w:val="24"/>
            <w:szCs w:val="24"/>
          </w:rPr>
          <w:fldChar w:fldCharType="separate"/>
        </w:r>
        <w:r w:rsidR="00CA7E78">
          <w:rPr>
            <w:rFonts w:ascii="宋体" w:hAnsi="宋体"/>
            <w:noProof/>
            <w:sz w:val="24"/>
            <w:szCs w:val="24"/>
          </w:rPr>
          <w:t>91</w:t>
        </w:r>
        <w:r w:rsidR="0040620F" w:rsidRPr="002C2B23">
          <w:rPr>
            <w:rFonts w:ascii="宋体" w:hAnsi="宋体"/>
            <w:noProof/>
            <w:sz w:val="24"/>
            <w:szCs w:val="24"/>
          </w:rPr>
          <w:fldChar w:fldCharType="end"/>
        </w:r>
      </w:hyperlink>
    </w:p>
    <w:p w14:paraId="7AE1A8C2" w14:textId="73B52411" w:rsidR="005039DD" w:rsidRPr="002C2B23" w:rsidRDefault="00507226">
      <w:pPr>
        <w:pStyle w:val="1"/>
        <w:rPr>
          <w:rFonts w:ascii="宋体" w:hAnsi="宋体" w:cstheme="minorBidi"/>
          <w:noProof/>
          <w:kern w:val="2"/>
          <w:sz w:val="24"/>
          <w:szCs w:val="24"/>
          <w:lang w:eastAsia="zh-CN" w:bidi="ar-SA"/>
        </w:rPr>
      </w:pPr>
      <w:hyperlink w:anchor="_Toc109141381" w:history="1">
        <w:r w:rsidR="0040620F" w:rsidRPr="002C2B23">
          <w:rPr>
            <w:rStyle w:val="aff"/>
            <w:rFonts w:ascii="宋体" w:hAnsi="宋体"/>
            <w:noProof/>
            <w:sz w:val="24"/>
            <w:szCs w:val="24"/>
            <w:lang w:eastAsia="zh-CN"/>
          </w:rPr>
          <w:t>第二十一部分  争议的处理和适用的法律</w:t>
        </w:r>
        <w:r w:rsidR="0040620F" w:rsidRPr="002C2B23">
          <w:rPr>
            <w:rFonts w:ascii="宋体" w:hAnsi="宋体"/>
            <w:noProof/>
            <w:sz w:val="24"/>
            <w:szCs w:val="24"/>
          </w:rPr>
          <w:tab/>
        </w:r>
        <w:r w:rsidR="0040620F" w:rsidRPr="002C2B23">
          <w:rPr>
            <w:rFonts w:ascii="宋体" w:hAnsi="宋体"/>
            <w:noProof/>
            <w:sz w:val="24"/>
            <w:szCs w:val="24"/>
          </w:rPr>
          <w:fldChar w:fldCharType="begin"/>
        </w:r>
        <w:r w:rsidR="0040620F" w:rsidRPr="002C2B23">
          <w:rPr>
            <w:rFonts w:ascii="宋体" w:hAnsi="宋体"/>
            <w:noProof/>
            <w:sz w:val="24"/>
            <w:szCs w:val="24"/>
          </w:rPr>
          <w:instrText xml:space="preserve"> PAGEREF _Toc109141381 \h </w:instrText>
        </w:r>
        <w:r w:rsidR="0040620F" w:rsidRPr="002C2B23">
          <w:rPr>
            <w:rFonts w:ascii="宋体" w:hAnsi="宋体"/>
            <w:noProof/>
            <w:sz w:val="24"/>
            <w:szCs w:val="24"/>
          </w:rPr>
        </w:r>
        <w:r w:rsidR="0040620F" w:rsidRPr="002C2B23">
          <w:rPr>
            <w:rFonts w:ascii="宋体" w:hAnsi="宋体"/>
            <w:noProof/>
            <w:sz w:val="24"/>
            <w:szCs w:val="24"/>
          </w:rPr>
          <w:fldChar w:fldCharType="separate"/>
        </w:r>
        <w:r w:rsidR="00CA7E78">
          <w:rPr>
            <w:rFonts w:ascii="宋体" w:hAnsi="宋体"/>
            <w:noProof/>
            <w:sz w:val="24"/>
            <w:szCs w:val="24"/>
          </w:rPr>
          <w:t>92</w:t>
        </w:r>
        <w:r w:rsidR="0040620F" w:rsidRPr="002C2B23">
          <w:rPr>
            <w:rFonts w:ascii="宋体" w:hAnsi="宋体"/>
            <w:noProof/>
            <w:sz w:val="24"/>
            <w:szCs w:val="24"/>
          </w:rPr>
          <w:fldChar w:fldCharType="end"/>
        </w:r>
      </w:hyperlink>
    </w:p>
    <w:p w14:paraId="3E140819" w14:textId="2D4E3278" w:rsidR="005039DD" w:rsidRPr="002C2B23" w:rsidRDefault="00507226">
      <w:pPr>
        <w:pStyle w:val="1"/>
        <w:rPr>
          <w:rFonts w:ascii="宋体" w:hAnsi="宋体" w:cstheme="minorBidi"/>
          <w:noProof/>
          <w:kern w:val="2"/>
          <w:sz w:val="24"/>
          <w:szCs w:val="24"/>
          <w:lang w:eastAsia="zh-CN" w:bidi="ar-SA"/>
        </w:rPr>
      </w:pPr>
      <w:hyperlink w:anchor="_Toc109141382" w:history="1">
        <w:r w:rsidR="0040620F" w:rsidRPr="002C2B23">
          <w:rPr>
            <w:rStyle w:val="aff"/>
            <w:rFonts w:ascii="宋体" w:hAnsi="宋体"/>
            <w:noProof/>
            <w:sz w:val="24"/>
            <w:szCs w:val="24"/>
            <w:lang w:eastAsia="zh-CN"/>
          </w:rPr>
          <w:t>第二十二部分  基金合同的效力</w:t>
        </w:r>
        <w:r w:rsidR="0040620F" w:rsidRPr="002C2B23">
          <w:rPr>
            <w:rFonts w:ascii="宋体" w:hAnsi="宋体"/>
            <w:noProof/>
            <w:sz w:val="24"/>
            <w:szCs w:val="24"/>
          </w:rPr>
          <w:tab/>
        </w:r>
        <w:r w:rsidR="0040620F" w:rsidRPr="002C2B23">
          <w:rPr>
            <w:rFonts w:ascii="宋体" w:hAnsi="宋体"/>
            <w:noProof/>
            <w:sz w:val="24"/>
            <w:szCs w:val="24"/>
          </w:rPr>
          <w:fldChar w:fldCharType="begin"/>
        </w:r>
        <w:r w:rsidR="0040620F" w:rsidRPr="002C2B23">
          <w:rPr>
            <w:rFonts w:ascii="宋体" w:hAnsi="宋体"/>
            <w:noProof/>
            <w:sz w:val="24"/>
            <w:szCs w:val="24"/>
          </w:rPr>
          <w:instrText xml:space="preserve"> PAGEREF _Toc109141382 \h </w:instrText>
        </w:r>
        <w:r w:rsidR="0040620F" w:rsidRPr="002C2B23">
          <w:rPr>
            <w:rFonts w:ascii="宋体" w:hAnsi="宋体"/>
            <w:noProof/>
            <w:sz w:val="24"/>
            <w:szCs w:val="24"/>
          </w:rPr>
        </w:r>
        <w:r w:rsidR="0040620F" w:rsidRPr="002C2B23">
          <w:rPr>
            <w:rFonts w:ascii="宋体" w:hAnsi="宋体"/>
            <w:noProof/>
            <w:sz w:val="24"/>
            <w:szCs w:val="24"/>
          </w:rPr>
          <w:fldChar w:fldCharType="separate"/>
        </w:r>
        <w:r w:rsidR="00CA7E78">
          <w:rPr>
            <w:rFonts w:ascii="宋体" w:hAnsi="宋体"/>
            <w:noProof/>
            <w:sz w:val="24"/>
            <w:szCs w:val="24"/>
          </w:rPr>
          <w:t>93</w:t>
        </w:r>
        <w:r w:rsidR="0040620F" w:rsidRPr="002C2B23">
          <w:rPr>
            <w:rFonts w:ascii="宋体" w:hAnsi="宋体"/>
            <w:noProof/>
            <w:sz w:val="24"/>
            <w:szCs w:val="24"/>
          </w:rPr>
          <w:fldChar w:fldCharType="end"/>
        </w:r>
      </w:hyperlink>
    </w:p>
    <w:p w14:paraId="21877708" w14:textId="23104494" w:rsidR="005039DD" w:rsidRPr="002C2B23" w:rsidRDefault="00507226">
      <w:pPr>
        <w:pStyle w:val="1"/>
        <w:rPr>
          <w:rFonts w:ascii="宋体" w:hAnsi="宋体" w:cstheme="minorBidi"/>
          <w:noProof/>
          <w:kern w:val="2"/>
          <w:sz w:val="24"/>
          <w:szCs w:val="24"/>
          <w:lang w:eastAsia="zh-CN" w:bidi="ar-SA"/>
        </w:rPr>
      </w:pPr>
      <w:hyperlink w:anchor="_Toc109141383" w:history="1">
        <w:r w:rsidR="0040620F" w:rsidRPr="002C2B23">
          <w:rPr>
            <w:rStyle w:val="aff"/>
            <w:rFonts w:ascii="宋体" w:hAnsi="宋体"/>
            <w:noProof/>
            <w:sz w:val="24"/>
            <w:szCs w:val="24"/>
            <w:lang w:eastAsia="zh-CN"/>
          </w:rPr>
          <w:t>第二十三部分  其他事项</w:t>
        </w:r>
        <w:r w:rsidR="0040620F" w:rsidRPr="002C2B23">
          <w:rPr>
            <w:rFonts w:ascii="宋体" w:hAnsi="宋体"/>
            <w:noProof/>
            <w:sz w:val="24"/>
            <w:szCs w:val="24"/>
          </w:rPr>
          <w:tab/>
        </w:r>
        <w:r w:rsidR="0040620F" w:rsidRPr="002C2B23">
          <w:rPr>
            <w:rFonts w:ascii="宋体" w:hAnsi="宋体"/>
            <w:noProof/>
            <w:sz w:val="24"/>
            <w:szCs w:val="24"/>
          </w:rPr>
          <w:fldChar w:fldCharType="begin"/>
        </w:r>
        <w:r w:rsidR="0040620F" w:rsidRPr="002C2B23">
          <w:rPr>
            <w:rFonts w:ascii="宋体" w:hAnsi="宋体"/>
            <w:noProof/>
            <w:sz w:val="24"/>
            <w:szCs w:val="24"/>
          </w:rPr>
          <w:instrText xml:space="preserve"> PAGEREF _Toc109141383 \h </w:instrText>
        </w:r>
        <w:r w:rsidR="0040620F" w:rsidRPr="002C2B23">
          <w:rPr>
            <w:rFonts w:ascii="宋体" w:hAnsi="宋体"/>
            <w:noProof/>
            <w:sz w:val="24"/>
            <w:szCs w:val="24"/>
          </w:rPr>
        </w:r>
        <w:r w:rsidR="0040620F" w:rsidRPr="002C2B23">
          <w:rPr>
            <w:rFonts w:ascii="宋体" w:hAnsi="宋体"/>
            <w:noProof/>
            <w:sz w:val="24"/>
            <w:szCs w:val="24"/>
          </w:rPr>
          <w:fldChar w:fldCharType="separate"/>
        </w:r>
        <w:r w:rsidR="00CA7E78">
          <w:rPr>
            <w:rFonts w:ascii="宋体" w:hAnsi="宋体"/>
            <w:noProof/>
            <w:sz w:val="24"/>
            <w:szCs w:val="24"/>
          </w:rPr>
          <w:t>94</w:t>
        </w:r>
        <w:r w:rsidR="0040620F" w:rsidRPr="002C2B23">
          <w:rPr>
            <w:rFonts w:ascii="宋体" w:hAnsi="宋体"/>
            <w:noProof/>
            <w:sz w:val="24"/>
            <w:szCs w:val="24"/>
          </w:rPr>
          <w:fldChar w:fldCharType="end"/>
        </w:r>
      </w:hyperlink>
    </w:p>
    <w:p w14:paraId="64EE407A" w14:textId="6BAB0B7A" w:rsidR="005039DD" w:rsidRPr="002C2B23" w:rsidRDefault="00507226">
      <w:pPr>
        <w:pStyle w:val="1"/>
        <w:rPr>
          <w:rFonts w:ascii="宋体" w:hAnsi="宋体" w:cstheme="minorBidi"/>
          <w:noProof/>
          <w:kern w:val="2"/>
          <w:sz w:val="24"/>
          <w:szCs w:val="24"/>
          <w:lang w:eastAsia="zh-CN" w:bidi="ar-SA"/>
        </w:rPr>
      </w:pPr>
      <w:hyperlink w:anchor="_Toc109141384" w:history="1">
        <w:r w:rsidR="0040620F" w:rsidRPr="002C2B23">
          <w:rPr>
            <w:rStyle w:val="aff"/>
            <w:rFonts w:ascii="宋体" w:hAnsi="宋体"/>
            <w:noProof/>
            <w:sz w:val="24"/>
            <w:szCs w:val="24"/>
            <w:lang w:eastAsia="zh-CN"/>
          </w:rPr>
          <w:t>第二十四部分  基金合同摘要</w:t>
        </w:r>
        <w:r w:rsidR="0040620F" w:rsidRPr="002C2B23">
          <w:rPr>
            <w:rFonts w:ascii="宋体" w:hAnsi="宋体"/>
            <w:noProof/>
            <w:sz w:val="24"/>
            <w:szCs w:val="24"/>
          </w:rPr>
          <w:tab/>
        </w:r>
        <w:r w:rsidR="0040620F" w:rsidRPr="002C2B23">
          <w:rPr>
            <w:rFonts w:ascii="宋体" w:hAnsi="宋体"/>
            <w:noProof/>
            <w:sz w:val="24"/>
            <w:szCs w:val="24"/>
          </w:rPr>
          <w:fldChar w:fldCharType="begin"/>
        </w:r>
        <w:r w:rsidR="0040620F" w:rsidRPr="002C2B23">
          <w:rPr>
            <w:rFonts w:ascii="宋体" w:hAnsi="宋体"/>
            <w:noProof/>
            <w:sz w:val="24"/>
            <w:szCs w:val="24"/>
          </w:rPr>
          <w:instrText xml:space="preserve"> PAGEREF _Toc109141384 \h </w:instrText>
        </w:r>
        <w:r w:rsidR="0040620F" w:rsidRPr="002C2B23">
          <w:rPr>
            <w:rFonts w:ascii="宋体" w:hAnsi="宋体"/>
            <w:noProof/>
            <w:sz w:val="24"/>
            <w:szCs w:val="24"/>
          </w:rPr>
        </w:r>
        <w:r w:rsidR="0040620F" w:rsidRPr="002C2B23">
          <w:rPr>
            <w:rFonts w:ascii="宋体" w:hAnsi="宋体"/>
            <w:noProof/>
            <w:sz w:val="24"/>
            <w:szCs w:val="24"/>
          </w:rPr>
          <w:fldChar w:fldCharType="separate"/>
        </w:r>
        <w:r w:rsidR="00CA7E78">
          <w:rPr>
            <w:rFonts w:ascii="宋体" w:hAnsi="宋体"/>
            <w:noProof/>
            <w:sz w:val="24"/>
            <w:szCs w:val="24"/>
          </w:rPr>
          <w:t>95</w:t>
        </w:r>
        <w:r w:rsidR="0040620F" w:rsidRPr="002C2B23">
          <w:rPr>
            <w:rFonts w:ascii="宋体" w:hAnsi="宋体"/>
            <w:noProof/>
            <w:sz w:val="24"/>
            <w:szCs w:val="24"/>
          </w:rPr>
          <w:fldChar w:fldCharType="end"/>
        </w:r>
      </w:hyperlink>
    </w:p>
    <w:p w14:paraId="1EBA2AC7" w14:textId="77777777" w:rsidR="005039DD" w:rsidRPr="002C2B23" w:rsidRDefault="0040620F">
      <w:pPr>
        <w:pStyle w:val="112"/>
        <w:spacing w:before="0" w:after="0"/>
        <w:rPr>
          <w:rFonts w:ascii="Times New Roman"/>
          <w:b w:val="0"/>
          <w:bCs/>
        </w:rPr>
        <w:sectPr w:rsidR="005039DD" w:rsidRPr="002C2B23">
          <w:headerReference w:type="default" r:id="rId11"/>
          <w:headerReference w:type="first" r:id="rId12"/>
          <w:pgSz w:w="12240" w:h="15840"/>
          <w:pgMar w:top="1440" w:right="1800" w:bottom="1440" w:left="1800" w:header="720" w:footer="720" w:gutter="0"/>
          <w:cols w:space="720"/>
          <w:titlePg/>
          <w:docGrid w:linePitch="312"/>
        </w:sectPr>
      </w:pPr>
      <w:r w:rsidRPr="002C2B23">
        <w:rPr>
          <w:rFonts w:hAnsi="宋体"/>
          <w:b w:val="0"/>
          <w:bCs/>
          <w:szCs w:val="24"/>
        </w:rPr>
        <w:fldChar w:fldCharType="end"/>
      </w:r>
    </w:p>
    <w:p w14:paraId="6707D4CE" w14:textId="77777777" w:rsidR="005039DD" w:rsidRPr="002C2B23" w:rsidRDefault="0040620F">
      <w:pPr>
        <w:pStyle w:val="112"/>
        <w:spacing w:before="0" w:after="0"/>
        <w:jc w:val="center"/>
        <w:rPr>
          <w:rFonts w:ascii="Times New Roman"/>
          <w:sz w:val="30"/>
          <w:lang w:eastAsia="zh-CN"/>
        </w:rPr>
      </w:pPr>
      <w:bookmarkStart w:id="36" w:name="_Toc109141361"/>
      <w:bookmarkStart w:id="37" w:name="_Toc11660"/>
      <w:r w:rsidRPr="002C2B23">
        <w:rPr>
          <w:rFonts w:ascii="Times New Roman"/>
          <w:sz w:val="30"/>
          <w:lang w:eastAsia="zh-CN"/>
        </w:rPr>
        <w:t>第一部分</w:t>
      </w:r>
      <w:r w:rsidRPr="002C2B23">
        <w:rPr>
          <w:rFonts w:ascii="Times New Roman"/>
          <w:sz w:val="30"/>
          <w:lang w:eastAsia="zh-CN"/>
        </w:rPr>
        <w:t xml:space="preserve">  </w:t>
      </w:r>
      <w:r w:rsidRPr="002C2B23">
        <w:rPr>
          <w:rFonts w:ascii="Times New Roman"/>
          <w:sz w:val="30"/>
          <w:lang w:eastAsia="zh-CN"/>
        </w:rPr>
        <w:t>前言</w:t>
      </w:r>
      <w:bookmarkEnd w:id="20"/>
      <w:bookmarkEnd w:id="21"/>
      <w:bookmarkEnd w:id="22"/>
      <w:bookmarkEnd w:id="23"/>
      <w:bookmarkEnd w:id="24"/>
      <w:bookmarkEnd w:id="25"/>
      <w:bookmarkEnd w:id="26"/>
      <w:bookmarkEnd w:id="27"/>
      <w:bookmarkEnd w:id="28"/>
      <w:bookmarkEnd w:id="29"/>
      <w:bookmarkEnd w:id="30"/>
      <w:bookmarkEnd w:id="31"/>
      <w:bookmarkEnd w:id="36"/>
      <w:bookmarkEnd w:id="37"/>
    </w:p>
    <w:p w14:paraId="327BCBBD" w14:textId="77777777" w:rsidR="005039DD" w:rsidRPr="002C2B23" w:rsidRDefault="005039DD">
      <w:pPr>
        <w:rPr>
          <w:bCs/>
          <w:lang w:eastAsia="zh-CN"/>
        </w:rPr>
      </w:pPr>
      <w:bookmarkStart w:id="38" w:name="_Toc139991731"/>
    </w:p>
    <w:p w14:paraId="5243D086" w14:textId="77777777" w:rsidR="005039DD" w:rsidRPr="002C2B23" w:rsidRDefault="0040620F">
      <w:pPr>
        <w:spacing w:line="360" w:lineRule="auto"/>
        <w:ind w:firstLine="480"/>
        <w:rPr>
          <w:bCs/>
          <w:sz w:val="24"/>
          <w:lang w:eastAsia="zh-CN"/>
        </w:rPr>
      </w:pPr>
      <w:bookmarkStart w:id="39" w:name="_Toc258829399"/>
      <w:bookmarkEnd w:id="32"/>
      <w:bookmarkEnd w:id="33"/>
      <w:bookmarkEnd w:id="34"/>
      <w:bookmarkEnd w:id="38"/>
      <w:r w:rsidRPr="002C2B23">
        <w:rPr>
          <w:bCs/>
          <w:sz w:val="24"/>
          <w:lang w:eastAsia="zh-CN"/>
        </w:rPr>
        <w:t>一、订立本基金合同的目的、依据和原则</w:t>
      </w:r>
    </w:p>
    <w:p w14:paraId="0EA38DBC"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、订立本基金合同的目的是保护投资人合法权益，明确基金合同当事人的权利义务，规范基金运作。</w:t>
      </w:r>
    </w:p>
    <w:p w14:paraId="33810BBC"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、订立本基金合同的依据是《中华人民共和国</w:t>
      </w:r>
      <w:r w:rsidRPr="002C2B23">
        <w:rPr>
          <w:rFonts w:hint="eastAsia"/>
          <w:bCs/>
          <w:sz w:val="24"/>
          <w:lang w:eastAsia="zh-CN"/>
        </w:rPr>
        <w:t>民法典</w:t>
      </w:r>
      <w:r w:rsidRPr="002C2B23">
        <w:rPr>
          <w:bCs/>
          <w:sz w:val="24"/>
          <w:lang w:eastAsia="zh-CN"/>
        </w:rPr>
        <w:t>》《中华人民共和国证券法》（以下简称</w:t>
      </w:r>
      <w:r w:rsidRPr="002C2B23">
        <w:rPr>
          <w:rFonts w:hint="eastAsia"/>
          <w:bCs/>
          <w:sz w:val="24"/>
          <w:lang w:eastAsia="zh-CN"/>
        </w:rPr>
        <w:t>“</w:t>
      </w:r>
      <w:r w:rsidRPr="002C2B23">
        <w:rPr>
          <w:bCs/>
          <w:sz w:val="24"/>
          <w:lang w:eastAsia="zh-CN"/>
        </w:rPr>
        <w:t>《证券法》</w:t>
      </w:r>
      <w:r w:rsidRPr="002C2B23">
        <w:rPr>
          <w:rFonts w:hint="eastAsia"/>
          <w:bCs/>
          <w:sz w:val="24"/>
          <w:lang w:eastAsia="zh-CN"/>
        </w:rPr>
        <w:t>”</w:t>
      </w:r>
      <w:r w:rsidRPr="002C2B23">
        <w:rPr>
          <w:bCs/>
          <w:sz w:val="24"/>
          <w:lang w:eastAsia="zh-CN"/>
        </w:rPr>
        <w:t>）、《中华人民共和国证券投资基金法》（以下简称</w:t>
      </w:r>
      <w:r w:rsidRPr="002C2B23">
        <w:rPr>
          <w:rFonts w:hint="eastAsia"/>
          <w:bCs/>
          <w:sz w:val="24"/>
          <w:lang w:eastAsia="zh-CN"/>
        </w:rPr>
        <w:t>“</w:t>
      </w:r>
      <w:r w:rsidRPr="002C2B23">
        <w:rPr>
          <w:bCs/>
          <w:sz w:val="24"/>
          <w:lang w:eastAsia="zh-CN"/>
        </w:rPr>
        <w:t>《基金法》</w:t>
      </w:r>
      <w:r w:rsidRPr="002C2B23">
        <w:rPr>
          <w:rFonts w:hint="eastAsia"/>
          <w:bCs/>
          <w:sz w:val="24"/>
          <w:lang w:eastAsia="zh-CN"/>
        </w:rPr>
        <w:t>”</w:t>
      </w:r>
      <w:r w:rsidRPr="002C2B23">
        <w:rPr>
          <w:bCs/>
          <w:sz w:val="24"/>
          <w:lang w:eastAsia="zh-CN"/>
        </w:rPr>
        <w:t>）、《公开募集证券投资基金运作管理办法》（以下简称</w:t>
      </w:r>
      <w:r w:rsidRPr="002C2B23">
        <w:rPr>
          <w:rFonts w:hint="eastAsia"/>
          <w:bCs/>
          <w:sz w:val="24"/>
          <w:lang w:eastAsia="zh-CN"/>
        </w:rPr>
        <w:t>“</w:t>
      </w:r>
      <w:r w:rsidRPr="002C2B23">
        <w:rPr>
          <w:bCs/>
          <w:sz w:val="24"/>
          <w:lang w:eastAsia="zh-CN"/>
        </w:rPr>
        <w:t>《运作办法》</w:t>
      </w:r>
      <w:r w:rsidRPr="002C2B23">
        <w:rPr>
          <w:rFonts w:hint="eastAsia"/>
          <w:bCs/>
          <w:sz w:val="24"/>
          <w:lang w:eastAsia="zh-CN"/>
        </w:rPr>
        <w:t>”</w:t>
      </w:r>
      <w:r w:rsidRPr="002C2B23">
        <w:rPr>
          <w:bCs/>
          <w:sz w:val="24"/>
          <w:lang w:eastAsia="zh-CN"/>
        </w:rPr>
        <w:t>）、《公开募集证券投资基金销售机构监督管理办法》（以下简称</w:t>
      </w:r>
      <w:r w:rsidRPr="002C2B23">
        <w:rPr>
          <w:rFonts w:hint="eastAsia"/>
          <w:bCs/>
          <w:sz w:val="24"/>
          <w:lang w:eastAsia="zh-CN"/>
        </w:rPr>
        <w:t>“</w:t>
      </w:r>
      <w:r w:rsidRPr="002C2B23">
        <w:rPr>
          <w:bCs/>
          <w:sz w:val="24"/>
          <w:lang w:eastAsia="zh-CN"/>
        </w:rPr>
        <w:t>《销售办法》</w:t>
      </w:r>
      <w:r w:rsidRPr="002C2B23">
        <w:rPr>
          <w:rFonts w:hint="eastAsia"/>
          <w:bCs/>
          <w:sz w:val="24"/>
          <w:lang w:eastAsia="zh-CN"/>
        </w:rPr>
        <w:t>”</w:t>
      </w:r>
      <w:r w:rsidRPr="002C2B23">
        <w:rPr>
          <w:bCs/>
          <w:sz w:val="24"/>
          <w:lang w:eastAsia="zh-CN"/>
        </w:rPr>
        <w:t>）、《公开募集证券投资基金信息披露管理办法》（以下简称</w:t>
      </w:r>
      <w:r w:rsidRPr="002C2B23">
        <w:rPr>
          <w:rFonts w:hint="eastAsia"/>
          <w:bCs/>
          <w:sz w:val="24"/>
          <w:lang w:eastAsia="zh-CN"/>
        </w:rPr>
        <w:t>“</w:t>
      </w:r>
      <w:r w:rsidRPr="002C2B23">
        <w:rPr>
          <w:bCs/>
          <w:sz w:val="24"/>
          <w:lang w:eastAsia="zh-CN"/>
        </w:rPr>
        <w:t>《信息披露办法》</w:t>
      </w:r>
      <w:r w:rsidRPr="002C2B23">
        <w:rPr>
          <w:rFonts w:hint="eastAsia"/>
          <w:bCs/>
          <w:sz w:val="24"/>
          <w:lang w:eastAsia="zh-CN"/>
        </w:rPr>
        <w:t>”</w:t>
      </w:r>
      <w:r w:rsidRPr="002C2B23">
        <w:rPr>
          <w:bCs/>
          <w:sz w:val="24"/>
          <w:lang w:eastAsia="zh-CN"/>
        </w:rPr>
        <w:t>）、《公开募集开放式证券投资基金流动性风险管理规定》（以下简称</w:t>
      </w:r>
      <w:r w:rsidRPr="002C2B23">
        <w:rPr>
          <w:rFonts w:hint="eastAsia"/>
          <w:bCs/>
          <w:sz w:val="24"/>
          <w:lang w:eastAsia="zh-CN"/>
        </w:rPr>
        <w:t>“</w:t>
      </w:r>
      <w:r w:rsidRPr="002C2B23">
        <w:rPr>
          <w:bCs/>
          <w:sz w:val="24"/>
          <w:lang w:eastAsia="zh-CN"/>
        </w:rPr>
        <w:t>《流动性风险管理规定》</w:t>
      </w:r>
      <w:r w:rsidRPr="002C2B23">
        <w:rPr>
          <w:rFonts w:hint="eastAsia"/>
          <w:bCs/>
          <w:sz w:val="24"/>
          <w:lang w:eastAsia="zh-CN"/>
        </w:rPr>
        <w:t>”</w:t>
      </w:r>
      <w:r w:rsidRPr="002C2B23">
        <w:rPr>
          <w:bCs/>
          <w:sz w:val="24"/>
          <w:lang w:eastAsia="zh-CN"/>
        </w:rPr>
        <w:t>）和其他有关法律法规。</w:t>
      </w:r>
    </w:p>
    <w:p w14:paraId="78AC0C1A"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、订立本基金合同的原则是平等自愿、诚实信用、充分保护投资人合法权益。</w:t>
      </w:r>
    </w:p>
    <w:p w14:paraId="7B59355B" w14:textId="77777777" w:rsidR="005039DD" w:rsidRPr="002C2B23" w:rsidRDefault="005039DD">
      <w:pPr>
        <w:spacing w:line="360" w:lineRule="auto"/>
        <w:ind w:firstLine="480"/>
        <w:rPr>
          <w:bCs/>
          <w:sz w:val="24"/>
          <w:lang w:eastAsia="zh-CN"/>
        </w:rPr>
      </w:pPr>
    </w:p>
    <w:p w14:paraId="2860E443" w14:textId="77777777" w:rsidR="005039DD" w:rsidRPr="002C2B23" w:rsidRDefault="0040620F">
      <w:pPr>
        <w:spacing w:line="360" w:lineRule="auto"/>
        <w:ind w:firstLine="480"/>
        <w:rPr>
          <w:bCs/>
          <w:sz w:val="24"/>
          <w:lang w:eastAsia="zh-CN"/>
        </w:rPr>
      </w:pPr>
      <w:r w:rsidRPr="002C2B23">
        <w:rPr>
          <w:bCs/>
          <w:sz w:val="24"/>
          <w:lang w:eastAsia="zh-CN"/>
        </w:rPr>
        <w:t>二、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14:paraId="2821B017" w14:textId="77777777" w:rsidR="005039DD" w:rsidRPr="002C2B23" w:rsidRDefault="0040620F">
      <w:pPr>
        <w:spacing w:line="360" w:lineRule="auto"/>
        <w:ind w:firstLine="480"/>
        <w:rPr>
          <w:bCs/>
          <w:sz w:val="24"/>
          <w:lang w:eastAsia="zh-CN"/>
        </w:rPr>
      </w:pPr>
      <w:r w:rsidRPr="002C2B23">
        <w:rPr>
          <w:bCs/>
          <w:sz w:val="24"/>
          <w:lang w:eastAsia="zh-CN"/>
        </w:rPr>
        <w:t>基金合同的当事人包括基金管理人、基金托管人和基金份额持有人。基金投资人自依本基金合同取得基金份额，即成为基金份额持有人和本基金合同的当事人，其持有基金份额的行为本身即表明其对基金合同的承认和接受。</w:t>
      </w:r>
    </w:p>
    <w:p w14:paraId="2F6D1C5A" w14:textId="77777777" w:rsidR="005039DD" w:rsidRPr="002C2B23" w:rsidRDefault="005039DD">
      <w:pPr>
        <w:spacing w:line="360" w:lineRule="auto"/>
        <w:ind w:firstLine="480"/>
        <w:rPr>
          <w:bCs/>
          <w:lang w:eastAsia="zh-CN"/>
        </w:rPr>
      </w:pPr>
    </w:p>
    <w:p w14:paraId="07E572CE" w14:textId="77777777" w:rsidR="005039DD" w:rsidRPr="002C2B23" w:rsidRDefault="0040620F">
      <w:pPr>
        <w:spacing w:line="360" w:lineRule="auto"/>
        <w:ind w:firstLine="480"/>
        <w:rPr>
          <w:bCs/>
          <w:sz w:val="24"/>
          <w:lang w:eastAsia="zh-CN"/>
        </w:rPr>
      </w:pPr>
      <w:r w:rsidRPr="002C2B23">
        <w:rPr>
          <w:bCs/>
          <w:sz w:val="24"/>
          <w:lang w:eastAsia="zh-CN"/>
        </w:rPr>
        <w:t>三、红土创新领航智选混合型证券投资基金</w:t>
      </w:r>
      <w:r w:rsidRPr="002C2B23">
        <w:rPr>
          <w:bCs/>
          <w:color w:val="000000"/>
          <w:sz w:val="24"/>
          <w:lang w:eastAsia="zh-CN"/>
        </w:rPr>
        <w:t>（以下简称</w:t>
      </w:r>
      <w:r w:rsidRPr="002C2B23">
        <w:rPr>
          <w:rFonts w:hint="eastAsia"/>
          <w:bCs/>
          <w:sz w:val="24"/>
          <w:lang w:eastAsia="zh-CN"/>
        </w:rPr>
        <w:t>“</w:t>
      </w:r>
      <w:r w:rsidRPr="002C2B23">
        <w:rPr>
          <w:bCs/>
          <w:color w:val="000000"/>
          <w:sz w:val="24"/>
          <w:lang w:eastAsia="zh-CN"/>
        </w:rPr>
        <w:t>基金</w:t>
      </w:r>
      <w:r w:rsidRPr="002C2B23">
        <w:rPr>
          <w:rFonts w:hint="eastAsia"/>
          <w:bCs/>
          <w:sz w:val="24"/>
          <w:lang w:eastAsia="zh-CN"/>
        </w:rPr>
        <w:t>”</w:t>
      </w:r>
      <w:r w:rsidRPr="002C2B23">
        <w:rPr>
          <w:bCs/>
          <w:color w:val="000000"/>
          <w:sz w:val="24"/>
          <w:lang w:eastAsia="zh-CN"/>
        </w:rPr>
        <w:t>或</w:t>
      </w:r>
      <w:r w:rsidRPr="002C2B23">
        <w:rPr>
          <w:rFonts w:hint="eastAsia"/>
          <w:bCs/>
          <w:sz w:val="24"/>
          <w:lang w:eastAsia="zh-CN"/>
        </w:rPr>
        <w:t>“</w:t>
      </w:r>
      <w:r w:rsidRPr="002C2B23">
        <w:rPr>
          <w:bCs/>
          <w:color w:val="000000"/>
          <w:sz w:val="24"/>
          <w:lang w:eastAsia="zh-CN"/>
        </w:rPr>
        <w:t>本基金</w:t>
      </w:r>
      <w:r w:rsidRPr="002C2B23">
        <w:rPr>
          <w:rFonts w:hint="eastAsia"/>
          <w:bCs/>
          <w:sz w:val="24"/>
          <w:lang w:eastAsia="zh-CN"/>
        </w:rPr>
        <w:t>”</w:t>
      </w:r>
      <w:r w:rsidRPr="002C2B23">
        <w:rPr>
          <w:bCs/>
          <w:color w:val="000000"/>
          <w:sz w:val="24"/>
          <w:lang w:eastAsia="zh-CN"/>
        </w:rPr>
        <w:t>）</w:t>
      </w:r>
      <w:r w:rsidRPr="002C2B23">
        <w:rPr>
          <w:bCs/>
          <w:sz w:val="24"/>
          <w:lang w:eastAsia="zh-CN"/>
        </w:rPr>
        <w:t>由基金管理人依照《基金法》、基金合同及其他有关规定募集，并经中国证券监督管理委员会（以下简称</w:t>
      </w:r>
      <w:r w:rsidRPr="002C2B23">
        <w:rPr>
          <w:bCs/>
          <w:sz w:val="24"/>
          <w:lang w:eastAsia="zh-CN"/>
        </w:rPr>
        <w:t>“</w:t>
      </w:r>
      <w:r w:rsidRPr="002C2B23">
        <w:rPr>
          <w:bCs/>
          <w:sz w:val="24"/>
          <w:lang w:eastAsia="zh-CN"/>
        </w:rPr>
        <w:t>中国证监会</w:t>
      </w:r>
      <w:r w:rsidRPr="002C2B23">
        <w:rPr>
          <w:bCs/>
          <w:sz w:val="24"/>
          <w:lang w:eastAsia="zh-CN"/>
        </w:rPr>
        <w:t>”</w:t>
      </w:r>
      <w:r w:rsidRPr="002C2B23">
        <w:rPr>
          <w:bCs/>
          <w:sz w:val="24"/>
          <w:lang w:eastAsia="zh-CN"/>
        </w:rPr>
        <w:t>）注册。</w:t>
      </w:r>
    </w:p>
    <w:p w14:paraId="0871EE9B" w14:textId="77777777" w:rsidR="005039DD" w:rsidRPr="002C2B23" w:rsidRDefault="0040620F">
      <w:pPr>
        <w:spacing w:line="360" w:lineRule="auto"/>
        <w:ind w:firstLine="480"/>
        <w:rPr>
          <w:bCs/>
          <w:sz w:val="24"/>
          <w:lang w:eastAsia="zh-CN"/>
        </w:rPr>
      </w:pPr>
      <w:r w:rsidRPr="002C2B23">
        <w:rPr>
          <w:bCs/>
          <w:sz w:val="24"/>
          <w:lang w:eastAsia="zh-CN"/>
        </w:rPr>
        <w:t>中国证监会对本基金募集的注册，并不表明其对本基金的投资价值和市场前景做出实质性判断或保证，也不表明投资于本基金没有风险。</w:t>
      </w:r>
    </w:p>
    <w:p w14:paraId="15DB5267" w14:textId="77777777" w:rsidR="005039DD" w:rsidRPr="002C2B23" w:rsidRDefault="0040620F">
      <w:pPr>
        <w:spacing w:line="360" w:lineRule="auto"/>
        <w:ind w:firstLine="480"/>
        <w:rPr>
          <w:sz w:val="24"/>
          <w:lang w:eastAsia="zh-CN"/>
        </w:rPr>
      </w:pPr>
      <w:r w:rsidRPr="002C2B23">
        <w:rPr>
          <w:bCs/>
          <w:sz w:val="24"/>
          <w:lang w:eastAsia="zh-CN"/>
        </w:rPr>
        <w:t>基金管理人依照恪尽职守、诚实信用、谨慎勤勉的原则管理和运用基金财产，但不保证投资于本基金一定盈利，也不保证最低收益。</w:t>
      </w:r>
    </w:p>
    <w:p w14:paraId="19F505B3" w14:textId="77777777" w:rsidR="005039DD" w:rsidRPr="002C2B23" w:rsidRDefault="0040620F">
      <w:pPr>
        <w:spacing w:line="360" w:lineRule="auto"/>
        <w:ind w:firstLine="480"/>
        <w:rPr>
          <w:bCs/>
          <w:sz w:val="24"/>
          <w:lang w:eastAsia="zh-CN"/>
        </w:rPr>
      </w:pPr>
      <w:r w:rsidRPr="002C2B23">
        <w:rPr>
          <w:bCs/>
          <w:sz w:val="24"/>
          <w:lang w:eastAsia="zh-CN"/>
        </w:rPr>
        <w:t>投资者应当认真阅读基金招募说明书、基金合同、基金产品资料概要等信息披露文件，自主判断基金的投资价值，自主做出投资决策，自行承担投资风险。</w:t>
      </w:r>
    </w:p>
    <w:p w14:paraId="67E8540E" w14:textId="77777777" w:rsidR="005039DD" w:rsidRPr="002C2B23" w:rsidRDefault="005039DD">
      <w:pPr>
        <w:spacing w:line="360" w:lineRule="auto"/>
        <w:ind w:firstLine="480"/>
        <w:rPr>
          <w:sz w:val="24"/>
          <w:lang w:eastAsia="zh-CN"/>
        </w:rPr>
      </w:pPr>
    </w:p>
    <w:p w14:paraId="56ED877C" w14:textId="77777777" w:rsidR="005039DD" w:rsidRPr="002C2B23" w:rsidRDefault="0040620F">
      <w:pPr>
        <w:spacing w:line="360" w:lineRule="auto"/>
        <w:ind w:firstLine="480"/>
        <w:rPr>
          <w:bCs/>
          <w:sz w:val="24"/>
          <w:lang w:eastAsia="zh-CN"/>
        </w:rPr>
      </w:pPr>
      <w:r w:rsidRPr="002C2B23">
        <w:rPr>
          <w:bCs/>
          <w:sz w:val="24"/>
          <w:lang w:eastAsia="zh-CN"/>
        </w:rPr>
        <w:t>四</w:t>
      </w:r>
      <w:r w:rsidRPr="002C2B23">
        <w:rPr>
          <w:rFonts w:hint="eastAsia"/>
          <w:bCs/>
          <w:sz w:val="24"/>
          <w:lang w:eastAsia="zh-CN"/>
        </w:rPr>
        <w:t>、</w:t>
      </w:r>
      <w:r w:rsidRPr="002C2B23">
        <w:rPr>
          <w:bCs/>
          <w:sz w:val="24"/>
          <w:lang w:eastAsia="zh-CN"/>
        </w:rPr>
        <w:t>本</w:t>
      </w:r>
      <w:proofErr w:type="gramStart"/>
      <w:r w:rsidRPr="002C2B23">
        <w:rPr>
          <w:bCs/>
          <w:sz w:val="24"/>
          <w:lang w:eastAsia="zh-CN"/>
        </w:rPr>
        <w:t>基金基金</w:t>
      </w:r>
      <w:proofErr w:type="gramEnd"/>
      <w:r w:rsidRPr="002C2B23">
        <w:rPr>
          <w:bCs/>
          <w:sz w:val="24"/>
          <w:lang w:eastAsia="zh-CN"/>
        </w:rPr>
        <w:t>资产若投资于港股，会面临港股</w:t>
      </w:r>
      <w:proofErr w:type="gramStart"/>
      <w:r w:rsidRPr="002C2B23">
        <w:rPr>
          <w:bCs/>
          <w:sz w:val="24"/>
          <w:lang w:eastAsia="zh-CN"/>
        </w:rPr>
        <w:t>通机制</w:t>
      </w:r>
      <w:proofErr w:type="gramEnd"/>
      <w:r w:rsidRPr="002C2B23">
        <w:rPr>
          <w:bCs/>
          <w:sz w:val="24"/>
          <w:lang w:eastAsia="zh-CN"/>
        </w:rPr>
        <w:t>下因投资环境、投资标的、市场制度以及交易规则等差异带来的特有风险，包括港股市场股价波动较大的风险（港股市</w:t>
      </w:r>
      <w:proofErr w:type="gramStart"/>
      <w:r w:rsidRPr="002C2B23">
        <w:rPr>
          <w:bCs/>
          <w:sz w:val="24"/>
          <w:lang w:eastAsia="zh-CN"/>
        </w:rPr>
        <w:t>场实行</w:t>
      </w:r>
      <w:proofErr w:type="gramEnd"/>
      <w:r w:rsidRPr="002C2B23">
        <w:rPr>
          <w:bCs/>
          <w:sz w:val="24"/>
          <w:lang w:eastAsia="zh-CN"/>
        </w:rPr>
        <w:t>T+0</w:t>
      </w:r>
      <w:r w:rsidRPr="002C2B23">
        <w:rPr>
          <w:bCs/>
          <w:sz w:val="24"/>
          <w:lang w:eastAsia="zh-CN"/>
        </w:rPr>
        <w:t>回转交易，且对个股不设涨跌幅限制，港股股价可能表现出比</w:t>
      </w:r>
      <w:r w:rsidRPr="002C2B23">
        <w:rPr>
          <w:bCs/>
          <w:sz w:val="24"/>
          <w:lang w:eastAsia="zh-CN"/>
        </w:rPr>
        <w:t>A</w:t>
      </w:r>
      <w:r w:rsidRPr="002C2B23">
        <w:rPr>
          <w:bCs/>
          <w:sz w:val="24"/>
          <w:lang w:eastAsia="zh-CN"/>
        </w:rPr>
        <w:t>股更为剧烈的股价波动）、汇率风险（汇率波动可能对基金的投资收益造成损失）、港股</w:t>
      </w:r>
      <w:proofErr w:type="gramStart"/>
      <w:r w:rsidRPr="002C2B23">
        <w:rPr>
          <w:bCs/>
          <w:sz w:val="24"/>
          <w:lang w:eastAsia="zh-CN"/>
        </w:rPr>
        <w:t>通机制</w:t>
      </w:r>
      <w:proofErr w:type="gramEnd"/>
      <w:r w:rsidRPr="002C2B23">
        <w:rPr>
          <w:bCs/>
          <w:sz w:val="24"/>
          <w:lang w:eastAsia="zh-CN"/>
        </w:rPr>
        <w:t>下交易日不连贯可能带来的风险（在内地开市香港休市的情形下，港股</w:t>
      </w:r>
      <w:proofErr w:type="gramStart"/>
      <w:r w:rsidRPr="002C2B23">
        <w:rPr>
          <w:bCs/>
          <w:sz w:val="24"/>
          <w:lang w:eastAsia="zh-CN"/>
        </w:rPr>
        <w:t>通不能</w:t>
      </w:r>
      <w:proofErr w:type="gramEnd"/>
      <w:r w:rsidRPr="002C2B23">
        <w:rPr>
          <w:bCs/>
          <w:sz w:val="24"/>
          <w:lang w:eastAsia="zh-CN"/>
        </w:rPr>
        <w:t>正常交易，港股不能及时卖出，可能带来一定的流动性风险）等。本基金可根据投资策略需要或不同配置地市场环境的变化，选择将部分基金资产投资于港股或选择不将基金资产投资于港股，基金资产并非必然投资港股。</w:t>
      </w:r>
    </w:p>
    <w:p w14:paraId="71737730" w14:textId="77777777" w:rsidR="005039DD" w:rsidRPr="002C2B23" w:rsidRDefault="005039DD">
      <w:pPr>
        <w:spacing w:line="360" w:lineRule="auto"/>
        <w:ind w:firstLine="480"/>
        <w:rPr>
          <w:bCs/>
          <w:sz w:val="24"/>
          <w:lang w:eastAsia="zh-CN"/>
        </w:rPr>
      </w:pPr>
    </w:p>
    <w:p w14:paraId="75B04FCA" w14:textId="77777777" w:rsidR="005039DD" w:rsidRPr="002C2B23" w:rsidRDefault="0040620F">
      <w:pPr>
        <w:spacing w:line="360" w:lineRule="auto"/>
        <w:ind w:firstLine="480"/>
        <w:rPr>
          <w:bCs/>
          <w:sz w:val="24"/>
          <w:lang w:eastAsia="zh-CN"/>
        </w:rPr>
      </w:pPr>
      <w:r w:rsidRPr="002C2B23">
        <w:rPr>
          <w:bCs/>
          <w:sz w:val="24"/>
          <w:lang w:eastAsia="zh-CN"/>
        </w:rPr>
        <w:t>五</w:t>
      </w:r>
      <w:r w:rsidRPr="002C2B23">
        <w:rPr>
          <w:rFonts w:hint="eastAsia"/>
          <w:bCs/>
          <w:sz w:val="24"/>
          <w:lang w:eastAsia="zh-CN"/>
        </w:rPr>
        <w:t>、</w:t>
      </w:r>
      <w:r w:rsidRPr="002C2B23">
        <w:rPr>
          <w:bCs/>
          <w:sz w:val="24"/>
          <w:lang w:eastAsia="zh-CN"/>
        </w:rPr>
        <w:t>基金管理人、基金托管人在本基金合同之外披露涉及本基金的信息，其内容涉及界定基金合同当事人之间权利义务关系的，如与基金合同有冲突，以基金合同为准。</w:t>
      </w:r>
    </w:p>
    <w:p w14:paraId="07F1F332" w14:textId="77777777" w:rsidR="005039DD" w:rsidRPr="002C2B23" w:rsidRDefault="005039DD">
      <w:pPr>
        <w:spacing w:line="360" w:lineRule="auto"/>
        <w:ind w:firstLine="480"/>
        <w:rPr>
          <w:bCs/>
          <w:sz w:val="24"/>
          <w:lang w:eastAsia="zh-CN"/>
        </w:rPr>
      </w:pPr>
    </w:p>
    <w:p w14:paraId="680B6D8C" w14:textId="77777777" w:rsidR="005039DD" w:rsidRPr="002C2B23" w:rsidRDefault="0040620F">
      <w:pPr>
        <w:spacing w:line="360" w:lineRule="auto"/>
        <w:ind w:firstLine="480"/>
        <w:rPr>
          <w:bCs/>
          <w:sz w:val="24"/>
          <w:lang w:eastAsia="zh-CN"/>
        </w:rPr>
      </w:pPr>
      <w:r w:rsidRPr="002C2B23">
        <w:rPr>
          <w:bCs/>
          <w:sz w:val="24"/>
          <w:lang w:eastAsia="zh-CN"/>
        </w:rPr>
        <w:t>六、本基金按照中国法律法规成立并运作，</w:t>
      </w:r>
      <w:proofErr w:type="gramStart"/>
      <w:r w:rsidRPr="002C2B23">
        <w:rPr>
          <w:bCs/>
          <w:sz w:val="24"/>
          <w:lang w:eastAsia="zh-CN"/>
        </w:rPr>
        <w:t>若基金</w:t>
      </w:r>
      <w:proofErr w:type="gramEnd"/>
      <w:r w:rsidRPr="002C2B23">
        <w:rPr>
          <w:bCs/>
          <w:sz w:val="24"/>
          <w:lang w:eastAsia="zh-CN"/>
        </w:rPr>
        <w:t>合同的内容与届时有效的法律法规的强制性规定不一致，应当以届时有效的法律法规的规定为准。</w:t>
      </w:r>
    </w:p>
    <w:p w14:paraId="19769065" w14:textId="77777777" w:rsidR="005039DD" w:rsidRPr="002C2B23" w:rsidRDefault="005039DD">
      <w:pPr>
        <w:spacing w:line="360" w:lineRule="auto"/>
        <w:ind w:firstLine="480"/>
        <w:rPr>
          <w:bCs/>
          <w:sz w:val="24"/>
          <w:lang w:eastAsia="zh-CN"/>
        </w:rPr>
      </w:pPr>
    </w:p>
    <w:p w14:paraId="748E21D2" w14:textId="77777777" w:rsidR="005039DD" w:rsidRPr="002C2B23" w:rsidRDefault="0040620F">
      <w:pPr>
        <w:spacing w:line="360" w:lineRule="auto"/>
        <w:ind w:firstLine="480"/>
        <w:rPr>
          <w:bCs/>
          <w:sz w:val="24"/>
          <w:lang w:eastAsia="zh-CN"/>
        </w:rPr>
      </w:pPr>
      <w:r w:rsidRPr="002C2B23">
        <w:rPr>
          <w:bCs/>
          <w:sz w:val="24"/>
          <w:lang w:eastAsia="zh-CN"/>
        </w:rPr>
        <w:t>七、本基金的投资范围包括存托凭证，除与其他仅投资于沪深市场股票的基金所面临的共同风险外，本基金还将面临存托凭证价格大幅波动甚至出现较大亏损的风险，以及与存托凭证发行机制相关的风险。</w:t>
      </w:r>
      <w:r w:rsidRPr="002C2B23">
        <w:rPr>
          <w:bCs/>
          <w:sz w:val="24"/>
          <w:lang w:eastAsia="zh-CN"/>
        </w:rPr>
        <w:t xml:space="preserve"> </w:t>
      </w:r>
    </w:p>
    <w:p w14:paraId="0BB458CC" w14:textId="77777777" w:rsidR="005039DD" w:rsidRPr="002C2B23" w:rsidRDefault="005039DD">
      <w:pPr>
        <w:spacing w:line="360" w:lineRule="auto"/>
        <w:ind w:firstLine="480"/>
        <w:rPr>
          <w:bCs/>
          <w:sz w:val="24"/>
          <w:lang w:eastAsia="zh-CN"/>
        </w:rPr>
      </w:pPr>
    </w:p>
    <w:p w14:paraId="20BF45FB" w14:textId="77777777" w:rsidR="005039DD" w:rsidRPr="002C2B23" w:rsidRDefault="0040620F">
      <w:pPr>
        <w:spacing w:line="360" w:lineRule="auto"/>
        <w:ind w:firstLine="480"/>
        <w:rPr>
          <w:rFonts w:ascii="宋体" w:hAnsi="宋体"/>
          <w:sz w:val="24"/>
          <w:szCs w:val="24"/>
          <w:lang w:eastAsia="zh-CN"/>
        </w:rPr>
      </w:pPr>
      <w:bookmarkStart w:id="40" w:name="_Hlk39670725"/>
      <w:r w:rsidRPr="002C2B23">
        <w:rPr>
          <w:rFonts w:hint="eastAsia"/>
          <w:bCs/>
          <w:sz w:val="24"/>
          <w:lang w:eastAsia="zh-CN"/>
        </w:rPr>
        <w:t>八</w:t>
      </w:r>
      <w:r w:rsidRPr="002C2B23">
        <w:rPr>
          <w:bCs/>
          <w:sz w:val="24"/>
          <w:lang w:eastAsia="zh-CN"/>
        </w:rPr>
        <w:t>、</w:t>
      </w:r>
      <w:r w:rsidRPr="002C2B23">
        <w:rPr>
          <w:rFonts w:ascii="宋体" w:hAnsi="宋体" w:hint="eastAsia"/>
          <w:sz w:val="24"/>
          <w:szCs w:val="24"/>
          <w:lang w:eastAsia="zh-CN"/>
        </w:rPr>
        <w:t>本基金在募集成立时（指本基金募集完成进行验资时）及运作过程中，单一投资者持有的基金份额占本基金总份额的比例不得达到或超过50%（运作过程中，因基金份额赎回等情形导致被动超标的除外），</w:t>
      </w:r>
      <w:proofErr w:type="gramStart"/>
      <w:r w:rsidRPr="002C2B23">
        <w:rPr>
          <w:rFonts w:ascii="宋体" w:hAnsi="宋体" w:hint="eastAsia"/>
          <w:sz w:val="24"/>
          <w:szCs w:val="24"/>
          <w:lang w:eastAsia="zh-CN"/>
        </w:rPr>
        <w:t>且基金</w:t>
      </w:r>
      <w:proofErr w:type="gramEnd"/>
      <w:r w:rsidRPr="002C2B23">
        <w:rPr>
          <w:rFonts w:ascii="宋体" w:hAnsi="宋体" w:hint="eastAsia"/>
          <w:sz w:val="24"/>
          <w:szCs w:val="24"/>
          <w:lang w:eastAsia="zh-CN"/>
        </w:rPr>
        <w:t>管理人承诺后续不存在通过一致行动人等方式变相规避50%集中度要求的情形。基金管理人使用固有资金、公司高级管理人员及基金经理等人员出资认购的基金份额达到或超过基金总份额50%的，不受此限制。</w:t>
      </w:r>
    </w:p>
    <w:p w14:paraId="64EC66AD" w14:textId="77777777" w:rsidR="005039DD" w:rsidRPr="002C2B23" w:rsidRDefault="005039DD">
      <w:pPr>
        <w:spacing w:line="360" w:lineRule="auto"/>
        <w:ind w:firstLine="480"/>
        <w:rPr>
          <w:bCs/>
          <w:sz w:val="24"/>
          <w:lang w:eastAsia="zh-CN"/>
        </w:rPr>
      </w:pPr>
    </w:p>
    <w:p w14:paraId="5C2BF966" w14:textId="6CA45693" w:rsidR="005039DD" w:rsidRPr="002C2B23" w:rsidRDefault="0040620F" w:rsidP="000E017A">
      <w:pPr>
        <w:spacing w:line="360" w:lineRule="auto"/>
        <w:ind w:firstLineChars="200" w:firstLine="480"/>
        <w:rPr>
          <w:bCs/>
          <w:sz w:val="24"/>
          <w:lang w:eastAsia="zh-CN"/>
        </w:rPr>
      </w:pPr>
      <w:r w:rsidRPr="002C2B23">
        <w:rPr>
          <w:rFonts w:hint="eastAsia"/>
          <w:bCs/>
          <w:sz w:val="24"/>
          <w:lang w:eastAsia="zh-CN"/>
        </w:rPr>
        <w:t>九、</w:t>
      </w:r>
      <w:r w:rsidRPr="002C2B23">
        <w:rPr>
          <w:bCs/>
          <w:sz w:val="24"/>
          <w:lang w:eastAsia="zh-CN"/>
        </w:rPr>
        <w:t>当本基金持有特定资产且存在或潜在大额赎回申请时，基金管理人履行相应程序后，可以</w:t>
      </w:r>
      <w:proofErr w:type="gramStart"/>
      <w:r w:rsidRPr="002C2B23">
        <w:rPr>
          <w:bCs/>
          <w:sz w:val="24"/>
          <w:lang w:eastAsia="zh-CN"/>
        </w:rPr>
        <w:t>启用侧袋机制</w:t>
      </w:r>
      <w:proofErr w:type="gramEnd"/>
      <w:r w:rsidRPr="002C2B23">
        <w:rPr>
          <w:bCs/>
          <w:sz w:val="24"/>
          <w:lang w:eastAsia="zh-CN"/>
        </w:rPr>
        <w:t>，具体详见基金合同和招募说明书的有关章节。</w:t>
      </w:r>
      <w:proofErr w:type="gramStart"/>
      <w:r w:rsidRPr="002C2B23">
        <w:rPr>
          <w:bCs/>
          <w:sz w:val="24"/>
          <w:lang w:eastAsia="zh-CN"/>
        </w:rPr>
        <w:t>侧袋机制</w:t>
      </w:r>
      <w:proofErr w:type="gramEnd"/>
      <w:r w:rsidRPr="002C2B23">
        <w:rPr>
          <w:bCs/>
          <w:sz w:val="24"/>
          <w:lang w:eastAsia="zh-CN"/>
        </w:rPr>
        <w:t>实施期间，基金管理人将对基金简称进行特殊标识，投资者不得</w:t>
      </w:r>
      <w:proofErr w:type="gramStart"/>
      <w:r w:rsidRPr="002C2B23">
        <w:rPr>
          <w:bCs/>
          <w:sz w:val="24"/>
          <w:lang w:eastAsia="zh-CN"/>
        </w:rPr>
        <w:t>办理侧袋账户</w:t>
      </w:r>
      <w:proofErr w:type="gramEnd"/>
      <w:r w:rsidRPr="002C2B23">
        <w:rPr>
          <w:bCs/>
          <w:sz w:val="24"/>
          <w:lang w:eastAsia="zh-CN"/>
        </w:rPr>
        <w:t>份额的申购赎回等业务。</w:t>
      </w:r>
      <w:proofErr w:type="gramStart"/>
      <w:r w:rsidRPr="002C2B23">
        <w:rPr>
          <w:bCs/>
          <w:sz w:val="24"/>
          <w:lang w:eastAsia="zh-CN"/>
        </w:rPr>
        <w:t>请基金</w:t>
      </w:r>
      <w:proofErr w:type="gramEnd"/>
      <w:r w:rsidRPr="002C2B23">
        <w:rPr>
          <w:bCs/>
          <w:sz w:val="24"/>
          <w:lang w:eastAsia="zh-CN"/>
        </w:rPr>
        <w:t>份额持有人仔细阅读相关内容并关注本基金启用</w:t>
      </w:r>
      <w:proofErr w:type="gramStart"/>
      <w:r w:rsidRPr="002C2B23">
        <w:rPr>
          <w:bCs/>
          <w:sz w:val="24"/>
          <w:lang w:eastAsia="zh-CN"/>
        </w:rPr>
        <w:t>侧袋机制</w:t>
      </w:r>
      <w:proofErr w:type="gramEnd"/>
      <w:r w:rsidRPr="002C2B23">
        <w:rPr>
          <w:bCs/>
          <w:sz w:val="24"/>
          <w:lang w:eastAsia="zh-CN"/>
        </w:rPr>
        <w:t>时的特定风险。</w:t>
      </w:r>
      <w:bookmarkEnd w:id="40"/>
    </w:p>
    <w:p w14:paraId="1E0BB63E" w14:textId="77777777" w:rsidR="005039DD" w:rsidRPr="002C2B23" w:rsidRDefault="005039DD">
      <w:pPr>
        <w:spacing w:line="360" w:lineRule="auto"/>
        <w:ind w:firstLine="480"/>
        <w:rPr>
          <w:bCs/>
          <w:sz w:val="24"/>
          <w:lang w:eastAsia="zh-CN"/>
        </w:rPr>
      </w:pPr>
    </w:p>
    <w:p w14:paraId="425B297D" w14:textId="77777777" w:rsidR="005039DD" w:rsidRPr="002C2B23" w:rsidRDefault="0040620F">
      <w:pPr>
        <w:spacing w:line="360" w:lineRule="auto"/>
        <w:ind w:firstLine="480"/>
        <w:rPr>
          <w:bCs/>
          <w:sz w:val="24"/>
          <w:lang w:eastAsia="zh-CN"/>
        </w:rPr>
      </w:pPr>
      <w:r w:rsidRPr="002C2B23">
        <w:rPr>
          <w:rFonts w:hint="eastAsia"/>
          <w:bCs/>
          <w:sz w:val="24"/>
          <w:lang w:eastAsia="zh-CN"/>
        </w:rPr>
        <w:t>十、对于通过基金管理人认购</w:t>
      </w:r>
      <w:r w:rsidRPr="002C2B23">
        <w:rPr>
          <w:rFonts w:hint="eastAsia"/>
          <w:bCs/>
          <w:sz w:val="24"/>
          <w:lang w:eastAsia="zh-CN"/>
        </w:rPr>
        <w:t>/</w:t>
      </w:r>
      <w:r w:rsidRPr="002C2B23">
        <w:rPr>
          <w:rFonts w:hint="eastAsia"/>
          <w:bCs/>
          <w:sz w:val="24"/>
          <w:lang w:eastAsia="zh-CN"/>
        </w:rPr>
        <w:t>申购</w:t>
      </w:r>
      <w:r w:rsidRPr="002C2B23">
        <w:rPr>
          <w:rFonts w:hint="eastAsia"/>
          <w:bCs/>
          <w:sz w:val="24"/>
          <w:lang w:eastAsia="zh-CN"/>
        </w:rPr>
        <w:t>C</w:t>
      </w:r>
      <w:r w:rsidRPr="002C2B23">
        <w:rPr>
          <w:rFonts w:hint="eastAsia"/>
          <w:bCs/>
          <w:sz w:val="24"/>
          <w:lang w:eastAsia="zh-CN"/>
        </w:rPr>
        <w:t>类基金份额收取的销售服务费，以及通过代销机构认购</w:t>
      </w:r>
      <w:r w:rsidRPr="002C2B23">
        <w:rPr>
          <w:rFonts w:hint="eastAsia"/>
          <w:bCs/>
          <w:sz w:val="24"/>
          <w:lang w:eastAsia="zh-CN"/>
        </w:rPr>
        <w:t>/</w:t>
      </w:r>
      <w:r w:rsidRPr="002C2B23">
        <w:rPr>
          <w:rFonts w:hint="eastAsia"/>
          <w:bCs/>
          <w:sz w:val="24"/>
          <w:lang w:eastAsia="zh-CN"/>
        </w:rPr>
        <w:t>申购并持续持有期限超过一年的</w:t>
      </w:r>
      <w:r w:rsidRPr="002C2B23">
        <w:rPr>
          <w:rFonts w:hint="eastAsia"/>
          <w:bCs/>
          <w:sz w:val="24"/>
          <w:lang w:eastAsia="zh-CN"/>
        </w:rPr>
        <w:t>C</w:t>
      </w:r>
      <w:r w:rsidRPr="002C2B23">
        <w:rPr>
          <w:rFonts w:hint="eastAsia"/>
          <w:bCs/>
          <w:sz w:val="24"/>
          <w:lang w:eastAsia="zh-CN"/>
        </w:rPr>
        <w:t>类基金份额收取的销售服务费采取先收后返模式，基金投资者实际收到的赎回款项或清算款项的金额可能与披露的基金份额净值计算的结果存在差异。投资者的实际赎回金额和清算资金以登记机构确认数据为准。</w:t>
      </w:r>
    </w:p>
    <w:p w14:paraId="3E536665" w14:textId="77777777" w:rsidR="005039DD" w:rsidRPr="002C2B23" w:rsidRDefault="005039DD">
      <w:pPr>
        <w:spacing w:line="360" w:lineRule="auto"/>
        <w:ind w:firstLine="480"/>
        <w:rPr>
          <w:bCs/>
          <w:sz w:val="24"/>
          <w:lang w:eastAsia="zh-CN"/>
        </w:rPr>
      </w:pPr>
    </w:p>
    <w:p w14:paraId="208BFD32" w14:textId="77777777" w:rsidR="005039DD" w:rsidRPr="002C2B23" w:rsidRDefault="005039DD">
      <w:pPr>
        <w:spacing w:line="360" w:lineRule="auto"/>
        <w:ind w:firstLine="480"/>
        <w:rPr>
          <w:bCs/>
          <w:sz w:val="24"/>
          <w:lang w:eastAsia="zh-CN"/>
        </w:rPr>
      </w:pPr>
    </w:p>
    <w:p w14:paraId="357D2C19" w14:textId="77777777" w:rsidR="005039DD" w:rsidRPr="002C2B23" w:rsidRDefault="005039DD">
      <w:pPr>
        <w:spacing w:line="360" w:lineRule="auto"/>
        <w:ind w:firstLine="480"/>
        <w:rPr>
          <w:bCs/>
          <w:sz w:val="24"/>
          <w:lang w:eastAsia="zh-CN"/>
        </w:rPr>
        <w:sectPr w:rsidR="005039DD" w:rsidRPr="002C2B23">
          <w:pgSz w:w="12240" w:h="15840"/>
          <w:pgMar w:top="1440" w:right="1800" w:bottom="1440" w:left="1800" w:header="720" w:footer="720" w:gutter="0"/>
          <w:cols w:space="720"/>
          <w:docGrid w:linePitch="312"/>
        </w:sectPr>
      </w:pPr>
    </w:p>
    <w:p w14:paraId="1E11991F" w14:textId="0676E0BF" w:rsidR="005039DD" w:rsidRPr="002C2B23" w:rsidRDefault="0040620F">
      <w:pPr>
        <w:pStyle w:val="112"/>
        <w:spacing w:before="0" w:after="0"/>
        <w:jc w:val="center"/>
        <w:rPr>
          <w:rFonts w:ascii="Times New Roman"/>
          <w:sz w:val="30"/>
          <w:lang w:eastAsia="zh-CN"/>
        </w:rPr>
      </w:pPr>
      <w:bookmarkStart w:id="41" w:name="_Toc15067"/>
      <w:bookmarkStart w:id="42" w:name="_Toc19592"/>
      <w:bookmarkStart w:id="43" w:name="_Toc21301"/>
      <w:bookmarkStart w:id="44" w:name="_Toc6617"/>
      <w:bookmarkStart w:id="45" w:name="_Toc3224"/>
      <w:bookmarkStart w:id="46" w:name="_Toc13020"/>
      <w:bookmarkStart w:id="47" w:name="_Toc2465"/>
      <w:bookmarkStart w:id="48" w:name="_Toc22864"/>
      <w:bookmarkStart w:id="49" w:name="_Toc819"/>
      <w:bookmarkStart w:id="50" w:name="_Toc109141362"/>
      <w:bookmarkStart w:id="51" w:name="_Toc24860"/>
      <w:bookmarkStart w:id="52" w:name="_Toc31551"/>
      <w:r w:rsidRPr="002C2B23">
        <w:rPr>
          <w:rFonts w:ascii="Times New Roman"/>
          <w:sz w:val="30"/>
          <w:lang w:eastAsia="zh-CN"/>
        </w:rPr>
        <w:t>第二部分</w:t>
      </w:r>
      <w:r w:rsidRPr="002C2B23">
        <w:rPr>
          <w:rFonts w:ascii="Times New Roman"/>
          <w:sz w:val="30"/>
          <w:lang w:eastAsia="zh-CN"/>
        </w:rPr>
        <w:t xml:space="preserve">  </w:t>
      </w:r>
      <w:r w:rsidRPr="002C2B23">
        <w:rPr>
          <w:rFonts w:ascii="Times New Roman"/>
          <w:sz w:val="30"/>
          <w:lang w:eastAsia="zh-CN"/>
        </w:rPr>
        <w:t>释义</w:t>
      </w:r>
      <w:bookmarkEnd w:id="35"/>
      <w:bookmarkEnd w:id="39"/>
      <w:bookmarkEnd w:id="41"/>
      <w:bookmarkEnd w:id="42"/>
      <w:bookmarkEnd w:id="43"/>
      <w:bookmarkEnd w:id="44"/>
      <w:bookmarkEnd w:id="45"/>
      <w:bookmarkEnd w:id="46"/>
      <w:bookmarkEnd w:id="47"/>
      <w:bookmarkEnd w:id="48"/>
      <w:bookmarkEnd w:id="49"/>
      <w:bookmarkEnd w:id="50"/>
      <w:bookmarkEnd w:id="51"/>
      <w:bookmarkEnd w:id="52"/>
    </w:p>
    <w:p w14:paraId="242BEC2A" w14:textId="77777777" w:rsidR="005039DD" w:rsidRPr="002C2B23" w:rsidRDefault="005039DD">
      <w:pPr>
        <w:spacing w:line="360" w:lineRule="auto"/>
        <w:ind w:firstLine="420"/>
        <w:rPr>
          <w:bCs/>
          <w:lang w:eastAsia="zh-CN"/>
        </w:rPr>
      </w:pPr>
    </w:p>
    <w:p w14:paraId="440FE00C" w14:textId="77777777" w:rsidR="005039DD" w:rsidRPr="002C2B23" w:rsidRDefault="0040620F">
      <w:pPr>
        <w:spacing w:line="360" w:lineRule="auto"/>
        <w:ind w:firstLine="480"/>
        <w:rPr>
          <w:bCs/>
          <w:sz w:val="24"/>
          <w:lang w:eastAsia="zh-CN"/>
        </w:rPr>
      </w:pPr>
      <w:r w:rsidRPr="002C2B23">
        <w:rPr>
          <w:bCs/>
          <w:sz w:val="24"/>
          <w:lang w:eastAsia="zh-CN"/>
        </w:rPr>
        <w:t>在本基金合同中，除非文意另有所指，下列词语或简称具有如下含义：</w:t>
      </w:r>
    </w:p>
    <w:p w14:paraId="30130F91"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基金或本基金：指红土创新领航智选混合型证券投资基金</w:t>
      </w:r>
    </w:p>
    <w:p w14:paraId="6648F408"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基金管理人：指红土创新基金管理有限公司</w:t>
      </w:r>
      <w:r w:rsidRPr="002C2B23">
        <w:rPr>
          <w:bCs/>
          <w:sz w:val="24"/>
          <w:lang w:eastAsia="zh-CN"/>
        </w:rPr>
        <w:t xml:space="preserve"> </w:t>
      </w:r>
    </w:p>
    <w:p w14:paraId="17C6C641"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基金托管人：指中国建设银行股份有限公司</w:t>
      </w:r>
    </w:p>
    <w:p w14:paraId="3FB05BF1"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基金合同或本基金合同：指《红土创新领航智选混合型证券投资基金基金合同》及对本基金合同的任何有效修订和补充</w:t>
      </w:r>
    </w:p>
    <w:p w14:paraId="6BC40C75"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托管协议：指基金管理人与基金托管人就本基金签订之《红土创新领航智选混合型证券投资基金托管协议》及对该托管协议的任何有效修订和补充</w:t>
      </w:r>
    </w:p>
    <w:p w14:paraId="5B1ED186"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招募说明书：指《红土创新领航智选混合型证券投资基金招募说明书》及其更新</w:t>
      </w:r>
    </w:p>
    <w:p w14:paraId="4858E69C"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基金产品资料概要：指《红土创新领航智选混合型证券投资基金基金产品资料概要》及其更新</w:t>
      </w:r>
    </w:p>
    <w:p w14:paraId="1593BBDA"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基金份额发售公告：指《红土创新领航智选混合型证券投资基金基金份额发售公告》</w:t>
      </w:r>
    </w:p>
    <w:p w14:paraId="5F9A511E"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法律法规：指中国现行有效并公布实施的法律、行政法规、规范性文件、司法解释、行政规章以及其他对基金合同当事人有约束力的决定、决议、通知等</w:t>
      </w:r>
    </w:p>
    <w:p w14:paraId="3E26CB35"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《基金法》：指</w:t>
      </w:r>
      <w:r w:rsidRPr="002C2B23">
        <w:rPr>
          <w:bCs/>
          <w:sz w:val="24"/>
          <w:lang w:eastAsia="zh-CN"/>
        </w:rPr>
        <w:t>2003</w:t>
      </w:r>
      <w:r w:rsidRPr="002C2B23">
        <w:rPr>
          <w:bCs/>
          <w:sz w:val="24"/>
          <w:lang w:eastAsia="zh-CN"/>
        </w:rPr>
        <w:t>年</w:t>
      </w:r>
      <w:r w:rsidRPr="002C2B23">
        <w:rPr>
          <w:bCs/>
          <w:sz w:val="24"/>
          <w:lang w:eastAsia="zh-CN"/>
        </w:rPr>
        <w:t>10</w:t>
      </w:r>
      <w:r w:rsidRPr="002C2B23">
        <w:rPr>
          <w:bCs/>
          <w:sz w:val="24"/>
          <w:lang w:eastAsia="zh-CN"/>
        </w:rPr>
        <w:t>月</w:t>
      </w:r>
      <w:r w:rsidRPr="002C2B23">
        <w:rPr>
          <w:bCs/>
          <w:sz w:val="24"/>
          <w:lang w:eastAsia="zh-CN"/>
        </w:rPr>
        <w:t>28</w:t>
      </w:r>
      <w:r w:rsidRPr="002C2B23">
        <w:rPr>
          <w:bCs/>
          <w:sz w:val="24"/>
          <w:lang w:eastAsia="zh-CN"/>
        </w:rPr>
        <w:t>日经第十届全国人民代表大会常务委员会第五次会议通过，经</w:t>
      </w:r>
      <w:r w:rsidRPr="002C2B23">
        <w:rPr>
          <w:bCs/>
          <w:sz w:val="24"/>
          <w:lang w:eastAsia="zh-CN"/>
        </w:rPr>
        <w:t>2012</w:t>
      </w:r>
      <w:r w:rsidRPr="002C2B23">
        <w:rPr>
          <w:bCs/>
          <w:sz w:val="24"/>
          <w:lang w:eastAsia="zh-CN"/>
        </w:rPr>
        <w:t>年</w:t>
      </w:r>
      <w:r w:rsidRPr="002C2B23">
        <w:rPr>
          <w:bCs/>
          <w:sz w:val="24"/>
          <w:lang w:eastAsia="zh-CN"/>
        </w:rPr>
        <w:t>12</w:t>
      </w:r>
      <w:r w:rsidRPr="002C2B23">
        <w:rPr>
          <w:bCs/>
          <w:sz w:val="24"/>
          <w:lang w:eastAsia="zh-CN"/>
        </w:rPr>
        <w:t>月</w:t>
      </w:r>
      <w:r w:rsidRPr="002C2B23">
        <w:rPr>
          <w:bCs/>
          <w:sz w:val="24"/>
          <w:lang w:eastAsia="zh-CN"/>
        </w:rPr>
        <w:t>28</w:t>
      </w:r>
      <w:r w:rsidRPr="002C2B23">
        <w:rPr>
          <w:bCs/>
          <w:sz w:val="24"/>
          <w:lang w:eastAsia="zh-CN"/>
        </w:rPr>
        <w:t>日第十一届全国人民代表大会常务委员会第三十次会议修订，自</w:t>
      </w:r>
      <w:r w:rsidRPr="002C2B23">
        <w:rPr>
          <w:bCs/>
          <w:sz w:val="24"/>
          <w:lang w:eastAsia="zh-CN"/>
        </w:rPr>
        <w:t>2013</w:t>
      </w:r>
      <w:r w:rsidRPr="002C2B23">
        <w:rPr>
          <w:bCs/>
          <w:sz w:val="24"/>
          <w:lang w:eastAsia="zh-CN"/>
        </w:rPr>
        <w:t>年</w:t>
      </w:r>
      <w:r w:rsidRPr="002C2B23">
        <w:rPr>
          <w:bCs/>
          <w:sz w:val="24"/>
          <w:lang w:eastAsia="zh-CN"/>
        </w:rPr>
        <w:t>6</w:t>
      </w:r>
      <w:r w:rsidRPr="002C2B23">
        <w:rPr>
          <w:bCs/>
          <w:sz w:val="24"/>
          <w:lang w:eastAsia="zh-CN"/>
        </w:rPr>
        <w:t>月</w:t>
      </w:r>
      <w:r w:rsidRPr="002C2B23">
        <w:rPr>
          <w:bCs/>
          <w:sz w:val="24"/>
          <w:lang w:eastAsia="zh-CN"/>
        </w:rPr>
        <w:t>1</w:t>
      </w:r>
      <w:r w:rsidRPr="002C2B23">
        <w:rPr>
          <w:bCs/>
          <w:sz w:val="24"/>
          <w:lang w:eastAsia="zh-CN"/>
        </w:rPr>
        <w:t>日起实施，并经</w:t>
      </w:r>
      <w:r w:rsidRPr="002C2B23">
        <w:rPr>
          <w:bCs/>
          <w:sz w:val="24"/>
          <w:lang w:eastAsia="zh-CN"/>
        </w:rPr>
        <w:t>2015</w:t>
      </w:r>
      <w:r w:rsidRPr="002C2B23">
        <w:rPr>
          <w:bCs/>
          <w:sz w:val="24"/>
          <w:lang w:eastAsia="zh-CN"/>
        </w:rPr>
        <w:t>年</w:t>
      </w:r>
      <w:r w:rsidRPr="002C2B23">
        <w:rPr>
          <w:bCs/>
          <w:sz w:val="24"/>
          <w:lang w:eastAsia="zh-CN"/>
        </w:rPr>
        <w:t>4</w:t>
      </w:r>
      <w:r w:rsidRPr="002C2B23">
        <w:rPr>
          <w:bCs/>
          <w:sz w:val="24"/>
          <w:lang w:eastAsia="zh-CN"/>
        </w:rPr>
        <w:t>月</w:t>
      </w:r>
      <w:r w:rsidRPr="002C2B23">
        <w:rPr>
          <w:bCs/>
          <w:sz w:val="24"/>
          <w:lang w:eastAsia="zh-CN"/>
        </w:rPr>
        <w:t>24</w:t>
      </w:r>
      <w:r w:rsidRPr="002C2B23">
        <w:rPr>
          <w:bCs/>
          <w:sz w:val="24"/>
          <w:lang w:eastAsia="zh-CN"/>
        </w:rPr>
        <w:t>日第十二届全国人民代表大会常务委员会第十四次会议《全国人民代表大会常务委员会关于修改</w:t>
      </w:r>
      <w:r w:rsidRPr="002C2B23">
        <w:rPr>
          <w:bCs/>
          <w:sz w:val="24"/>
          <w:lang w:eastAsia="zh-CN"/>
        </w:rPr>
        <w:t>&lt;</w:t>
      </w:r>
      <w:r w:rsidRPr="002C2B23">
        <w:rPr>
          <w:bCs/>
          <w:sz w:val="24"/>
          <w:lang w:eastAsia="zh-CN"/>
        </w:rPr>
        <w:t>中华人民共和国港口法</w:t>
      </w:r>
      <w:r w:rsidRPr="002C2B23">
        <w:rPr>
          <w:bCs/>
          <w:sz w:val="24"/>
          <w:lang w:eastAsia="zh-CN"/>
        </w:rPr>
        <w:t>&gt;</w:t>
      </w:r>
      <w:r w:rsidRPr="002C2B23">
        <w:rPr>
          <w:bCs/>
          <w:sz w:val="24"/>
          <w:lang w:eastAsia="zh-CN"/>
        </w:rPr>
        <w:t>等七部法律的决定》修正的《中华人民共和国证券投资基金法》及颁布机关对其不时做出的修订</w:t>
      </w:r>
    </w:p>
    <w:p w14:paraId="714E8BE3"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《销售办法》：指中国证监会</w:t>
      </w:r>
      <w:r w:rsidRPr="002C2B23">
        <w:rPr>
          <w:bCs/>
          <w:sz w:val="24"/>
          <w:lang w:eastAsia="zh-CN"/>
        </w:rPr>
        <w:t>2020</w:t>
      </w:r>
      <w:r w:rsidRPr="002C2B23">
        <w:rPr>
          <w:bCs/>
          <w:sz w:val="24"/>
          <w:lang w:eastAsia="zh-CN"/>
        </w:rPr>
        <w:t>年</w:t>
      </w:r>
      <w:r w:rsidRPr="002C2B23">
        <w:rPr>
          <w:bCs/>
          <w:sz w:val="24"/>
          <w:lang w:eastAsia="zh-CN"/>
        </w:rPr>
        <w:t>8</w:t>
      </w:r>
      <w:r w:rsidRPr="002C2B23">
        <w:rPr>
          <w:bCs/>
          <w:sz w:val="24"/>
          <w:lang w:eastAsia="zh-CN"/>
        </w:rPr>
        <w:t>月</w:t>
      </w:r>
      <w:r w:rsidRPr="002C2B23">
        <w:rPr>
          <w:bCs/>
          <w:sz w:val="24"/>
          <w:lang w:eastAsia="zh-CN"/>
        </w:rPr>
        <w:t>28</w:t>
      </w:r>
      <w:r w:rsidRPr="002C2B23">
        <w:rPr>
          <w:bCs/>
          <w:sz w:val="24"/>
          <w:lang w:eastAsia="zh-CN"/>
        </w:rPr>
        <w:t>日颁布、同年</w:t>
      </w:r>
      <w:r w:rsidRPr="002C2B23">
        <w:rPr>
          <w:bCs/>
          <w:sz w:val="24"/>
          <w:lang w:eastAsia="zh-CN"/>
        </w:rPr>
        <w:t>10</w:t>
      </w:r>
      <w:r w:rsidRPr="002C2B23">
        <w:rPr>
          <w:bCs/>
          <w:sz w:val="24"/>
          <w:lang w:eastAsia="zh-CN"/>
        </w:rPr>
        <w:t>月</w:t>
      </w:r>
      <w:r w:rsidRPr="002C2B23">
        <w:rPr>
          <w:bCs/>
          <w:sz w:val="24"/>
          <w:lang w:eastAsia="zh-CN"/>
        </w:rPr>
        <w:t>1</w:t>
      </w:r>
      <w:r w:rsidRPr="002C2B23">
        <w:rPr>
          <w:bCs/>
          <w:sz w:val="24"/>
          <w:lang w:eastAsia="zh-CN"/>
        </w:rPr>
        <w:t>日实施的《公开募集证券投资基金销售机构监督管理办法》及颁布机关对其不时做出的修订</w:t>
      </w:r>
    </w:p>
    <w:p w14:paraId="6D598949"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《信息披露办法》：指中国证监会</w:t>
      </w:r>
      <w:r w:rsidRPr="002C2B23">
        <w:rPr>
          <w:bCs/>
          <w:sz w:val="24"/>
          <w:lang w:eastAsia="zh-CN"/>
        </w:rPr>
        <w:t>2019</w:t>
      </w:r>
      <w:r w:rsidRPr="002C2B23">
        <w:rPr>
          <w:bCs/>
          <w:sz w:val="24"/>
          <w:lang w:eastAsia="zh-CN"/>
        </w:rPr>
        <w:t>年</w:t>
      </w:r>
      <w:r w:rsidRPr="002C2B23">
        <w:rPr>
          <w:bCs/>
          <w:sz w:val="24"/>
          <w:lang w:eastAsia="zh-CN"/>
        </w:rPr>
        <w:t>7</w:t>
      </w:r>
      <w:r w:rsidRPr="002C2B23">
        <w:rPr>
          <w:bCs/>
          <w:sz w:val="24"/>
          <w:lang w:eastAsia="zh-CN"/>
        </w:rPr>
        <w:t>月</w:t>
      </w:r>
      <w:r w:rsidRPr="002C2B23">
        <w:rPr>
          <w:bCs/>
          <w:sz w:val="24"/>
          <w:lang w:eastAsia="zh-CN"/>
        </w:rPr>
        <w:t>26</w:t>
      </w:r>
      <w:r w:rsidRPr="002C2B23">
        <w:rPr>
          <w:bCs/>
          <w:sz w:val="24"/>
          <w:lang w:eastAsia="zh-CN"/>
        </w:rPr>
        <w:t>日颁布、同年</w:t>
      </w:r>
      <w:r w:rsidRPr="002C2B23">
        <w:rPr>
          <w:bCs/>
          <w:sz w:val="24"/>
          <w:lang w:eastAsia="zh-CN"/>
        </w:rPr>
        <w:t>9</w:t>
      </w:r>
      <w:r w:rsidRPr="002C2B23">
        <w:rPr>
          <w:bCs/>
          <w:sz w:val="24"/>
          <w:lang w:eastAsia="zh-CN"/>
        </w:rPr>
        <w:t>月</w:t>
      </w:r>
      <w:r w:rsidRPr="002C2B23">
        <w:rPr>
          <w:bCs/>
          <w:sz w:val="24"/>
          <w:lang w:eastAsia="zh-CN"/>
        </w:rPr>
        <w:t>1</w:t>
      </w:r>
      <w:r w:rsidRPr="002C2B23">
        <w:rPr>
          <w:bCs/>
          <w:sz w:val="24"/>
          <w:lang w:eastAsia="zh-CN"/>
        </w:rPr>
        <w:t>日实施</w:t>
      </w:r>
      <w:bookmarkStart w:id="53" w:name="_Hlk36130308"/>
      <w:r w:rsidRPr="002C2B23">
        <w:rPr>
          <w:bCs/>
          <w:sz w:val="24"/>
          <w:lang w:eastAsia="zh-CN"/>
        </w:rPr>
        <w:t>，并经</w:t>
      </w:r>
      <w:r w:rsidRPr="002C2B23">
        <w:rPr>
          <w:bCs/>
          <w:sz w:val="24"/>
          <w:lang w:eastAsia="zh-CN"/>
        </w:rPr>
        <w:t>2020</w:t>
      </w:r>
      <w:r w:rsidRPr="002C2B23">
        <w:rPr>
          <w:bCs/>
          <w:sz w:val="24"/>
          <w:lang w:eastAsia="zh-CN"/>
        </w:rPr>
        <w:t>年</w:t>
      </w:r>
      <w:r w:rsidRPr="002C2B23">
        <w:rPr>
          <w:bCs/>
          <w:sz w:val="24"/>
          <w:lang w:eastAsia="zh-CN"/>
        </w:rPr>
        <w:t>3</w:t>
      </w:r>
      <w:r w:rsidRPr="002C2B23">
        <w:rPr>
          <w:bCs/>
          <w:sz w:val="24"/>
          <w:lang w:eastAsia="zh-CN"/>
        </w:rPr>
        <w:t>月</w:t>
      </w:r>
      <w:r w:rsidRPr="002C2B23">
        <w:rPr>
          <w:bCs/>
          <w:sz w:val="24"/>
          <w:lang w:eastAsia="zh-CN"/>
        </w:rPr>
        <w:t>20</w:t>
      </w:r>
      <w:r w:rsidRPr="002C2B23">
        <w:rPr>
          <w:bCs/>
          <w:sz w:val="24"/>
          <w:lang w:eastAsia="zh-CN"/>
        </w:rPr>
        <w:t>日中国证监会《关于修改部分证券期货规章的决定》修改</w:t>
      </w:r>
      <w:bookmarkEnd w:id="53"/>
      <w:r w:rsidRPr="002C2B23">
        <w:rPr>
          <w:bCs/>
          <w:sz w:val="24"/>
          <w:lang w:eastAsia="zh-CN"/>
        </w:rPr>
        <w:t>的《公开募集证券投资基金信息披露管理办法》及颁布机关对其不时做出的修订</w:t>
      </w:r>
    </w:p>
    <w:p w14:paraId="1EF49F3F"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《运作办法》：指中国证监会</w:t>
      </w:r>
      <w:r w:rsidRPr="002C2B23">
        <w:rPr>
          <w:bCs/>
          <w:sz w:val="24"/>
          <w:lang w:eastAsia="zh-CN"/>
        </w:rPr>
        <w:t>2014</w:t>
      </w:r>
      <w:r w:rsidRPr="002C2B23">
        <w:rPr>
          <w:bCs/>
          <w:sz w:val="24"/>
          <w:lang w:eastAsia="zh-CN"/>
        </w:rPr>
        <w:t>年</w:t>
      </w:r>
      <w:r w:rsidRPr="002C2B23">
        <w:rPr>
          <w:bCs/>
          <w:sz w:val="24"/>
          <w:lang w:eastAsia="zh-CN"/>
        </w:rPr>
        <w:t>7</w:t>
      </w:r>
      <w:r w:rsidRPr="002C2B23">
        <w:rPr>
          <w:bCs/>
          <w:sz w:val="24"/>
          <w:lang w:eastAsia="zh-CN"/>
        </w:rPr>
        <w:t>月</w:t>
      </w:r>
      <w:r w:rsidRPr="002C2B23">
        <w:rPr>
          <w:bCs/>
          <w:sz w:val="24"/>
          <w:lang w:eastAsia="zh-CN"/>
        </w:rPr>
        <w:t>7</w:t>
      </w:r>
      <w:r w:rsidRPr="002C2B23">
        <w:rPr>
          <w:bCs/>
          <w:sz w:val="24"/>
          <w:lang w:eastAsia="zh-CN"/>
        </w:rPr>
        <w:t>日颁布、同年</w:t>
      </w:r>
      <w:r w:rsidRPr="002C2B23">
        <w:rPr>
          <w:bCs/>
          <w:sz w:val="24"/>
          <w:lang w:eastAsia="zh-CN"/>
        </w:rPr>
        <w:t>8</w:t>
      </w:r>
      <w:r w:rsidRPr="002C2B23">
        <w:rPr>
          <w:bCs/>
          <w:sz w:val="24"/>
          <w:lang w:eastAsia="zh-CN"/>
        </w:rPr>
        <w:t>月</w:t>
      </w:r>
      <w:r w:rsidRPr="002C2B23">
        <w:rPr>
          <w:bCs/>
          <w:sz w:val="24"/>
          <w:lang w:eastAsia="zh-CN"/>
        </w:rPr>
        <w:t>8</w:t>
      </w:r>
      <w:r w:rsidRPr="002C2B23">
        <w:rPr>
          <w:bCs/>
          <w:sz w:val="24"/>
          <w:lang w:eastAsia="zh-CN"/>
        </w:rPr>
        <w:t>日实施的《公开募集证券投资基金运作管理办法》及颁布机关对其不时做出的修订</w:t>
      </w:r>
    </w:p>
    <w:p w14:paraId="298DF2C1"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《流动性风险管理规定》：指中国证监会</w:t>
      </w:r>
      <w:r w:rsidRPr="002C2B23">
        <w:rPr>
          <w:bCs/>
          <w:sz w:val="24"/>
          <w:lang w:eastAsia="zh-CN"/>
        </w:rPr>
        <w:t>2017</w:t>
      </w:r>
      <w:r w:rsidRPr="002C2B23">
        <w:rPr>
          <w:bCs/>
          <w:sz w:val="24"/>
          <w:lang w:eastAsia="zh-CN"/>
        </w:rPr>
        <w:t>年</w:t>
      </w:r>
      <w:r w:rsidRPr="002C2B23">
        <w:rPr>
          <w:bCs/>
          <w:sz w:val="24"/>
          <w:lang w:eastAsia="zh-CN"/>
        </w:rPr>
        <w:t>8</w:t>
      </w:r>
      <w:r w:rsidRPr="002C2B23">
        <w:rPr>
          <w:bCs/>
          <w:sz w:val="24"/>
          <w:lang w:eastAsia="zh-CN"/>
        </w:rPr>
        <w:t>月</w:t>
      </w:r>
      <w:r w:rsidRPr="002C2B23">
        <w:rPr>
          <w:bCs/>
          <w:sz w:val="24"/>
          <w:lang w:eastAsia="zh-CN"/>
        </w:rPr>
        <w:t>31</w:t>
      </w:r>
      <w:r w:rsidRPr="002C2B23">
        <w:rPr>
          <w:bCs/>
          <w:sz w:val="24"/>
          <w:lang w:eastAsia="zh-CN"/>
        </w:rPr>
        <w:t>日颁布、同年</w:t>
      </w:r>
      <w:r w:rsidRPr="002C2B23">
        <w:rPr>
          <w:bCs/>
          <w:sz w:val="24"/>
          <w:lang w:eastAsia="zh-CN"/>
        </w:rPr>
        <w:t>10</w:t>
      </w:r>
      <w:r w:rsidRPr="002C2B23">
        <w:rPr>
          <w:bCs/>
          <w:sz w:val="24"/>
          <w:lang w:eastAsia="zh-CN"/>
        </w:rPr>
        <w:t>月</w:t>
      </w:r>
      <w:r w:rsidRPr="002C2B23">
        <w:rPr>
          <w:bCs/>
          <w:sz w:val="24"/>
          <w:lang w:eastAsia="zh-CN"/>
        </w:rPr>
        <w:t>1</w:t>
      </w:r>
      <w:r w:rsidRPr="002C2B23">
        <w:rPr>
          <w:bCs/>
          <w:sz w:val="24"/>
          <w:lang w:eastAsia="zh-CN"/>
        </w:rPr>
        <w:t>日实施的《公开募集开放式证券投资基金流动性风险管理规定》及颁布机关对其不时做出的修订</w:t>
      </w:r>
    </w:p>
    <w:p w14:paraId="45A698CD"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中国证监会：指中国证券监督管理委员会</w:t>
      </w:r>
    </w:p>
    <w:p w14:paraId="2340BD47"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银行业监督管理机构：指中国人民银行和</w:t>
      </w:r>
      <w:r w:rsidRPr="002C2B23">
        <w:rPr>
          <w:bCs/>
          <w:sz w:val="24"/>
          <w:lang w:eastAsia="zh-CN"/>
        </w:rPr>
        <w:t>/</w:t>
      </w:r>
      <w:r w:rsidRPr="002C2B23">
        <w:rPr>
          <w:bCs/>
          <w:sz w:val="24"/>
          <w:lang w:eastAsia="zh-CN"/>
        </w:rPr>
        <w:t>或</w:t>
      </w:r>
      <w:r w:rsidRPr="002C2B23">
        <w:rPr>
          <w:rFonts w:hint="eastAsia"/>
          <w:bCs/>
          <w:sz w:val="24"/>
          <w:lang w:eastAsia="zh-CN"/>
        </w:rPr>
        <w:t>国家金融监督管理总局</w:t>
      </w:r>
    </w:p>
    <w:p w14:paraId="05AA073E"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基金合同当事人：指受基金合同约束，根据基金合同享有权利并承担义务的法律主体，包括基金管理人、基金托管人和基金份额持有人</w:t>
      </w:r>
    </w:p>
    <w:p w14:paraId="66E47CB5"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个人投资者：指依据有关法律法规规定可投资于证券投资基金的自然人</w:t>
      </w:r>
    </w:p>
    <w:p w14:paraId="66912BE1"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机构投资者：指依法可以投资证券投资基金的、在中华人民共和国境内合法登记并存续或经有关政府部门批准设立并存续的企业法人、事业法人、社会团体或其他组织</w:t>
      </w:r>
    </w:p>
    <w:p w14:paraId="6A4D47CE"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合格境外机构投资者：指符合《合格境外机构投资者和人民币合格境外机构投资者境内证券期货投资管理办法》及相关法律法规规定可以投资于在中国境内依法募集的证券投资基金的中国境外的机构投资者</w:t>
      </w:r>
    </w:p>
    <w:p w14:paraId="31C88759"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人民币合格境外机构投资者：指按照《合格境外机构投资者和人民币合格境外机构投资者境内证券期货投资管理办法》及相关法律法规规定，运用来自境外的人民币资金进行境内证券投资的境外法人</w:t>
      </w:r>
    </w:p>
    <w:p w14:paraId="74FD2F2E"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投资人、投资者：指个人投资者、机构投资者、合格境外机构投资者和人民币合格境外机构投资者以及法律法规或中国证监会允许购买证券投资基金的其他投资人的合称</w:t>
      </w:r>
    </w:p>
    <w:p w14:paraId="3007ED5A"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基金份额持有人：指依基金合同和招募说明书合法取得基金份额的投资人</w:t>
      </w:r>
    </w:p>
    <w:p w14:paraId="3B295011"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基金销售业务：指基金管理人或销售机构宣传推介基金，发售基金份额，办理基金份额的申购、赎回、转换、转托管及定期定额投资等业务</w:t>
      </w:r>
    </w:p>
    <w:p w14:paraId="3AF162C2"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销售机构：指直销机构和代销机构</w:t>
      </w:r>
    </w:p>
    <w:p w14:paraId="59668A5C"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直销机构：指红土创新基金管理有限公司</w:t>
      </w:r>
      <w:r w:rsidRPr="002C2B23">
        <w:rPr>
          <w:rFonts w:hint="eastAsia"/>
          <w:bCs/>
          <w:sz w:val="24"/>
          <w:lang w:eastAsia="zh-CN"/>
        </w:rPr>
        <w:t>，即基金管理人</w:t>
      </w:r>
    </w:p>
    <w:p w14:paraId="4DD6DC1D"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代销机构：指符合《销售办法》和中国证监会规定的其他条件，取得基金销售业务资格并与基金管理人签订了基金销售服务协议，办理基金销售业务的机构</w:t>
      </w:r>
    </w:p>
    <w:p w14:paraId="46C72591"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登记业务：指基金登记、存管、过户、清算和结算业务，具体内容包括投资人基金账户的建立和管理、基金份额登记、基金销售业务的确认、清算和结算、代理发放红利、建立并保管基金份额持有人名册和办理</w:t>
      </w:r>
      <w:proofErr w:type="gramStart"/>
      <w:r w:rsidRPr="002C2B23">
        <w:rPr>
          <w:bCs/>
          <w:sz w:val="24"/>
          <w:lang w:eastAsia="zh-CN"/>
        </w:rPr>
        <w:t>非交易</w:t>
      </w:r>
      <w:proofErr w:type="gramEnd"/>
      <w:r w:rsidRPr="002C2B23">
        <w:rPr>
          <w:bCs/>
          <w:sz w:val="24"/>
          <w:lang w:eastAsia="zh-CN"/>
        </w:rPr>
        <w:t>过户等</w:t>
      </w:r>
    </w:p>
    <w:p w14:paraId="60F90E21"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登记机构：</w:t>
      </w:r>
      <w:proofErr w:type="gramStart"/>
      <w:r w:rsidRPr="002C2B23">
        <w:rPr>
          <w:bCs/>
          <w:sz w:val="24"/>
          <w:lang w:eastAsia="zh-CN"/>
        </w:rPr>
        <w:t>指办理</w:t>
      </w:r>
      <w:proofErr w:type="gramEnd"/>
      <w:r w:rsidRPr="002C2B23">
        <w:rPr>
          <w:bCs/>
          <w:sz w:val="24"/>
          <w:lang w:eastAsia="zh-CN"/>
        </w:rPr>
        <w:t>登记业务的机构。基金的登记机构为红土创新基金管理有限公司或接受红土创新基金管理有限公司委托代为办理登记业务的机构</w:t>
      </w:r>
    </w:p>
    <w:p w14:paraId="4D9FFBC1"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基金账户：指登记机构为投资人开立的、记录其持有的、基金管理人所管理的基金份额余额及其变动情况的账户</w:t>
      </w:r>
    </w:p>
    <w:p w14:paraId="0D89E6F2"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基金交易账户：指销售机构为投资人开立的、记录投资人通过该销售机构办理认购、申购、赎回、转换、转托管及定期定额投资等业务而引起的基金份额变动及结余情况的账户</w:t>
      </w:r>
    </w:p>
    <w:p w14:paraId="7E6D7E7E"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基金合同生效日：指基金募集达到法律法规规定及基金合同规定的条件，基金管理人向中国证监会办理基金备案手续完毕，并获得中国证监会书面确认的日期</w:t>
      </w:r>
    </w:p>
    <w:p w14:paraId="499AAAE6"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基金合同终止日：指基金合同规定的基金合同终止事由出现后，基金财产清算完毕，清算结果报中国证监会备案并予以公告的日期</w:t>
      </w:r>
    </w:p>
    <w:p w14:paraId="4D9B0E99"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基金募集期：指自基金份额发售之日起至发售结束之日止的期间，最长不得超过</w:t>
      </w:r>
      <w:r w:rsidRPr="002C2B23">
        <w:rPr>
          <w:bCs/>
          <w:sz w:val="24"/>
          <w:lang w:eastAsia="zh-CN"/>
        </w:rPr>
        <w:t>3</w:t>
      </w:r>
      <w:r w:rsidRPr="002C2B23">
        <w:rPr>
          <w:bCs/>
          <w:sz w:val="24"/>
          <w:lang w:eastAsia="zh-CN"/>
        </w:rPr>
        <w:t>个月</w:t>
      </w:r>
    </w:p>
    <w:p w14:paraId="508BE3A4"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存续期：指基金合同生效至终止之间的不定期期限</w:t>
      </w:r>
    </w:p>
    <w:p w14:paraId="21A8DF2D"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工作日：指上海证券交易所、深圳证券交易所及相关期货交易所的正常交易日</w:t>
      </w:r>
    </w:p>
    <w:p w14:paraId="66867798"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T</w:t>
      </w:r>
      <w:r w:rsidRPr="002C2B23">
        <w:rPr>
          <w:bCs/>
          <w:sz w:val="24"/>
          <w:lang w:eastAsia="zh-CN"/>
        </w:rPr>
        <w:t>日：指销售机构在规定时间受理投资人申购、赎回或其他业务申请的开放日</w:t>
      </w:r>
    </w:p>
    <w:p w14:paraId="4FA6EF8A"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T+n</w:t>
      </w:r>
      <w:r w:rsidRPr="002C2B23">
        <w:rPr>
          <w:bCs/>
          <w:sz w:val="24"/>
          <w:lang w:eastAsia="zh-CN"/>
        </w:rPr>
        <w:t>日：指自</w:t>
      </w:r>
      <w:r w:rsidRPr="002C2B23">
        <w:rPr>
          <w:bCs/>
          <w:sz w:val="24"/>
          <w:lang w:eastAsia="zh-CN"/>
        </w:rPr>
        <w:t>T</w:t>
      </w:r>
      <w:r w:rsidRPr="002C2B23">
        <w:rPr>
          <w:bCs/>
          <w:sz w:val="24"/>
          <w:lang w:eastAsia="zh-CN"/>
        </w:rPr>
        <w:t>日起第</w:t>
      </w:r>
      <w:r w:rsidRPr="002C2B23">
        <w:rPr>
          <w:bCs/>
          <w:sz w:val="24"/>
          <w:lang w:eastAsia="zh-CN"/>
        </w:rPr>
        <w:t>n</w:t>
      </w:r>
      <w:proofErr w:type="gramStart"/>
      <w:r w:rsidRPr="002C2B23">
        <w:rPr>
          <w:bCs/>
          <w:sz w:val="24"/>
          <w:lang w:eastAsia="zh-CN"/>
        </w:rPr>
        <w:t>个</w:t>
      </w:r>
      <w:proofErr w:type="gramEnd"/>
      <w:r w:rsidRPr="002C2B23">
        <w:rPr>
          <w:bCs/>
          <w:sz w:val="24"/>
          <w:lang w:eastAsia="zh-CN"/>
        </w:rPr>
        <w:t>工作日（不包含</w:t>
      </w:r>
      <w:r w:rsidRPr="002C2B23">
        <w:rPr>
          <w:bCs/>
          <w:sz w:val="24"/>
          <w:lang w:eastAsia="zh-CN"/>
        </w:rPr>
        <w:t>T</w:t>
      </w:r>
      <w:r w:rsidRPr="002C2B23">
        <w:rPr>
          <w:bCs/>
          <w:sz w:val="24"/>
          <w:lang w:eastAsia="zh-CN"/>
        </w:rPr>
        <w:t>日）</w:t>
      </w:r>
    </w:p>
    <w:p w14:paraId="52405B7F"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开放日：指为投资人办理基金份额申购、赎回或其他业务的工作日（若本基金参与港股</w:t>
      </w:r>
      <w:proofErr w:type="gramStart"/>
      <w:r w:rsidRPr="002C2B23">
        <w:rPr>
          <w:bCs/>
          <w:sz w:val="24"/>
          <w:lang w:eastAsia="zh-CN"/>
        </w:rPr>
        <w:t>通交易且</w:t>
      </w:r>
      <w:proofErr w:type="gramEnd"/>
      <w:r w:rsidRPr="002C2B23">
        <w:rPr>
          <w:bCs/>
          <w:sz w:val="24"/>
          <w:lang w:eastAsia="zh-CN"/>
        </w:rPr>
        <w:t>该工作日为非港股</w:t>
      </w:r>
      <w:proofErr w:type="gramStart"/>
      <w:r w:rsidRPr="002C2B23">
        <w:rPr>
          <w:bCs/>
          <w:sz w:val="24"/>
          <w:lang w:eastAsia="zh-CN"/>
        </w:rPr>
        <w:t>通交易</w:t>
      </w:r>
      <w:proofErr w:type="gramEnd"/>
      <w:r w:rsidRPr="002C2B23">
        <w:rPr>
          <w:bCs/>
          <w:sz w:val="24"/>
          <w:lang w:eastAsia="zh-CN"/>
        </w:rPr>
        <w:t>日时，</w:t>
      </w:r>
      <w:proofErr w:type="gramStart"/>
      <w:r w:rsidRPr="002C2B23">
        <w:rPr>
          <w:bCs/>
          <w:sz w:val="24"/>
          <w:lang w:eastAsia="zh-CN"/>
        </w:rPr>
        <w:t>则基金</w:t>
      </w:r>
      <w:proofErr w:type="gramEnd"/>
      <w:r w:rsidRPr="002C2B23">
        <w:rPr>
          <w:bCs/>
          <w:sz w:val="24"/>
          <w:lang w:eastAsia="zh-CN"/>
        </w:rPr>
        <w:t>管理人可根据实际情况决定本基金是否开放申购、赎回及转换业务，具体以届时提前发布的公告为准）</w:t>
      </w:r>
    </w:p>
    <w:p w14:paraId="0A02F33A"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开放时间：指开放日基金接受申购、赎回或其他交易的时间段</w:t>
      </w:r>
    </w:p>
    <w:p w14:paraId="2E39B49D"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《业务规则》：指《红土创新基金管理有限公司开放式基金业务规则》，是规范基金管理人所管理的开放式证券投资基金登记方面的业务规则，由基金管理人和投资人共同遵守</w:t>
      </w:r>
    </w:p>
    <w:p w14:paraId="76D2BBE1"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认购：指在基金募集期内，投资人根据基金合同和招募说明书的规定申请购买基金份额的行为</w:t>
      </w:r>
    </w:p>
    <w:p w14:paraId="0D7EA692"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申购：指基金合同生效后，投资人根据基金合同和招募说明书的规定申请购买基金份额的行为</w:t>
      </w:r>
    </w:p>
    <w:p w14:paraId="4EC8DE05"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赎回：指基金合同生效后，基金份额持有人按基金合同和招募说明书规定的条件要求将基金份额兑换为现金的行为</w:t>
      </w:r>
    </w:p>
    <w:p w14:paraId="0AFA3B63"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基金转换：指基金份额持有人按照本基金合同和基金管理人届时有效公告规定的条件，申请将其持有基金管理人管理的、某一基金的基金份额转换为基金管理人管理的其他</w:t>
      </w:r>
      <w:proofErr w:type="gramStart"/>
      <w:r w:rsidRPr="002C2B23">
        <w:rPr>
          <w:bCs/>
          <w:sz w:val="24"/>
          <w:lang w:eastAsia="zh-CN"/>
        </w:rPr>
        <w:t>基金基金</w:t>
      </w:r>
      <w:proofErr w:type="gramEnd"/>
      <w:r w:rsidRPr="002C2B23">
        <w:rPr>
          <w:bCs/>
          <w:sz w:val="24"/>
          <w:lang w:eastAsia="zh-CN"/>
        </w:rPr>
        <w:t>份额的行为</w:t>
      </w:r>
    </w:p>
    <w:p w14:paraId="3CC50913"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转托管：指基金份额持有人在本基金的不同销售机构之间实施的变更所持基金份额销售机构的操作</w:t>
      </w:r>
    </w:p>
    <w:p w14:paraId="6DF9FC03"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定期定额投资计划：指投资人通过有关销售机构提出申请，约定每期申购日、扣款金额及扣款方式，由销售机构于每期约定扣款日在投资人指定银行账户内自动完成扣款及受理基金申购申请的一种投资方式</w:t>
      </w:r>
    </w:p>
    <w:p w14:paraId="2A45DE53"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巨额赎回：指本基金单个开放日，基金净赎回申请（赎回申请份额总数加上基金转换中转出申请份额总数后扣除申购申请份额总数及基金转换中转入申请份额总数后的余额）超过上一</w:t>
      </w:r>
      <w:r w:rsidRPr="002C2B23">
        <w:rPr>
          <w:rFonts w:hint="eastAsia"/>
          <w:bCs/>
          <w:sz w:val="24"/>
          <w:lang w:eastAsia="zh-CN"/>
        </w:rPr>
        <w:t>工作</w:t>
      </w:r>
      <w:r w:rsidRPr="002C2B23">
        <w:rPr>
          <w:bCs/>
          <w:sz w:val="24"/>
          <w:lang w:eastAsia="zh-CN"/>
        </w:rPr>
        <w:t>日基金总份额的</w:t>
      </w:r>
      <w:r w:rsidRPr="002C2B23">
        <w:rPr>
          <w:bCs/>
          <w:sz w:val="24"/>
          <w:lang w:eastAsia="zh-CN"/>
        </w:rPr>
        <w:t>10%</w:t>
      </w:r>
    </w:p>
    <w:p w14:paraId="556EEAE5"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元：指人民币元</w:t>
      </w:r>
    </w:p>
    <w:p w14:paraId="1B363DBE"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基金收益：指基金投资所得红利、股息、债券利息、买卖证券价差、银行存款利息、已实现的其他合法收入及因运用基金财产带来的成本和费用的节约</w:t>
      </w:r>
    </w:p>
    <w:p w14:paraId="0AEB60BE"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基金资产总值：指基金拥有的各类有价证券、银行存款本息、基金应收款项及其他资产的价值总和</w:t>
      </w:r>
    </w:p>
    <w:p w14:paraId="02EB0DC7"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基金资产净值：指基金资产总值减去基金负债后的价值</w:t>
      </w:r>
    </w:p>
    <w:p w14:paraId="0E7C39FA"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基金份额净值：指计算日基金资产净值除以计算日该类基金份额总数</w:t>
      </w:r>
    </w:p>
    <w:p w14:paraId="4EC8E584"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基金资产估值：指计算评估基金资产和负债的价值，以确定基金资产净值和基金份额净值的过程</w:t>
      </w:r>
    </w:p>
    <w:p w14:paraId="0C19E48E"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基金份额分类：指本基金分设两类基金份额，即</w:t>
      </w:r>
      <w:r w:rsidRPr="002C2B23">
        <w:rPr>
          <w:bCs/>
          <w:sz w:val="24"/>
          <w:lang w:eastAsia="zh-CN"/>
        </w:rPr>
        <w:t>A</w:t>
      </w:r>
      <w:r w:rsidRPr="002C2B23">
        <w:rPr>
          <w:bCs/>
          <w:sz w:val="24"/>
          <w:lang w:eastAsia="zh-CN"/>
        </w:rPr>
        <w:t>类基金份额和</w:t>
      </w:r>
      <w:r w:rsidRPr="002C2B23">
        <w:rPr>
          <w:bCs/>
          <w:sz w:val="24"/>
          <w:lang w:eastAsia="zh-CN"/>
        </w:rPr>
        <w:t>C</w:t>
      </w:r>
      <w:r w:rsidRPr="002C2B23">
        <w:rPr>
          <w:bCs/>
          <w:sz w:val="24"/>
          <w:lang w:eastAsia="zh-CN"/>
        </w:rPr>
        <w:t>类基金份额。两类基金份额分设不同的基金代码，分别计算基金份额净值，计算公式为计算日各类别基金资产净值除以计算日发售在外的该类别基金份额总数</w:t>
      </w:r>
    </w:p>
    <w:p w14:paraId="5861C8C4"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A</w:t>
      </w:r>
      <w:r w:rsidRPr="002C2B23">
        <w:rPr>
          <w:bCs/>
          <w:sz w:val="24"/>
          <w:lang w:eastAsia="zh-CN"/>
        </w:rPr>
        <w:t>类基金份额：指在投资者认购、申购时收取认购、申购费用，不从本类别基金资产中计</w:t>
      </w:r>
      <w:proofErr w:type="gramStart"/>
      <w:r w:rsidRPr="002C2B23">
        <w:rPr>
          <w:bCs/>
          <w:sz w:val="24"/>
          <w:lang w:eastAsia="zh-CN"/>
        </w:rPr>
        <w:t>提销售</w:t>
      </w:r>
      <w:proofErr w:type="gramEnd"/>
      <w:r w:rsidRPr="002C2B23">
        <w:rPr>
          <w:bCs/>
          <w:sz w:val="24"/>
          <w:lang w:eastAsia="zh-CN"/>
        </w:rPr>
        <w:t>服务费的基金份额</w:t>
      </w:r>
      <w:r w:rsidRPr="002C2B23">
        <w:rPr>
          <w:rFonts w:hint="eastAsia"/>
          <w:bCs/>
          <w:sz w:val="24"/>
          <w:lang w:eastAsia="zh-CN"/>
        </w:rPr>
        <w:t>，其中，通过基金管理人认购、申购</w:t>
      </w:r>
      <w:r w:rsidRPr="002C2B23">
        <w:rPr>
          <w:rFonts w:hint="eastAsia"/>
          <w:bCs/>
          <w:sz w:val="24"/>
          <w:lang w:eastAsia="zh-CN"/>
        </w:rPr>
        <w:t>A</w:t>
      </w:r>
      <w:r w:rsidRPr="002C2B23">
        <w:rPr>
          <w:rFonts w:hint="eastAsia"/>
          <w:bCs/>
          <w:sz w:val="24"/>
          <w:lang w:eastAsia="zh-CN"/>
        </w:rPr>
        <w:t>类基金份额的不收取认购、申购费用</w:t>
      </w:r>
    </w:p>
    <w:p w14:paraId="3A5FF559"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C</w:t>
      </w:r>
      <w:r w:rsidRPr="002C2B23">
        <w:rPr>
          <w:bCs/>
          <w:sz w:val="24"/>
          <w:lang w:eastAsia="zh-CN"/>
        </w:rPr>
        <w:t>类基金份额：指在投资者认购、申购时不收取认购、申购费用，但从本类别基金资产中计</w:t>
      </w:r>
      <w:proofErr w:type="gramStart"/>
      <w:r w:rsidRPr="002C2B23">
        <w:rPr>
          <w:bCs/>
          <w:sz w:val="24"/>
          <w:lang w:eastAsia="zh-CN"/>
        </w:rPr>
        <w:t>提销售</w:t>
      </w:r>
      <w:proofErr w:type="gramEnd"/>
      <w:r w:rsidRPr="002C2B23">
        <w:rPr>
          <w:bCs/>
          <w:sz w:val="24"/>
          <w:lang w:eastAsia="zh-CN"/>
        </w:rPr>
        <w:t>服务费的基金份额</w:t>
      </w:r>
      <w:r w:rsidRPr="002C2B23">
        <w:rPr>
          <w:rFonts w:hint="eastAsia"/>
          <w:bCs/>
          <w:sz w:val="24"/>
          <w:lang w:eastAsia="zh-CN"/>
        </w:rPr>
        <w:t>，其中，通过基金管理人认购、申购</w:t>
      </w:r>
      <w:r w:rsidRPr="002C2B23">
        <w:rPr>
          <w:rFonts w:hint="eastAsia"/>
          <w:bCs/>
          <w:sz w:val="24"/>
          <w:lang w:eastAsia="zh-CN"/>
        </w:rPr>
        <w:t>C</w:t>
      </w:r>
      <w:r w:rsidRPr="002C2B23">
        <w:rPr>
          <w:rFonts w:hint="eastAsia"/>
          <w:bCs/>
          <w:sz w:val="24"/>
          <w:lang w:eastAsia="zh-CN"/>
        </w:rPr>
        <w:t>类基金份额的不收取销售服务费；通过代销机构认购、申购并持续持有期限超过一年的</w:t>
      </w:r>
      <w:r w:rsidRPr="002C2B23">
        <w:rPr>
          <w:rFonts w:hint="eastAsia"/>
          <w:bCs/>
          <w:sz w:val="24"/>
          <w:lang w:eastAsia="zh-CN"/>
        </w:rPr>
        <w:t>C</w:t>
      </w:r>
      <w:r w:rsidRPr="002C2B23">
        <w:rPr>
          <w:rFonts w:hint="eastAsia"/>
          <w:bCs/>
          <w:sz w:val="24"/>
          <w:lang w:eastAsia="zh-CN"/>
        </w:rPr>
        <w:t>类基金份额，不再继续收取销售服务费</w:t>
      </w:r>
    </w:p>
    <w:p w14:paraId="0E5431A0"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规定媒介：指符合中国证监会规定条件的用以进行信息披露的全国性报刊及《信息披露办法》规定的互联网网站（包括基金管理人网站、基金托管人网站、中国证监会基金电子披露网站）等媒介</w:t>
      </w:r>
    </w:p>
    <w:p w14:paraId="4F0075E1" w14:textId="77777777" w:rsidR="005039DD" w:rsidRPr="002C2B23" w:rsidRDefault="0040620F">
      <w:pPr>
        <w:pStyle w:val="aff2"/>
        <w:numPr>
          <w:ilvl w:val="0"/>
          <w:numId w:val="2"/>
        </w:numPr>
        <w:spacing w:line="360" w:lineRule="auto"/>
        <w:ind w:left="0" w:firstLine="426"/>
        <w:rPr>
          <w:sz w:val="24"/>
          <w:lang w:eastAsia="zh-CN"/>
        </w:rPr>
      </w:pPr>
      <w:r w:rsidRPr="002C2B23">
        <w:rPr>
          <w:bCs/>
          <w:sz w:val="24"/>
          <w:lang w:eastAsia="zh-CN"/>
        </w:rPr>
        <w:t>销售服务费：指从基金财产中计提的，用于本基金市场推广、销售以及基金份额持有人服务的费用</w:t>
      </w:r>
    </w:p>
    <w:p w14:paraId="5FB71FC3" w14:textId="77777777" w:rsidR="005039DD" w:rsidRPr="002C2B23" w:rsidRDefault="0040620F">
      <w:pPr>
        <w:pStyle w:val="aff2"/>
        <w:numPr>
          <w:ilvl w:val="0"/>
          <w:numId w:val="2"/>
        </w:numPr>
        <w:spacing w:line="360" w:lineRule="auto"/>
        <w:ind w:left="0" w:firstLine="426"/>
        <w:rPr>
          <w:sz w:val="24"/>
          <w:lang w:eastAsia="zh-CN"/>
        </w:rPr>
      </w:pPr>
      <w:r w:rsidRPr="002C2B23">
        <w:rPr>
          <w:bCs/>
          <w:sz w:val="24"/>
          <w:lang w:eastAsia="zh-CN"/>
        </w:rPr>
        <w:t>流动性受限资产：指由于法律法规、监管、合同或操作障碍等原因无法以合理价格予以变现的资产，包括但不限于到期日在</w:t>
      </w:r>
      <w:r w:rsidRPr="002C2B23">
        <w:rPr>
          <w:bCs/>
          <w:sz w:val="24"/>
          <w:lang w:eastAsia="zh-CN"/>
        </w:rPr>
        <w:t>10</w:t>
      </w:r>
      <w:r w:rsidRPr="002C2B23">
        <w:rPr>
          <w:bCs/>
          <w:sz w:val="24"/>
          <w:lang w:eastAsia="zh-CN"/>
        </w:rPr>
        <w:t>个交易日以上的逆回购与银行定期存款（</w:t>
      </w:r>
      <w:proofErr w:type="gramStart"/>
      <w:r w:rsidRPr="002C2B23">
        <w:rPr>
          <w:bCs/>
          <w:sz w:val="24"/>
          <w:lang w:eastAsia="zh-CN"/>
        </w:rPr>
        <w:t>含协议</w:t>
      </w:r>
      <w:proofErr w:type="gramEnd"/>
      <w:r w:rsidRPr="002C2B23">
        <w:rPr>
          <w:bCs/>
          <w:sz w:val="24"/>
          <w:lang w:eastAsia="zh-CN"/>
        </w:rPr>
        <w:t>约定有条件提前支取的银行存款）、停牌股票、流通受限的新股及非公开发行股票、资产支持证券、因发行人债务违约无法进行转让或交易的债券等</w:t>
      </w:r>
    </w:p>
    <w:p w14:paraId="0F4A72AE" w14:textId="77777777" w:rsidR="005039DD" w:rsidRPr="002C2B23" w:rsidRDefault="0040620F">
      <w:pPr>
        <w:pStyle w:val="aff2"/>
        <w:numPr>
          <w:ilvl w:val="0"/>
          <w:numId w:val="2"/>
        </w:numPr>
        <w:spacing w:line="360" w:lineRule="auto"/>
        <w:ind w:left="0" w:firstLine="426"/>
        <w:rPr>
          <w:bCs/>
          <w:sz w:val="24"/>
          <w:lang w:eastAsia="zh-CN"/>
        </w:rPr>
      </w:pPr>
      <w:r w:rsidRPr="002C2B23">
        <w:rPr>
          <w:bCs/>
          <w:sz w:val="24"/>
          <w:lang w:eastAsia="zh-CN"/>
        </w:rPr>
        <w:t>摆动定价机制：指当本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14:paraId="361E33D6" w14:textId="77777777" w:rsidR="005039DD" w:rsidRPr="002C2B23" w:rsidRDefault="0040620F">
      <w:pPr>
        <w:pStyle w:val="aff2"/>
        <w:numPr>
          <w:ilvl w:val="0"/>
          <w:numId w:val="2"/>
        </w:numPr>
        <w:spacing w:line="360" w:lineRule="auto"/>
        <w:ind w:left="0" w:firstLine="426"/>
        <w:rPr>
          <w:lang w:eastAsia="zh-CN"/>
        </w:rPr>
      </w:pPr>
      <w:r w:rsidRPr="002C2B23">
        <w:rPr>
          <w:rFonts w:hint="eastAsia"/>
          <w:bCs/>
          <w:sz w:val="24"/>
          <w:lang w:eastAsia="zh-CN"/>
        </w:rPr>
        <w:t>内地与香港股票市场交易互联互通机制：指上海证券交易所、深圳证券交易所分别和香港联合交易所有限公司（以下简称“香港联合交易所”）建立技术连接，使内地和香港投资者可以通过当地证券公司或经纪商买卖规定范围内的对方交易所上市的股票。内地与香港股票市场交易互联互通机制包括沪港股票市场交易互联互通机制和深港股票市场交易互联互通机制</w:t>
      </w:r>
    </w:p>
    <w:p w14:paraId="3FB75C2E" w14:textId="77777777" w:rsidR="005039DD" w:rsidRPr="002C2B23" w:rsidRDefault="0040620F">
      <w:pPr>
        <w:pStyle w:val="aff2"/>
        <w:numPr>
          <w:ilvl w:val="0"/>
          <w:numId w:val="2"/>
        </w:numPr>
        <w:spacing w:line="360" w:lineRule="auto"/>
        <w:ind w:left="0" w:firstLine="426"/>
        <w:rPr>
          <w:lang w:eastAsia="zh-CN"/>
        </w:rPr>
      </w:pPr>
      <w:r w:rsidRPr="002C2B23">
        <w:rPr>
          <w:bCs/>
          <w:sz w:val="24"/>
          <w:lang w:eastAsia="zh-CN"/>
        </w:rPr>
        <w:t>港股通：是指内地投资者委托内地证券公司，经由上海证券交易所和深圳证券交易所设立的证券交易服务公司，向香港联合交易所进行申报，买卖规定范围内的香港联合交易所上市的股票的交易机制</w:t>
      </w:r>
    </w:p>
    <w:p w14:paraId="78581677" w14:textId="77777777" w:rsidR="005039DD" w:rsidRPr="002C2B23" w:rsidRDefault="0040620F">
      <w:pPr>
        <w:pStyle w:val="aff2"/>
        <w:numPr>
          <w:ilvl w:val="0"/>
          <w:numId w:val="2"/>
        </w:numPr>
        <w:spacing w:line="360" w:lineRule="auto"/>
        <w:ind w:left="0" w:firstLine="426"/>
        <w:rPr>
          <w:sz w:val="24"/>
          <w:lang w:eastAsia="zh-CN"/>
        </w:rPr>
      </w:pPr>
      <w:proofErr w:type="gramStart"/>
      <w:r w:rsidRPr="002C2B23">
        <w:rPr>
          <w:sz w:val="24"/>
          <w:lang w:eastAsia="zh-CN"/>
        </w:rPr>
        <w:t>侧袋机制</w:t>
      </w:r>
      <w:proofErr w:type="gramEnd"/>
      <w:r w:rsidRPr="002C2B23">
        <w:rPr>
          <w:sz w:val="24"/>
          <w:lang w:eastAsia="zh-CN"/>
        </w:rPr>
        <w:t>：指将基金投资组合中的特定资产从原有账户分离</w:t>
      </w:r>
      <w:proofErr w:type="gramStart"/>
      <w:r w:rsidRPr="002C2B23">
        <w:rPr>
          <w:sz w:val="24"/>
          <w:lang w:eastAsia="zh-CN"/>
        </w:rPr>
        <w:t>至专门</w:t>
      </w:r>
      <w:proofErr w:type="gramEnd"/>
      <w:r w:rsidRPr="002C2B23">
        <w:rPr>
          <w:sz w:val="24"/>
          <w:lang w:eastAsia="zh-CN"/>
        </w:rPr>
        <w:t>账户进行处置清算，目的在于有效隔离并化解风险，确保投资者得到公平对待，属于流动性风险管理工具。</w:t>
      </w:r>
      <w:proofErr w:type="gramStart"/>
      <w:r w:rsidRPr="002C2B23">
        <w:rPr>
          <w:sz w:val="24"/>
          <w:lang w:eastAsia="zh-CN"/>
        </w:rPr>
        <w:t>侧袋机制</w:t>
      </w:r>
      <w:proofErr w:type="gramEnd"/>
      <w:r w:rsidRPr="002C2B23">
        <w:rPr>
          <w:sz w:val="24"/>
          <w:lang w:eastAsia="zh-CN"/>
        </w:rPr>
        <w:t>实施期间，原有账户称为主袋账户，专门账户</w:t>
      </w:r>
      <w:proofErr w:type="gramStart"/>
      <w:r w:rsidRPr="002C2B23">
        <w:rPr>
          <w:sz w:val="24"/>
          <w:lang w:eastAsia="zh-CN"/>
        </w:rPr>
        <w:t>称为侧袋账户</w:t>
      </w:r>
      <w:proofErr w:type="gramEnd"/>
    </w:p>
    <w:p w14:paraId="6662D78D" w14:textId="77777777" w:rsidR="005039DD" w:rsidRPr="002C2B23" w:rsidRDefault="0040620F">
      <w:pPr>
        <w:pStyle w:val="aff2"/>
        <w:numPr>
          <w:ilvl w:val="0"/>
          <w:numId w:val="2"/>
        </w:numPr>
        <w:spacing w:line="360" w:lineRule="auto"/>
        <w:ind w:left="0" w:firstLine="426"/>
        <w:rPr>
          <w:sz w:val="24"/>
          <w:lang w:eastAsia="zh-CN"/>
        </w:rPr>
      </w:pPr>
      <w:r w:rsidRPr="002C2B23">
        <w:rPr>
          <w:sz w:val="24"/>
          <w:lang w:eastAsia="zh-CN"/>
        </w:rPr>
        <w:t>特定资产：包括：（</w:t>
      </w:r>
      <w:r w:rsidRPr="002C2B23">
        <w:rPr>
          <w:sz w:val="24"/>
          <w:lang w:eastAsia="zh-CN"/>
        </w:rPr>
        <w:t>1</w:t>
      </w:r>
      <w:r w:rsidRPr="002C2B23">
        <w:rPr>
          <w:sz w:val="24"/>
          <w:lang w:eastAsia="zh-CN"/>
        </w:rPr>
        <w:t>）无可参考的活跃市场价格且采用估值技术</w:t>
      </w:r>
      <w:proofErr w:type="gramStart"/>
      <w:r w:rsidRPr="002C2B23">
        <w:rPr>
          <w:sz w:val="24"/>
          <w:lang w:eastAsia="zh-CN"/>
        </w:rPr>
        <w:t>仍导致</w:t>
      </w:r>
      <w:proofErr w:type="gramEnd"/>
      <w:r w:rsidRPr="002C2B23">
        <w:rPr>
          <w:sz w:val="24"/>
          <w:lang w:eastAsia="zh-CN"/>
        </w:rPr>
        <w:t>公允价值存在重大不确定性的资产；（</w:t>
      </w:r>
      <w:r w:rsidRPr="002C2B23">
        <w:rPr>
          <w:sz w:val="24"/>
          <w:lang w:eastAsia="zh-CN"/>
        </w:rPr>
        <w:t>2</w:t>
      </w:r>
      <w:r w:rsidRPr="002C2B23">
        <w:rPr>
          <w:sz w:val="24"/>
          <w:lang w:eastAsia="zh-CN"/>
        </w:rPr>
        <w:t>）</w:t>
      </w:r>
      <w:proofErr w:type="gramStart"/>
      <w:r w:rsidRPr="002C2B23">
        <w:rPr>
          <w:sz w:val="24"/>
          <w:lang w:eastAsia="zh-CN"/>
        </w:rPr>
        <w:t>按摊余成本</w:t>
      </w:r>
      <w:proofErr w:type="gramEnd"/>
      <w:r w:rsidRPr="002C2B23">
        <w:rPr>
          <w:sz w:val="24"/>
          <w:lang w:eastAsia="zh-CN"/>
        </w:rPr>
        <w:t>计量且计提资产减值</w:t>
      </w:r>
      <w:proofErr w:type="gramStart"/>
      <w:r w:rsidRPr="002C2B23">
        <w:rPr>
          <w:sz w:val="24"/>
          <w:lang w:eastAsia="zh-CN"/>
        </w:rPr>
        <w:t>准备仍导致</w:t>
      </w:r>
      <w:proofErr w:type="gramEnd"/>
      <w:r w:rsidRPr="002C2B23">
        <w:rPr>
          <w:sz w:val="24"/>
          <w:lang w:eastAsia="zh-CN"/>
        </w:rPr>
        <w:t>资产价值存在重大不确定性的资产；（</w:t>
      </w:r>
      <w:r w:rsidRPr="002C2B23">
        <w:rPr>
          <w:sz w:val="24"/>
          <w:lang w:eastAsia="zh-CN"/>
        </w:rPr>
        <w:t>3</w:t>
      </w:r>
      <w:r w:rsidRPr="002C2B23">
        <w:rPr>
          <w:sz w:val="24"/>
          <w:lang w:eastAsia="zh-CN"/>
        </w:rPr>
        <w:t>）其他资产价值存在重大不确定性的资产</w:t>
      </w:r>
    </w:p>
    <w:p w14:paraId="78F43408" w14:textId="10676B12" w:rsidR="005039DD" w:rsidRPr="002C2B23" w:rsidRDefault="0040620F">
      <w:pPr>
        <w:pStyle w:val="aff2"/>
        <w:numPr>
          <w:ilvl w:val="0"/>
          <w:numId w:val="2"/>
        </w:numPr>
        <w:spacing w:line="360" w:lineRule="auto"/>
        <w:ind w:left="0" w:firstLine="426"/>
        <w:rPr>
          <w:lang w:eastAsia="zh-CN"/>
        </w:rPr>
      </w:pPr>
      <w:r w:rsidRPr="002C2B23">
        <w:rPr>
          <w:bCs/>
          <w:sz w:val="24"/>
          <w:lang w:eastAsia="zh-CN"/>
        </w:rPr>
        <w:t>不可抗力：指本</w:t>
      </w:r>
      <w:r w:rsidRPr="002C2B23">
        <w:rPr>
          <w:rFonts w:hint="eastAsia"/>
          <w:bCs/>
          <w:sz w:val="24"/>
          <w:lang w:eastAsia="zh-CN"/>
        </w:rPr>
        <w:t>基金</w:t>
      </w:r>
      <w:r w:rsidRPr="002C2B23">
        <w:rPr>
          <w:bCs/>
          <w:sz w:val="24"/>
          <w:lang w:eastAsia="zh-CN"/>
        </w:rPr>
        <w:t>合同当事人不能预见、不能避免且不能克服的客观事件</w:t>
      </w:r>
      <w:r w:rsidRPr="002C2B23">
        <w:rPr>
          <w:rFonts w:hint="eastAsia"/>
          <w:bCs/>
          <w:sz w:val="24"/>
          <w:lang w:eastAsia="zh-CN"/>
        </w:rPr>
        <w:t>，包括但不限于地震、台风、水灾、火灾、战争、瘟疫、社会动乱、非一方过错情况下的电力和通讯故障、系统故障、设备故障、网络黑客攻击以及中国证监会、交易所、证券业协会、基金业协会规定的其他情形</w:t>
      </w:r>
    </w:p>
    <w:p w14:paraId="4B7D01C1" w14:textId="77777777" w:rsidR="005039DD" w:rsidRPr="002C2B23" w:rsidRDefault="005039DD">
      <w:pPr>
        <w:spacing w:line="360" w:lineRule="auto"/>
        <w:ind w:firstLine="480"/>
        <w:rPr>
          <w:bCs/>
          <w:sz w:val="24"/>
          <w:lang w:eastAsia="zh-CN"/>
        </w:rPr>
        <w:sectPr w:rsidR="005039DD" w:rsidRPr="002C2B23">
          <w:pgSz w:w="12240" w:h="15840"/>
          <w:pgMar w:top="1440" w:right="1800" w:bottom="1440" w:left="1800" w:header="720" w:footer="720" w:gutter="0"/>
          <w:cols w:space="720"/>
          <w:docGrid w:linePitch="312"/>
        </w:sectPr>
      </w:pPr>
    </w:p>
    <w:p w14:paraId="15B923DB" w14:textId="77777777" w:rsidR="005039DD" w:rsidRPr="002C2B23" w:rsidRDefault="0040620F">
      <w:pPr>
        <w:pStyle w:val="112"/>
        <w:spacing w:before="0" w:after="0"/>
        <w:jc w:val="center"/>
        <w:rPr>
          <w:rFonts w:ascii="Times New Roman"/>
          <w:sz w:val="30"/>
          <w:lang w:eastAsia="zh-CN"/>
        </w:rPr>
      </w:pPr>
      <w:bookmarkStart w:id="54" w:name="_Toc733"/>
      <w:bookmarkStart w:id="55" w:name="_Toc20627"/>
      <w:bookmarkStart w:id="56" w:name="_Toc18631"/>
      <w:bookmarkStart w:id="57" w:name="_Toc545"/>
      <w:bookmarkStart w:id="58" w:name="_Toc22708"/>
      <w:bookmarkStart w:id="59" w:name="_Toc13288"/>
      <w:bookmarkStart w:id="60" w:name="_Toc109141363"/>
      <w:bookmarkStart w:id="61" w:name="_Toc24571"/>
      <w:bookmarkStart w:id="62" w:name="_Toc6149"/>
      <w:bookmarkStart w:id="63" w:name="_Toc20318"/>
      <w:bookmarkStart w:id="64" w:name="_Toc5246"/>
      <w:bookmarkStart w:id="65" w:name="_Toc6683"/>
      <w:bookmarkStart w:id="66" w:name="_Toc258829400"/>
      <w:bookmarkStart w:id="67" w:name="_Toc233456272"/>
      <w:r w:rsidRPr="002C2B23">
        <w:rPr>
          <w:rFonts w:ascii="Times New Roman"/>
          <w:sz w:val="30"/>
          <w:lang w:eastAsia="zh-CN"/>
        </w:rPr>
        <w:t>第三部分</w:t>
      </w:r>
      <w:r w:rsidRPr="002C2B23">
        <w:rPr>
          <w:rFonts w:ascii="Times New Roman"/>
          <w:sz w:val="30"/>
          <w:lang w:eastAsia="zh-CN"/>
        </w:rPr>
        <w:t xml:space="preserve">  </w:t>
      </w:r>
      <w:r w:rsidRPr="002C2B23">
        <w:rPr>
          <w:rFonts w:ascii="Times New Roman"/>
          <w:sz w:val="30"/>
          <w:lang w:eastAsia="zh-CN"/>
        </w:rPr>
        <w:t>基金的基本情况</w:t>
      </w:r>
      <w:bookmarkStart w:id="68" w:name="_Toc79392573"/>
      <w:bookmarkEnd w:id="54"/>
      <w:bookmarkEnd w:id="55"/>
      <w:bookmarkEnd w:id="56"/>
      <w:bookmarkEnd w:id="57"/>
      <w:bookmarkEnd w:id="58"/>
      <w:bookmarkEnd w:id="59"/>
      <w:bookmarkEnd w:id="60"/>
      <w:bookmarkEnd w:id="61"/>
      <w:bookmarkEnd w:id="62"/>
      <w:bookmarkEnd w:id="63"/>
      <w:bookmarkEnd w:id="64"/>
      <w:bookmarkEnd w:id="65"/>
    </w:p>
    <w:p w14:paraId="7AA13AC2" w14:textId="77777777" w:rsidR="005039DD" w:rsidRPr="002C2B23" w:rsidRDefault="005039DD">
      <w:pPr>
        <w:spacing w:line="360" w:lineRule="auto"/>
        <w:ind w:firstLine="540"/>
        <w:rPr>
          <w:bCs/>
          <w:sz w:val="24"/>
          <w:lang w:eastAsia="zh-CN"/>
        </w:rPr>
      </w:pPr>
      <w:bookmarkStart w:id="69" w:name="_Hlt88031774"/>
      <w:bookmarkStart w:id="70" w:name="_Hlt88031741"/>
      <w:bookmarkEnd w:id="69"/>
      <w:bookmarkEnd w:id="70"/>
    </w:p>
    <w:p w14:paraId="16581925" w14:textId="77777777" w:rsidR="005039DD" w:rsidRPr="002C2B23" w:rsidRDefault="0040620F">
      <w:pPr>
        <w:spacing w:line="360" w:lineRule="auto"/>
        <w:ind w:firstLine="480"/>
        <w:rPr>
          <w:bCs/>
          <w:sz w:val="24"/>
          <w:lang w:eastAsia="zh-CN"/>
        </w:rPr>
      </w:pPr>
      <w:r w:rsidRPr="002C2B23">
        <w:rPr>
          <w:bCs/>
          <w:sz w:val="24"/>
          <w:lang w:eastAsia="zh-CN"/>
        </w:rPr>
        <w:t>一、基金名称</w:t>
      </w:r>
      <w:bookmarkEnd w:id="68"/>
    </w:p>
    <w:p w14:paraId="4CC94CE0" w14:textId="77777777" w:rsidR="005039DD" w:rsidRPr="002C2B23" w:rsidRDefault="0040620F">
      <w:pPr>
        <w:spacing w:line="360" w:lineRule="auto"/>
        <w:ind w:firstLine="480"/>
        <w:rPr>
          <w:bCs/>
          <w:sz w:val="24"/>
          <w:lang w:eastAsia="zh-CN"/>
        </w:rPr>
      </w:pPr>
      <w:r w:rsidRPr="002C2B23">
        <w:rPr>
          <w:bCs/>
          <w:sz w:val="24"/>
          <w:lang w:eastAsia="zh-CN"/>
        </w:rPr>
        <w:t>红土创新领航智选混合型证券投资基金</w:t>
      </w:r>
    </w:p>
    <w:p w14:paraId="6196FC33" w14:textId="77777777" w:rsidR="005039DD" w:rsidRPr="002C2B23" w:rsidRDefault="005039DD">
      <w:pPr>
        <w:spacing w:line="360" w:lineRule="auto"/>
        <w:ind w:firstLine="480"/>
        <w:rPr>
          <w:bCs/>
          <w:sz w:val="24"/>
          <w:lang w:eastAsia="zh-CN"/>
        </w:rPr>
      </w:pPr>
    </w:p>
    <w:p w14:paraId="78560DA9" w14:textId="77777777" w:rsidR="005039DD" w:rsidRPr="002C2B23" w:rsidRDefault="0040620F">
      <w:pPr>
        <w:spacing w:line="360" w:lineRule="auto"/>
        <w:ind w:firstLine="480"/>
        <w:rPr>
          <w:bCs/>
          <w:sz w:val="24"/>
          <w:lang w:eastAsia="zh-CN"/>
        </w:rPr>
      </w:pPr>
      <w:bookmarkStart w:id="71" w:name="_Toc79392574"/>
      <w:r w:rsidRPr="002C2B23">
        <w:rPr>
          <w:bCs/>
          <w:sz w:val="24"/>
          <w:lang w:eastAsia="zh-CN"/>
        </w:rPr>
        <w:t>二、基金的类别</w:t>
      </w:r>
      <w:bookmarkEnd w:id="71"/>
    </w:p>
    <w:p w14:paraId="18570422" w14:textId="77777777" w:rsidR="005039DD" w:rsidRPr="002C2B23" w:rsidRDefault="0040620F">
      <w:pPr>
        <w:spacing w:line="360" w:lineRule="auto"/>
        <w:ind w:left="796" w:hanging="256"/>
        <w:rPr>
          <w:bCs/>
          <w:sz w:val="24"/>
          <w:lang w:eastAsia="zh-CN"/>
        </w:rPr>
      </w:pPr>
      <w:r w:rsidRPr="002C2B23">
        <w:rPr>
          <w:bCs/>
          <w:sz w:val="24"/>
          <w:lang w:eastAsia="zh-CN"/>
        </w:rPr>
        <w:t>混合型证券投资基金</w:t>
      </w:r>
    </w:p>
    <w:p w14:paraId="5D464A04" w14:textId="77777777" w:rsidR="005039DD" w:rsidRPr="002C2B23" w:rsidRDefault="005039DD">
      <w:pPr>
        <w:pStyle w:val="Default"/>
      </w:pPr>
      <w:bookmarkStart w:id="72" w:name="_Toc79392575"/>
    </w:p>
    <w:p w14:paraId="6C926819" w14:textId="77777777" w:rsidR="005039DD" w:rsidRPr="002C2B23" w:rsidRDefault="0040620F">
      <w:pPr>
        <w:spacing w:line="360" w:lineRule="auto"/>
        <w:ind w:firstLine="480"/>
        <w:rPr>
          <w:bCs/>
          <w:sz w:val="24"/>
          <w:lang w:eastAsia="zh-CN"/>
        </w:rPr>
      </w:pPr>
      <w:r w:rsidRPr="002C2B23">
        <w:rPr>
          <w:bCs/>
          <w:sz w:val="24"/>
          <w:lang w:eastAsia="zh-CN"/>
        </w:rPr>
        <w:t>三、基金的运作方式</w:t>
      </w:r>
    </w:p>
    <w:p w14:paraId="47B06F75" w14:textId="77777777" w:rsidR="005039DD" w:rsidRPr="002C2B23" w:rsidRDefault="0040620F">
      <w:pPr>
        <w:spacing w:line="360" w:lineRule="auto"/>
        <w:ind w:firstLine="480"/>
        <w:rPr>
          <w:bCs/>
          <w:sz w:val="24"/>
          <w:lang w:eastAsia="zh-CN"/>
        </w:rPr>
      </w:pPr>
      <w:r w:rsidRPr="002C2B23">
        <w:rPr>
          <w:bCs/>
          <w:sz w:val="24"/>
          <w:lang w:eastAsia="zh-CN"/>
        </w:rPr>
        <w:t>契约型开放式</w:t>
      </w:r>
    </w:p>
    <w:p w14:paraId="56B0B664" w14:textId="77777777" w:rsidR="005039DD" w:rsidRPr="002C2B23" w:rsidRDefault="005039DD">
      <w:pPr>
        <w:spacing w:line="360" w:lineRule="auto"/>
        <w:ind w:left="796" w:hanging="256"/>
        <w:rPr>
          <w:bCs/>
          <w:sz w:val="24"/>
          <w:lang w:eastAsia="zh-CN"/>
        </w:rPr>
      </w:pPr>
    </w:p>
    <w:p w14:paraId="545200D4" w14:textId="77777777" w:rsidR="005039DD" w:rsidRPr="002C2B23" w:rsidRDefault="0040620F">
      <w:pPr>
        <w:spacing w:line="360" w:lineRule="auto"/>
        <w:ind w:firstLine="480"/>
        <w:rPr>
          <w:bCs/>
          <w:sz w:val="24"/>
          <w:lang w:eastAsia="zh-CN"/>
        </w:rPr>
      </w:pPr>
      <w:r w:rsidRPr="002C2B23">
        <w:rPr>
          <w:bCs/>
          <w:sz w:val="24"/>
          <w:lang w:eastAsia="zh-CN"/>
        </w:rPr>
        <w:t>四、基金的投资目标</w:t>
      </w:r>
      <w:bookmarkEnd w:id="72"/>
    </w:p>
    <w:p w14:paraId="68F6B16F" w14:textId="77777777" w:rsidR="005039DD" w:rsidRPr="002C2B23" w:rsidRDefault="0040620F">
      <w:pPr>
        <w:spacing w:line="360" w:lineRule="auto"/>
        <w:ind w:firstLine="480"/>
        <w:rPr>
          <w:sz w:val="24"/>
          <w:lang w:eastAsia="zh-CN"/>
        </w:rPr>
      </w:pPr>
      <w:bookmarkStart w:id="73" w:name="_Toc79392576"/>
      <w:r w:rsidRPr="002C2B23">
        <w:rPr>
          <w:rFonts w:hint="eastAsia"/>
          <w:bCs/>
          <w:sz w:val="24"/>
          <w:lang w:eastAsia="zh-CN"/>
        </w:rPr>
        <w:t>本基金通过精选个股，在有效控制下行风险的前提下，追求超越业绩比较基准的投资回报，力争实现基金资产长期稳健增值。</w:t>
      </w:r>
    </w:p>
    <w:p w14:paraId="5B01E928" w14:textId="77777777" w:rsidR="005039DD" w:rsidRPr="002C2B23" w:rsidRDefault="005039DD">
      <w:pPr>
        <w:spacing w:line="360" w:lineRule="auto"/>
        <w:ind w:firstLine="480"/>
        <w:rPr>
          <w:bCs/>
          <w:sz w:val="24"/>
          <w:lang w:eastAsia="zh-CN"/>
        </w:rPr>
      </w:pPr>
    </w:p>
    <w:p w14:paraId="735A8AB4" w14:textId="77777777" w:rsidR="005039DD" w:rsidRPr="002C2B23" w:rsidRDefault="0040620F">
      <w:pPr>
        <w:spacing w:line="360" w:lineRule="auto"/>
        <w:ind w:firstLine="480"/>
        <w:rPr>
          <w:bCs/>
          <w:sz w:val="24"/>
          <w:lang w:eastAsia="zh-CN"/>
        </w:rPr>
      </w:pPr>
      <w:r w:rsidRPr="002C2B23">
        <w:rPr>
          <w:bCs/>
          <w:sz w:val="24"/>
          <w:lang w:eastAsia="zh-CN"/>
        </w:rPr>
        <w:t>五、基金的最低募集份额总额</w:t>
      </w:r>
      <w:bookmarkEnd w:id="73"/>
    </w:p>
    <w:p w14:paraId="73882029" w14:textId="77777777" w:rsidR="005039DD" w:rsidRPr="002C2B23" w:rsidRDefault="0040620F">
      <w:pPr>
        <w:spacing w:line="360" w:lineRule="auto"/>
        <w:ind w:firstLine="480"/>
        <w:rPr>
          <w:bCs/>
          <w:sz w:val="24"/>
          <w:lang w:eastAsia="zh-CN"/>
        </w:rPr>
      </w:pPr>
      <w:bookmarkStart w:id="74" w:name="_Toc79392577"/>
      <w:r w:rsidRPr="002C2B23">
        <w:rPr>
          <w:bCs/>
          <w:sz w:val="24"/>
          <w:lang w:eastAsia="zh-CN"/>
        </w:rPr>
        <w:t>本基金的最低募集份额总额为</w:t>
      </w:r>
      <w:r w:rsidRPr="002C2B23">
        <w:rPr>
          <w:bCs/>
          <w:sz w:val="24"/>
          <w:lang w:eastAsia="zh-CN"/>
        </w:rPr>
        <w:t>2</w:t>
      </w:r>
      <w:r w:rsidRPr="002C2B23">
        <w:rPr>
          <w:bCs/>
          <w:sz w:val="24"/>
          <w:lang w:eastAsia="zh-CN"/>
        </w:rPr>
        <w:t>亿份。</w:t>
      </w:r>
    </w:p>
    <w:p w14:paraId="4846C000" w14:textId="77777777" w:rsidR="005039DD" w:rsidRPr="002C2B23" w:rsidRDefault="005039DD">
      <w:pPr>
        <w:spacing w:line="360" w:lineRule="auto"/>
        <w:ind w:firstLine="480"/>
        <w:rPr>
          <w:bCs/>
          <w:sz w:val="24"/>
          <w:lang w:eastAsia="zh-CN"/>
        </w:rPr>
      </w:pPr>
    </w:p>
    <w:p w14:paraId="5D40AA9F" w14:textId="77777777" w:rsidR="005039DD" w:rsidRPr="002C2B23" w:rsidRDefault="0040620F">
      <w:pPr>
        <w:spacing w:line="360" w:lineRule="auto"/>
        <w:ind w:firstLine="480"/>
        <w:rPr>
          <w:bCs/>
          <w:sz w:val="24"/>
          <w:lang w:eastAsia="zh-CN"/>
        </w:rPr>
      </w:pPr>
      <w:r w:rsidRPr="002C2B23">
        <w:rPr>
          <w:bCs/>
          <w:sz w:val="24"/>
          <w:lang w:eastAsia="zh-CN"/>
        </w:rPr>
        <w:t>六、基金份额发售面值</w:t>
      </w:r>
      <w:bookmarkEnd w:id="74"/>
      <w:r w:rsidRPr="002C2B23">
        <w:rPr>
          <w:bCs/>
          <w:sz w:val="24"/>
          <w:lang w:eastAsia="zh-CN"/>
        </w:rPr>
        <w:t>和认购费用</w:t>
      </w:r>
    </w:p>
    <w:p w14:paraId="14DE81D0" w14:textId="77777777" w:rsidR="005039DD" w:rsidRPr="002C2B23" w:rsidRDefault="0040620F">
      <w:pPr>
        <w:spacing w:line="360" w:lineRule="auto"/>
        <w:ind w:firstLine="480"/>
        <w:rPr>
          <w:bCs/>
          <w:sz w:val="24"/>
          <w:lang w:eastAsia="zh-CN"/>
        </w:rPr>
      </w:pPr>
      <w:r w:rsidRPr="002C2B23">
        <w:rPr>
          <w:bCs/>
          <w:sz w:val="24"/>
          <w:lang w:eastAsia="zh-CN"/>
        </w:rPr>
        <w:t>本</w:t>
      </w:r>
      <w:proofErr w:type="gramStart"/>
      <w:r w:rsidRPr="002C2B23">
        <w:rPr>
          <w:bCs/>
          <w:sz w:val="24"/>
          <w:lang w:eastAsia="zh-CN"/>
        </w:rPr>
        <w:t>基金基金</w:t>
      </w:r>
      <w:proofErr w:type="gramEnd"/>
      <w:r w:rsidRPr="002C2B23">
        <w:rPr>
          <w:bCs/>
          <w:sz w:val="24"/>
          <w:lang w:eastAsia="zh-CN"/>
        </w:rPr>
        <w:t>份额发售面值为人民币</w:t>
      </w:r>
      <w:r w:rsidRPr="002C2B23">
        <w:rPr>
          <w:bCs/>
          <w:sz w:val="24"/>
          <w:lang w:eastAsia="zh-CN"/>
        </w:rPr>
        <w:t>1.00</w:t>
      </w:r>
      <w:r w:rsidRPr="002C2B23">
        <w:rPr>
          <w:bCs/>
          <w:sz w:val="24"/>
          <w:lang w:eastAsia="zh-CN"/>
        </w:rPr>
        <w:t>元。</w:t>
      </w:r>
    </w:p>
    <w:p w14:paraId="3726B931" w14:textId="77777777" w:rsidR="005039DD" w:rsidRPr="002C2B23" w:rsidRDefault="0040620F">
      <w:pPr>
        <w:spacing w:line="360" w:lineRule="auto"/>
        <w:ind w:firstLine="480"/>
        <w:rPr>
          <w:bCs/>
          <w:sz w:val="24"/>
          <w:lang w:eastAsia="zh-CN"/>
        </w:rPr>
      </w:pPr>
      <w:r w:rsidRPr="002C2B23">
        <w:rPr>
          <w:bCs/>
          <w:sz w:val="24"/>
          <w:lang w:eastAsia="zh-CN"/>
        </w:rPr>
        <w:t>本基金</w:t>
      </w:r>
      <w:r w:rsidRPr="002C2B23">
        <w:rPr>
          <w:bCs/>
          <w:sz w:val="24"/>
          <w:lang w:eastAsia="zh-CN"/>
        </w:rPr>
        <w:t>C</w:t>
      </w:r>
      <w:r w:rsidRPr="002C2B23">
        <w:rPr>
          <w:bCs/>
          <w:sz w:val="24"/>
          <w:lang w:eastAsia="zh-CN"/>
        </w:rPr>
        <w:t>类基金份额不收取认购费，</w:t>
      </w:r>
      <w:r w:rsidRPr="002C2B23">
        <w:rPr>
          <w:bCs/>
          <w:sz w:val="24"/>
          <w:lang w:eastAsia="zh-CN"/>
        </w:rPr>
        <w:t>A</w:t>
      </w:r>
      <w:r w:rsidRPr="002C2B23">
        <w:rPr>
          <w:bCs/>
          <w:sz w:val="24"/>
          <w:lang w:eastAsia="zh-CN"/>
        </w:rPr>
        <w:t>类基金份额的认购费率由基金管理人决定，具体费率按招募说明书和基金产品资料概要的规定执行。</w:t>
      </w:r>
    </w:p>
    <w:p w14:paraId="639B6238" w14:textId="77777777" w:rsidR="005039DD" w:rsidRPr="002C2B23" w:rsidRDefault="005039DD">
      <w:pPr>
        <w:spacing w:line="360" w:lineRule="auto"/>
        <w:ind w:firstLine="480"/>
        <w:rPr>
          <w:bCs/>
          <w:sz w:val="24"/>
          <w:lang w:eastAsia="zh-CN"/>
        </w:rPr>
      </w:pPr>
    </w:p>
    <w:p w14:paraId="5B13DAE1" w14:textId="77777777" w:rsidR="005039DD" w:rsidRPr="002C2B23" w:rsidRDefault="0040620F">
      <w:pPr>
        <w:spacing w:line="360" w:lineRule="auto"/>
        <w:ind w:firstLine="480"/>
        <w:rPr>
          <w:bCs/>
          <w:sz w:val="24"/>
          <w:lang w:eastAsia="zh-CN"/>
        </w:rPr>
      </w:pPr>
      <w:bookmarkStart w:id="75" w:name="_Toc79392578"/>
      <w:r w:rsidRPr="002C2B23">
        <w:rPr>
          <w:bCs/>
          <w:sz w:val="24"/>
          <w:lang w:eastAsia="zh-CN"/>
        </w:rPr>
        <w:t>七、基金存续期限</w:t>
      </w:r>
      <w:bookmarkEnd w:id="75"/>
    </w:p>
    <w:p w14:paraId="23C0D018" w14:textId="77777777" w:rsidR="005039DD" w:rsidRPr="002C2B23" w:rsidRDefault="0040620F">
      <w:pPr>
        <w:spacing w:line="360" w:lineRule="auto"/>
        <w:ind w:firstLine="480"/>
        <w:rPr>
          <w:bCs/>
          <w:sz w:val="24"/>
          <w:lang w:eastAsia="zh-CN"/>
        </w:rPr>
      </w:pPr>
      <w:r w:rsidRPr="002C2B23">
        <w:rPr>
          <w:bCs/>
          <w:sz w:val="24"/>
          <w:lang w:eastAsia="zh-CN"/>
        </w:rPr>
        <w:t>不定期</w:t>
      </w:r>
    </w:p>
    <w:p w14:paraId="36FBE0D7" w14:textId="77777777" w:rsidR="005039DD" w:rsidRPr="002C2B23" w:rsidRDefault="005039DD">
      <w:pPr>
        <w:spacing w:line="360" w:lineRule="auto"/>
        <w:ind w:firstLine="480"/>
        <w:rPr>
          <w:bCs/>
          <w:sz w:val="24"/>
          <w:lang w:eastAsia="zh-CN"/>
        </w:rPr>
      </w:pPr>
    </w:p>
    <w:p w14:paraId="77ED73D1" w14:textId="77777777" w:rsidR="005039DD" w:rsidRPr="002C2B23" w:rsidRDefault="0040620F">
      <w:pPr>
        <w:spacing w:line="360" w:lineRule="auto"/>
        <w:ind w:firstLine="600"/>
        <w:rPr>
          <w:bCs/>
          <w:sz w:val="24"/>
          <w:lang w:eastAsia="zh-CN"/>
        </w:rPr>
      </w:pPr>
      <w:r w:rsidRPr="002C2B23">
        <w:rPr>
          <w:bCs/>
          <w:sz w:val="24"/>
          <w:lang w:eastAsia="zh-CN"/>
        </w:rPr>
        <w:t>八、基金份额的类别</w:t>
      </w:r>
    </w:p>
    <w:p w14:paraId="6B80FF5A" w14:textId="77777777" w:rsidR="005039DD" w:rsidRPr="002C2B23" w:rsidRDefault="0040620F">
      <w:pPr>
        <w:spacing w:line="360" w:lineRule="auto"/>
        <w:ind w:firstLine="480"/>
        <w:rPr>
          <w:bCs/>
          <w:sz w:val="24"/>
          <w:lang w:eastAsia="zh-CN"/>
        </w:rPr>
      </w:pPr>
      <w:r w:rsidRPr="002C2B23">
        <w:rPr>
          <w:bCs/>
          <w:sz w:val="24"/>
          <w:lang w:eastAsia="zh-CN"/>
        </w:rPr>
        <w:t>本基金根据认购</w:t>
      </w:r>
      <w:r w:rsidRPr="002C2B23">
        <w:rPr>
          <w:bCs/>
          <w:sz w:val="24"/>
          <w:lang w:eastAsia="zh-CN"/>
        </w:rPr>
        <w:t>/</w:t>
      </w:r>
      <w:r w:rsidRPr="002C2B23">
        <w:rPr>
          <w:bCs/>
          <w:sz w:val="24"/>
          <w:lang w:eastAsia="zh-CN"/>
        </w:rPr>
        <w:t>申购费用、销售服务费收取方式的不同，将基金份额分为不同的类别。</w:t>
      </w:r>
    </w:p>
    <w:p w14:paraId="4ED10539" w14:textId="77777777" w:rsidR="005039DD" w:rsidRPr="002C2B23" w:rsidRDefault="0040620F">
      <w:pPr>
        <w:spacing w:line="360" w:lineRule="auto"/>
        <w:ind w:firstLine="480"/>
        <w:rPr>
          <w:bCs/>
          <w:sz w:val="24"/>
          <w:lang w:eastAsia="zh-CN"/>
        </w:rPr>
      </w:pPr>
      <w:r w:rsidRPr="002C2B23">
        <w:rPr>
          <w:bCs/>
          <w:sz w:val="24"/>
          <w:lang w:eastAsia="zh-CN"/>
        </w:rPr>
        <w:t>在投资者认购、申购时收取认购、申购费用，不从本类别基金资产中计</w:t>
      </w:r>
      <w:proofErr w:type="gramStart"/>
      <w:r w:rsidRPr="002C2B23">
        <w:rPr>
          <w:bCs/>
          <w:sz w:val="24"/>
          <w:lang w:eastAsia="zh-CN"/>
        </w:rPr>
        <w:t>提销售</w:t>
      </w:r>
      <w:proofErr w:type="gramEnd"/>
      <w:r w:rsidRPr="002C2B23">
        <w:rPr>
          <w:bCs/>
          <w:sz w:val="24"/>
          <w:lang w:eastAsia="zh-CN"/>
        </w:rPr>
        <w:t>服务费的基金份额，称为</w:t>
      </w:r>
      <w:r w:rsidRPr="002C2B23">
        <w:rPr>
          <w:bCs/>
          <w:sz w:val="24"/>
          <w:lang w:eastAsia="zh-CN"/>
        </w:rPr>
        <w:t>A</w:t>
      </w:r>
      <w:r w:rsidRPr="002C2B23">
        <w:rPr>
          <w:bCs/>
          <w:sz w:val="24"/>
          <w:lang w:eastAsia="zh-CN"/>
        </w:rPr>
        <w:t>类基金份额</w:t>
      </w:r>
      <w:r w:rsidRPr="002C2B23">
        <w:rPr>
          <w:rFonts w:hint="eastAsia"/>
          <w:bCs/>
          <w:sz w:val="24"/>
          <w:lang w:eastAsia="zh-CN"/>
        </w:rPr>
        <w:t>，其中，通过基金管理人认购、申购</w:t>
      </w:r>
      <w:r w:rsidRPr="002C2B23">
        <w:rPr>
          <w:rFonts w:hint="eastAsia"/>
          <w:bCs/>
          <w:sz w:val="24"/>
          <w:lang w:eastAsia="zh-CN"/>
        </w:rPr>
        <w:t>A</w:t>
      </w:r>
      <w:r w:rsidRPr="002C2B23">
        <w:rPr>
          <w:rFonts w:hint="eastAsia"/>
          <w:bCs/>
          <w:sz w:val="24"/>
          <w:lang w:eastAsia="zh-CN"/>
        </w:rPr>
        <w:t>类基金份额的不收取认购、申购费用</w:t>
      </w:r>
      <w:r w:rsidRPr="002C2B23">
        <w:rPr>
          <w:bCs/>
          <w:sz w:val="24"/>
          <w:lang w:eastAsia="zh-CN"/>
        </w:rPr>
        <w:t>；从本类别基金资产中计</w:t>
      </w:r>
      <w:proofErr w:type="gramStart"/>
      <w:r w:rsidRPr="002C2B23">
        <w:rPr>
          <w:bCs/>
          <w:sz w:val="24"/>
          <w:lang w:eastAsia="zh-CN"/>
        </w:rPr>
        <w:t>提销售</w:t>
      </w:r>
      <w:proofErr w:type="gramEnd"/>
      <w:r w:rsidRPr="002C2B23">
        <w:rPr>
          <w:bCs/>
          <w:sz w:val="24"/>
          <w:lang w:eastAsia="zh-CN"/>
        </w:rPr>
        <w:t>服务费、不收取认购</w:t>
      </w:r>
      <w:r w:rsidRPr="002C2B23">
        <w:rPr>
          <w:bCs/>
          <w:sz w:val="24"/>
          <w:lang w:eastAsia="zh-CN"/>
        </w:rPr>
        <w:t>/</w:t>
      </w:r>
      <w:r w:rsidRPr="002C2B23">
        <w:rPr>
          <w:bCs/>
          <w:sz w:val="24"/>
          <w:lang w:eastAsia="zh-CN"/>
        </w:rPr>
        <w:t>申购费用的基金份额，称为</w:t>
      </w:r>
      <w:r w:rsidRPr="002C2B23">
        <w:rPr>
          <w:bCs/>
          <w:sz w:val="24"/>
          <w:lang w:eastAsia="zh-CN"/>
        </w:rPr>
        <w:t>C</w:t>
      </w:r>
      <w:r w:rsidRPr="002C2B23">
        <w:rPr>
          <w:bCs/>
          <w:sz w:val="24"/>
          <w:lang w:eastAsia="zh-CN"/>
        </w:rPr>
        <w:t>类基金份额</w:t>
      </w:r>
      <w:r w:rsidRPr="002C2B23">
        <w:rPr>
          <w:rFonts w:hint="eastAsia"/>
          <w:bCs/>
          <w:sz w:val="24"/>
          <w:lang w:eastAsia="zh-CN"/>
        </w:rPr>
        <w:t>，其中，通过基金管理人认购、申购</w:t>
      </w:r>
      <w:r w:rsidRPr="002C2B23">
        <w:rPr>
          <w:rFonts w:hint="eastAsia"/>
          <w:bCs/>
          <w:sz w:val="24"/>
          <w:lang w:eastAsia="zh-CN"/>
        </w:rPr>
        <w:t>C</w:t>
      </w:r>
      <w:r w:rsidRPr="002C2B23">
        <w:rPr>
          <w:rFonts w:hint="eastAsia"/>
          <w:bCs/>
          <w:sz w:val="24"/>
          <w:lang w:eastAsia="zh-CN"/>
        </w:rPr>
        <w:t>类基金份额的不收取销售服务费；通过代销机构认购、申购并持续持有期限超过一年的</w:t>
      </w:r>
      <w:r w:rsidRPr="002C2B23">
        <w:rPr>
          <w:rFonts w:hint="eastAsia"/>
          <w:bCs/>
          <w:sz w:val="24"/>
          <w:lang w:eastAsia="zh-CN"/>
        </w:rPr>
        <w:t>C</w:t>
      </w:r>
      <w:r w:rsidRPr="002C2B23">
        <w:rPr>
          <w:rFonts w:hint="eastAsia"/>
          <w:bCs/>
          <w:sz w:val="24"/>
          <w:lang w:eastAsia="zh-CN"/>
        </w:rPr>
        <w:t>类基金份额，不再继续收取销售服务费</w:t>
      </w:r>
      <w:r w:rsidRPr="002C2B23">
        <w:rPr>
          <w:bCs/>
          <w:sz w:val="24"/>
          <w:lang w:eastAsia="zh-CN"/>
        </w:rPr>
        <w:t>。</w:t>
      </w:r>
    </w:p>
    <w:p w14:paraId="43C23A57" w14:textId="77777777" w:rsidR="005039DD" w:rsidRPr="002C2B23" w:rsidRDefault="0040620F">
      <w:pPr>
        <w:spacing w:line="360" w:lineRule="auto"/>
        <w:ind w:firstLine="480"/>
        <w:rPr>
          <w:bCs/>
          <w:sz w:val="24"/>
          <w:lang w:eastAsia="zh-CN"/>
        </w:rPr>
      </w:pPr>
      <w:r w:rsidRPr="002C2B23">
        <w:rPr>
          <w:bCs/>
          <w:sz w:val="24"/>
          <w:lang w:eastAsia="zh-CN"/>
        </w:rPr>
        <w:t>本基金</w:t>
      </w:r>
      <w:r w:rsidRPr="002C2B23">
        <w:rPr>
          <w:bCs/>
          <w:sz w:val="24"/>
          <w:lang w:eastAsia="zh-CN"/>
        </w:rPr>
        <w:t>A</w:t>
      </w:r>
      <w:r w:rsidRPr="002C2B23">
        <w:rPr>
          <w:bCs/>
          <w:sz w:val="24"/>
          <w:lang w:eastAsia="zh-CN"/>
        </w:rPr>
        <w:t>类和</w:t>
      </w:r>
      <w:r w:rsidRPr="002C2B23">
        <w:rPr>
          <w:bCs/>
          <w:sz w:val="24"/>
          <w:lang w:eastAsia="zh-CN"/>
        </w:rPr>
        <w:t>C</w:t>
      </w:r>
      <w:r w:rsidRPr="002C2B23">
        <w:rPr>
          <w:bCs/>
          <w:sz w:val="24"/>
          <w:lang w:eastAsia="zh-CN"/>
        </w:rPr>
        <w:t>类基金份额分别设置代码。由于基金费用的不同，本基金</w:t>
      </w:r>
      <w:r w:rsidRPr="002C2B23">
        <w:rPr>
          <w:bCs/>
          <w:sz w:val="24"/>
          <w:lang w:eastAsia="zh-CN"/>
        </w:rPr>
        <w:t>A</w:t>
      </w:r>
      <w:r w:rsidRPr="002C2B23">
        <w:rPr>
          <w:bCs/>
          <w:sz w:val="24"/>
          <w:lang w:eastAsia="zh-CN"/>
        </w:rPr>
        <w:t>类基金份额和</w:t>
      </w:r>
      <w:r w:rsidRPr="002C2B23">
        <w:rPr>
          <w:bCs/>
          <w:sz w:val="24"/>
          <w:lang w:eastAsia="zh-CN"/>
        </w:rPr>
        <w:t>C</w:t>
      </w:r>
      <w:r w:rsidRPr="002C2B23">
        <w:rPr>
          <w:bCs/>
          <w:sz w:val="24"/>
          <w:lang w:eastAsia="zh-CN"/>
        </w:rPr>
        <w:t>类基金份额将分别计算基金份额净值，计算公式为计算日各类别基金资产净值除以计算日发售在外的该类别基金份额总数。</w:t>
      </w:r>
    </w:p>
    <w:p w14:paraId="0D450542" w14:textId="77777777" w:rsidR="005039DD" w:rsidRPr="002C2B23" w:rsidRDefault="0040620F">
      <w:pPr>
        <w:spacing w:line="360" w:lineRule="auto"/>
        <w:ind w:firstLine="480"/>
        <w:rPr>
          <w:bCs/>
          <w:sz w:val="24"/>
          <w:lang w:eastAsia="zh-CN"/>
        </w:rPr>
      </w:pPr>
      <w:r w:rsidRPr="002C2B23">
        <w:rPr>
          <w:bCs/>
          <w:sz w:val="24"/>
          <w:lang w:eastAsia="zh-CN"/>
        </w:rPr>
        <w:t>投资者可自行选择认购、申购的基金份额类别。</w:t>
      </w:r>
    </w:p>
    <w:p w14:paraId="5523319C" w14:textId="77777777" w:rsidR="005039DD" w:rsidRPr="002C2B23" w:rsidRDefault="0040620F">
      <w:pPr>
        <w:spacing w:line="360" w:lineRule="auto"/>
        <w:ind w:firstLine="480"/>
        <w:rPr>
          <w:bCs/>
          <w:sz w:val="24"/>
          <w:lang w:eastAsia="zh-CN"/>
        </w:rPr>
        <w:sectPr w:rsidR="005039DD" w:rsidRPr="002C2B23">
          <w:footerReference w:type="default" r:id="rId13"/>
          <w:pgSz w:w="12240" w:h="15840"/>
          <w:pgMar w:top="1440" w:right="1800" w:bottom="1440" w:left="1800" w:header="720" w:footer="720" w:gutter="0"/>
          <w:cols w:space="720"/>
          <w:docGrid w:linePitch="312"/>
        </w:sectPr>
      </w:pPr>
      <w:r w:rsidRPr="002C2B23">
        <w:rPr>
          <w:bCs/>
          <w:sz w:val="24"/>
          <w:lang w:eastAsia="zh-CN"/>
        </w:rPr>
        <w:t>在不违反法律法规、基金合同以及不对基金份额持有人权益产生实质性不利影响的情况下，在履行适当程序后，基金管理人</w:t>
      </w:r>
      <w:r w:rsidRPr="002C2B23">
        <w:rPr>
          <w:rFonts w:hint="eastAsia"/>
          <w:bCs/>
          <w:sz w:val="24"/>
          <w:lang w:eastAsia="zh-CN"/>
        </w:rPr>
        <w:t>可根据实际情况</w:t>
      </w:r>
      <w:r w:rsidRPr="002C2B23">
        <w:rPr>
          <w:bCs/>
          <w:sz w:val="24"/>
          <w:lang w:eastAsia="zh-CN"/>
        </w:rPr>
        <w:t>，经与基金托管人协商一致，调整基金份额类别设置、对基金份额分类办法及规则进行调整、调整基金份额类别的费率结构、变更收费方式或者停止现有基金份额的销售等，此项调整无需召开基金份额持有人大会，但须提前公告。</w:t>
      </w:r>
    </w:p>
    <w:p w14:paraId="423311A0" w14:textId="77777777" w:rsidR="005039DD" w:rsidRPr="002C2B23" w:rsidRDefault="0040620F">
      <w:pPr>
        <w:pStyle w:val="112"/>
        <w:spacing w:before="0" w:after="0"/>
        <w:jc w:val="center"/>
        <w:rPr>
          <w:rFonts w:ascii="Times New Roman"/>
          <w:sz w:val="30"/>
          <w:lang w:eastAsia="zh-CN"/>
        </w:rPr>
      </w:pPr>
      <w:bookmarkStart w:id="76" w:name="_Toc15203"/>
      <w:bookmarkStart w:id="77" w:name="_Toc3266"/>
      <w:bookmarkStart w:id="78" w:name="_Toc7151"/>
      <w:bookmarkStart w:id="79" w:name="_Toc29948"/>
      <w:bookmarkStart w:id="80" w:name="_Toc90742321"/>
      <w:bookmarkStart w:id="81" w:name="_Toc16265"/>
      <w:bookmarkStart w:id="82" w:name="_Toc27226"/>
      <w:bookmarkStart w:id="83" w:name="_Toc109141364"/>
      <w:bookmarkStart w:id="84" w:name="_Toc90742390"/>
      <w:bookmarkStart w:id="85" w:name="_Toc6714"/>
      <w:bookmarkStart w:id="86" w:name="_Toc22074"/>
      <w:bookmarkStart w:id="87" w:name="_Toc24682"/>
      <w:bookmarkStart w:id="88" w:name="_Toc29784"/>
      <w:bookmarkStart w:id="89" w:name="_Toc27189"/>
      <w:bookmarkStart w:id="90" w:name="_Toc90742688"/>
      <w:r w:rsidRPr="002C2B23">
        <w:rPr>
          <w:rFonts w:ascii="Times New Roman"/>
          <w:sz w:val="30"/>
          <w:lang w:eastAsia="zh-CN"/>
        </w:rPr>
        <w:t>第四部分</w:t>
      </w:r>
      <w:r w:rsidRPr="002C2B23">
        <w:rPr>
          <w:rFonts w:ascii="Times New Roman"/>
          <w:sz w:val="30"/>
          <w:lang w:eastAsia="zh-CN"/>
        </w:rPr>
        <w:t xml:space="preserve">  </w:t>
      </w:r>
      <w:r w:rsidRPr="002C2B23">
        <w:rPr>
          <w:rFonts w:ascii="Times New Roman"/>
          <w:sz w:val="30"/>
          <w:lang w:eastAsia="zh-CN"/>
        </w:rPr>
        <w:t>基金份额的发售</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3C380CCE" w14:textId="77777777" w:rsidR="005039DD" w:rsidRPr="002C2B23" w:rsidRDefault="005039DD">
      <w:pPr>
        <w:spacing w:line="360" w:lineRule="auto"/>
        <w:ind w:firstLine="420"/>
        <w:rPr>
          <w:bCs/>
          <w:lang w:eastAsia="zh-CN"/>
        </w:rPr>
      </w:pPr>
    </w:p>
    <w:p w14:paraId="4D5000F8" w14:textId="77777777" w:rsidR="005039DD" w:rsidRPr="002C2B23" w:rsidRDefault="0040620F">
      <w:pPr>
        <w:spacing w:line="360" w:lineRule="auto"/>
        <w:ind w:firstLine="480"/>
        <w:rPr>
          <w:bCs/>
          <w:sz w:val="24"/>
          <w:lang w:eastAsia="zh-CN"/>
        </w:rPr>
      </w:pPr>
      <w:r w:rsidRPr="002C2B23">
        <w:rPr>
          <w:bCs/>
          <w:sz w:val="24"/>
          <w:lang w:eastAsia="zh-CN"/>
        </w:rPr>
        <w:t>一、基金份额的发售时间、发售方式、发售对象</w:t>
      </w:r>
    </w:p>
    <w:p w14:paraId="11420489"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、发售时间</w:t>
      </w:r>
    </w:p>
    <w:p w14:paraId="2CB4B877" w14:textId="77777777" w:rsidR="005039DD" w:rsidRPr="002C2B23" w:rsidRDefault="0040620F">
      <w:pPr>
        <w:spacing w:line="360" w:lineRule="auto"/>
        <w:ind w:firstLine="480"/>
        <w:rPr>
          <w:bCs/>
          <w:lang w:eastAsia="zh-CN"/>
        </w:rPr>
      </w:pPr>
      <w:r w:rsidRPr="002C2B23">
        <w:rPr>
          <w:bCs/>
          <w:sz w:val="24"/>
          <w:lang w:eastAsia="zh-CN"/>
        </w:rPr>
        <w:t>自基金份额发售之日起最长不得超过</w:t>
      </w:r>
      <w:r w:rsidRPr="002C2B23">
        <w:rPr>
          <w:bCs/>
          <w:sz w:val="24"/>
          <w:lang w:eastAsia="zh-CN"/>
        </w:rPr>
        <w:t>3</w:t>
      </w:r>
      <w:r w:rsidRPr="002C2B23">
        <w:rPr>
          <w:bCs/>
          <w:sz w:val="24"/>
          <w:lang w:eastAsia="zh-CN"/>
        </w:rPr>
        <w:t>个月，具体发售时间</w:t>
      </w:r>
      <w:proofErr w:type="gramStart"/>
      <w:r w:rsidRPr="002C2B23">
        <w:rPr>
          <w:bCs/>
          <w:sz w:val="24"/>
          <w:lang w:eastAsia="zh-CN"/>
        </w:rPr>
        <w:t>见基金</w:t>
      </w:r>
      <w:proofErr w:type="gramEnd"/>
      <w:r w:rsidRPr="002C2B23">
        <w:rPr>
          <w:bCs/>
          <w:sz w:val="24"/>
          <w:lang w:eastAsia="zh-CN"/>
        </w:rPr>
        <w:t>份额发售公告。</w:t>
      </w:r>
    </w:p>
    <w:p w14:paraId="2C1565A7"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、发售方式</w:t>
      </w:r>
    </w:p>
    <w:p w14:paraId="4BE988E4" w14:textId="77777777" w:rsidR="005039DD" w:rsidRPr="002C2B23" w:rsidRDefault="0040620F">
      <w:pPr>
        <w:spacing w:line="360" w:lineRule="auto"/>
        <w:ind w:firstLine="480"/>
        <w:rPr>
          <w:bCs/>
          <w:sz w:val="24"/>
          <w:lang w:eastAsia="zh-CN"/>
        </w:rPr>
      </w:pPr>
      <w:r w:rsidRPr="002C2B23">
        <w:rPr>
          <w:bCs/>
          <w:sz w:val="24"/>
          <w:lang w:eastAsia="zh-CN"/>
        </w:rPr>
        <w:t>通过各销售机构的基金销售网</w:t>
      </w:r>
      <w:proofErr w:type="gramStart"/>
      <w:r w:rsidRPr="002C2B23">
        <w:rPr>
          <w:bCs/>
          <w:sz w:val="24"/>
          <w:lang w:eastAsia="zh-CN"/>
        </w:rPr>
        <w:t>点公开</w:t>
      </w:r>
      <w:proofErr w:type="gramEnd"/>
      <w:r w:rsidRPr="002C2B23">
        <w:rPr>
          <w:bCs/>
          <w:sz w:val="24"/>
          <w:lang w:eastAsia="zh-CN"/>
        </w:rPr>
        <w:t>发售，各销售机构的具体名单</w:t>
      </w:r>
      <w:proofErr w:type="gramStart"/>
      <w:r w:rsidRPr="002C2B23">
        <w:rPr>
          <w:bCs/>
          <w:sz w:val="24"/>
          <w:lang w:eastAsia="zh-CN"/>
        </w:rPr>
        <w:t>见基金</w:t>
      </w:r>
      <w:proofErr w:type="gramEnd"/>
      <w:r w:rsidRPr="002C2B23">
        <w:rPr>
          <w:bCs/>
          <w:sz w:val="24"/>
          <w:lang w:eastAsia="zh-CN"/>
        </w:rPr>
        <w:t>份额发售公告以及基金管理人网站。</w:t>
      </w:r>
    </w:p>
    <w:p w14:paraId="593568C5"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、发售对象</w:t>
      </w:r>
    </w:p>
    <w:p w14:paraId="71013484" w14:textId="77777777" w:rsidR="005039DD" w:rsidRPr="002C2B23" w:rsidRDefault="0040620F">
      <w:pPr>
        <w:spacing w:line="360" w:lineRule="auto"/>
        <w:ind w:firstLine="480"/>
        <w:rPr>
          <w:bCs/>
          <w:sz w:val="24"/>
          <w:lang w:eastAsia="zh-CN"/>
        </w:rPr>
      </w:pPr>
      <w:r w:rsidRPr="002C2B23">
        <w:rPr>
          <w:bCs/>
          <w:sz w:val="24"/>
          <w:lang w:eastAsia="zh-CN"/>
        </w:rPr>
        <w:t>本基金募集对象为符合法律法规规定的可投资于证券投资基金的个人投资者、机构投资者、合格境外机构投资者和人民币合格境外机构投资者以及法律法规或中国证监会允许购买证券投资基金的其他投资者。</w:t>
      </w:r>
    </w:p>
    <w:p w14:paraId="56489BD2" w14:textId="77777777" w:rsidR="005039DD" w:rsidRPr="002C2B23" w:rsidRDefault="005039DD">
      <w:pPr>
        <w:spacing w:line="360" w:lineRule="auto"/>
        <w:ind w:firstLine="480"/>
        <w:rPr>
          <w:bCs/>
          <w:sz w:val="24"/>
          <w:lang w:eastAsia="zh-CN"/>
        </w:rPr>
      </w:pPr>
    </w:p>
    <w:p w14:paraId="3A8EA879" w14:textId="77777777" w:rsidR="005039DD" w:rsidRPr="002C2B23" w:rsidRDefault="0040620F">
      <w:pPr>
        <w:spacing w:line="360" w:lineRule="auto"/>
        <w:ind w:firstLine="480"/>
        <w:rPr>
          <w:bCs/>
          <w:sz w:val="24"/>
          <w:lang w:eastAsia="zh-CN"/>
        </w:rPr>
      </w:pPr>
      <w:r w:rsidRPr="002C2B23">
        <w:rPr>
          <w:bCs/>
          <w:sz w:val="24"/>
          <w:lang w:eastAsia="zh-CN"/>
        </w:rPr>
        <w:t>二、基金份额的认购</w:t>
      </w:r>
    </w:p>
    <w:p w14:paraId="0DE1F3FD"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、认购费用</w:t>
      </w:r>
    </w:p>
    <w:p w14:paraId="3059F612" w14:textId="77777777" w:rsidR="005039DD" w:rsidRPr="002C2B23" w:rsidRDefault="0040620F">
      <w:pPr>
        <w:spacing w:line="360" w:lineRule="auto"/>
        <w:ind w:firstLine="480"/>
        <w:rPr>
          <w:bCs/>
          <w:sz w:val="24"/>
          <w:lang w:eastAsia="zh-CN"/>
        </w:rPr>
      </w:pPr>
      <w:r w:rsidRPr="002C2B23">
        <w:rPr>
          <w:bCs/>
          <w:sz w:val="24"/>
          <w:lang w:eastAsia="zh-CN"/>
        </w:rPr>
        <w:t>本基金</w:t>
      </w:r>
      <w:r w:rsidRPr="002C2B23">
        <w:rPr>
          <w:bCs/>
          <w:sz w:val="24"/>
          <w:lang w:eastAsia="zh-CN"/>
        </w:rPr>
        <w:t>A</w:t>
      </w:r>
      <w:r w:rsidRPr="002C2B23">
        <w:rPr>
          <w:bCs/>
          <w:sz w:val="24"/>
          <w:lang w:eastAsia="zh-CN"/>
        </w:rPr>
        <w:t>类基金份额收取认购费用，</w:t>
      </w:r>
      <w:r w:rsidRPr="002C2B23">
        <w:rPr>
          <w:bCs/>
          <w:sz w:val="24"/>
          <w:lang w:eastAsia="zh-CN"/>
        </w:rPr>
        <w:t>C</w:t>
      </w:r>
      <w:r w:rsidRPr="002C2B23">
        <w:rPr>
          <w:bCs/>
          <w:sz w:val="24"/>
          <w:lang w:eastAsia="zh-CN"/>
        </w:rPr>
        <w:t>类基金份额不收取认购费用。本基金</w:t>
      </w:r>
      <w:r w:rsidRPr="002C2B23">
        <w:rPr>
          <w:bCs/>
          <w:sz w:val="24"/>
          <w:lang w:eastAsia="zh-CN"/>
        </w:rPr>
        <w:t>A</w:t>
      </w:r>
      <w:r w:rsidRPr="002C2B23">
        <w:rPr>
          <w:bCs/>
          <w:sz w:val="24"/>
          <w:lang w:eastAsia="zh-CN"/>
        </w:rPr>
        <w:t>类基金份额的认购费率由基金管理人决定，并在招募说明书和基金产品资料概要中列示。基金认购费用不列入基金财产。</w:t>
      </w:r>
    </w:p>
    <w:p w14:paraId="0641DD1F"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、募集期利息的处理方式</w:t>
      </w:r>
    </w:p>
    <w:p w14:paraId="27CC93CD" w14:textId="77777777" w:rsidR="005039DD" w:rsidRPr="002C2B23" w:rsidRDefault="0040620F">
      <w:pPr>
        <w:spacing w:line="360" w:lineRule="auto"/>
        <w:ind w:firstLine="480"/>
        <w:rPr>
          <w:bCs/>
          <w:sz w:val="24"/>
          <w:lang w:eastAsia="zh-CN"/>
        </w:rPr>
      </w:pPr>
      <w:r w:rsidRPr="002C2B23">
        <w:rPr>
          <w:bCs/>
          <w:sz w:val="24"/>
          <w:lang w:eastAsia="zh-CN"/>
        </w:rPr>
        <w:t>有效认购款项在募集期间产生的利息将折算为基金份额</w:t>
      </w:r>
      <w:proofErr w:type="gramStart"/>
      <w:r w:rsidRPr="002C2B23">
        <w:rPr>
          <w:bCs/>
          <w:sz w:val="24"/>
          <w:lang w:eastAsia="zh-CN"/>
        </w:rPr>
        <w:t>归基金</w:t>
      </w:r>
      <w:proofErr w:type="gramEnd"/>
      <w:r w:rsidRPr="002C2B23">
        <w:rPr>
          <w:bCs/>
          <w:sz w:val="24"/>
          <w:lang w:eastAsia="zh-CN"/>
        </w:rPr>
        <w:t>份额持有人所有，其中利息转份额的具体数额以登记机构的记录为准。</w:t>
      </w:r>
    </w:p>
    <w:p w14:paraId="6E4EF962"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、基金认购份额的计算</w:t>
      </w:r>
    </w:p>
    <w:p w14:paraId="66C2239A" w14:textId="77777777" w:rsidR="005039DD" w:rsidRPr="002C2B23" w:rsidRDefault="0040620F">
      <w:pPr>
        <w:spacing w:line="360" w:lineRule="auto"/>
        <w:ind w:firstLine="480"/>
        <w:rPr>
          <w:bCs/>
          <w:sz w:val="24"/>
          <w:lang w:eastAsia="zh-CN"/>
        </w:rPr>
      </w:pPr>
      <w:r w:rsidRPr="002C2B23">
        <w:rPr>
          <w:bCs/>
          <w:sz w:val="24"/>
          <w:lang w:eastAsia="zh-CN"/>
        </w:rPr>
        <w:t>基金认购份额具体的计算方法在招募说明书中列示。</w:t>
      </w:r>
    </w:p>
    <w:p w14:paraId="40DCC6A7" w14:textId="77777777" w:rsidR="005039DD" w:rsidRPr="002C2B23" w:rsidRDefault="0040620F">
      <w:pPr>
        <w:spacing w:line="360" w:lineRule="auto"/>
        <w:ind w:firstLine="480"/>
        <w:rPr>
          <w:bCs/>
          <w:sz w:val="24"/>
          <w:lang w:eastAsia="zh-CN"/>
        </w:rPr>
      </w:pPr>
      <w:r w:rsidRPr="002C2B23">
        <w:rPr>
          <w:bCs/>
          <w:sz w:val="24"/>
          <w:lang w:eastAsia="zh-CN"/>
        </w:rPr>
        <w:t>4</w:t>
      </w:r>
      <w:r w:rsidRPr="002C2B23">
        <w:rPr>
          <w:bCs/>
          <w:sz w:val="24"/>
          <w:lang w:eastAsia="zh-CN"/>
        </w:rPr>
        <w:t>、认购份额余额的处理方式</w:t>
      </w:r>
    </w:p>
    <w:p w14:paraId="70BDCA3C" w14:textId="77777777" w:rsidR="005039DD" w:rsidRPr="002C2B23" w:rsidRDefault="0040620F">
      <w:pPr>
        <w:spacing w:line="360" w:lineRule="auto"/>
        <w:ind w:firstLine="480"/>
        <w:rPr>
          <w:bCs/>
          <w:sz w:val="24"/>
          <w:lang w:eastAsia="zh-CN"/>
        </w:rPr>
      </w:pPr>
      <w:r w:rsidRPr="002C2B23">
        <w:rPr>
          <w:bCs/>
          <w:sz w:val="24"/>
          <w:lang w:eastAsia="zh-CN"/>
        </w:rPr>
        <w:t>认购份额</w:t>
      </w:r>
      <w:bookmarkStart w:id="91" w:name="OLE_LINK1"/>
      <w:r w:rsidRPr="002C2B23">
        <w:rPr>
          <w:bCs/>
          <w:sz w:val="24"/>
          <w:lang w:eastAsia="zh-CN"/>
        </w:rPr>
        <w:t>的计算</w:t>
      </w:r>
      <w:bookmarkEnd w:id="91"/>
      <w:r w:rsidRPr="002C2B23">
        <w:rPr>
          <w:bCs/>
          <w:sz w:val="24"/>
          <w:lang w:eastAsia="zh-CN"/>
        </w:rPr>
        <w:t>保留到小数点后</w:t>
      </w:r>
      <w:r w:rsidRPr="002C2B23">
        <w:rPr>
          <w:bCs/>
          <w:sz w:val="24"/>
          <w:lang w:eastAsia="zh-CN"/>
        </w:rPr>
        <w:t>2</w:t>
      </w:r>
      <w:r w:rsidRPr="002C2B23">
        <w:rPr>
          <w:bCs/>
          <w:sz w:val="24"/>
          <w:lang w:eastAsia="zh-CN"/>
        </w:rPr>
        <w:t>位，小数点</w:t>
      </w:r>
      <w:r w:rsidRPr="002C2B23">
        <w:rPr>
          <w:bCs/>
          <w:sz w:val="24"/>
          <w:lang w:eastAsia="zh-CN"/>
        </w:rPr>
        <w:t>2</w:t>
      </w:r>
      <w:r w:rsidRPr="002C2B23">
        <w:rPr>
          <w:bCs/>
          <w:sz w:val="24"/>
          <w:lang w:eastAsia="zh-CN"/>
        </w:rPr>
        <w:t>位以后的部分四舍五入，由此误差产生的收益或损失由基金财产承担。</w:t>
      </w:r>
    </w:p>
    <w:p w14:paraId="3C044A45" w14:textId="77777777" w:rsidR="005039DD" w:rsidRPr="002C2B23" w:rsidRDefault="0040620F">
      <w:pPr>
        <w:spacing w:line="360" w:lineRule="auto"/>
        <w:ind w:firstLine="480"/>
        <w:rPr>
          <w:bCs/>
          <w:sz w:val="24"/>
          <w:lang w:eastAsia="zh-CN"/>
        </w:rPr>
      </w:pPr>
      <w:r w:rsidRPr="002C2B23">
        <w:rPr>
          <w:bCs/>
          <w:sz w:val="24"/>
          <w:lang w:eastAsia="zh-CN"/>
        </w:rPr>
        <w:t>5</w:t>
      </w:r>
      <w:r w:rsidRPr="002C2B23">
        <w:rPr>
          <w:bCs/>
          <w:sz w:val="24"/>
          <w:lang w:eastAsia="zh-CN"/>
        </w:rPr>
        <w:t>、认购申请的确认</w:t>
      </w:r>
    </w:p>
    <w:p w14:paraId="0BA21741" w14:textId="77777777" w:rsidR="005039DD" w:rsidRPr="002C2B23" w:rsidRDefault="0040620F">
      <w:pPr>
        <w:spacing w:line="360" w:lineRule="auto"/>
        <w:ind w:firstLine="480"/>
        <w:rPr>
          <w:bCs/>
          <w:sz w:val="24"/>
          <w:lang w:eastAsia="zh-CN"/>
        </w:rPr>
      </w:pPr>
      <w:r w:rsidRPr="002C2B23">
        <w:rPr>
          <w:bCs/>
          <w:sz w:val="24"/>
          <w:lang w:eastAsia="zh-CN"/>
        </w:rPr>
        <w:t>基金销售机构对认购申请的受理并不代表该申请一定成功，而仅代表销售机构确实接收到认购申请。认购申请的确认以登记机构的确认结果为准。对于认购申请及认购份额的确认情况，投资人应及时查询并妥善行使合法权利，否则，由此产生的任何损失由投资者自行承担。</w:t>
      </w:r>
    </w:p>
    <w:p w14:paraId="6462D873" w14:textId="77777777" w:rsidR="005039DD" w:rsidRPr="002C2B23" w:rsidRDefault="005039DD">
      <w:pPr>
        <w:spacing w:line="360" w:lineRule="auto"/>
        <w:ind w:firstLine="480"/>
        <w:rPr>
          <w:bCs/>
          <w:sz w:val="24"/>
          <w:lang w:eastAsia="zh-CN"/>
        </w:rPr>
      </w:pPr>
    </w:p>
    <w:p w14:paraId="3F16AAB0" w14:textId="77777777" w:rsidR="005039DD" w:rsidRPr="002C2B23" w:rsidRDefault="0040620F">
      <w:pPr>
        <w:spacing w:line="360" w:lineRule="auto"/>
        <w:ind w:firstLine="480"/>
        <w:rPr>
          <w:bCs/>
          <w:sz w:val="24"/>
          <w:lang w:eastAsia="zh-CN"/>
        </w:rPr>
      </w:pPr>
      <w:r w:rsidRPr="002C2B23">
        <w:rPr>
          <w:bCs/>
          <w:sz w:val="24"/>
          <w:lang w:eastAsia="zh-CN"/>
        </w:rPr>
        <w:t>三、基金份额认购金额的限制</w:t>
      </w:r>
    </w:p>
    <w:p w14:paraId="639F05E4"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、投资人认购时，需按销售机构规定的方式全额缴款。</w:t>
      </w:r>
    </w:p>
    <w:p w14:paraId="66B1E181"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、基金管理人可以对每个基金交易账户的单笔最低认购金额进行限制，具体限制请参看招募说明书或相关公告。</w:t>
      </w:r>
    </w:p>
    <w:p w14:paraId="5124FE5C"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、基金管理人可以对募集期间的单个投资人的累计认购金额进行限制，具体限制和处理方法请参看招募说明书或相关公告。</w:t>
      </w:r>
    </w:p>
    <w:p w14:paraId="133EE9DD" w14:textId="77777777" w:rsidR="005039DD" w:rsidRPr="002C2B23" w:rsidRDefault="0040620F">
      <w:pPr>
        <w:spacing w:line="360" w:lineRule="auto"/>
        <w:ind w:firstLine="480"/>
        <w:rPr>
          <w:bCs/>
          <w:sz w:val="24"/>
          <w:lang w:eastAsia="zh-CN"/>
        </w:rPr>
      </w:pPr>
      <w:r w:rsidRPr="002C2B23">
        <w:rPr>
          <w:bCs/>
          <w:sz w:val="24"/>
          <w:lang w:eastAsia="zh-CN"/>
        </w:rPr>
        <w:t>4</w:t>
      </w:r>
      <w:r w:rsidRPr="002C2B23">
        <w:rPr>
          <w:bCs/>
          <w:sz w:val="24"/>
          <w:lang w:eastAsia="zh-CN"/>
        </w:rPr>
        <w:t>、投资者在募集期内可以多次认购基金份额，</w:t>
      </w:r>
      <w:r w:rsidRPr="002C2B23">
        <w:rPr>
          <w:bCs/>
          <w:sz w:val="24"/>
          <w:lang w:eastAsia="zh-CN"/>
        </w:rPr>
        <w:t>A</w:t>
      </w:r>
      <w:r w:rsidRPr="002C2B23">
        <w:rPr>
          <w:bCs/>
          <w:sz w:val="24"/>
          <w:lang w:eastAsia="zh-CN"/>
        </w:rPr>
        <w:t>类基金份额的认购费按每笔该类基金份额认购申请单独计算，但已受理的认购申请不允许撤销。</w:t>
      </w:r>
    </w:p>
    <w:p w14:paraId="6F9E7FF9" w14:textId="77777777" w:rsidR="005039DD" w:rsidRPr="002C2B23" w:rsidRDefault="0040620F">
      <w:pPr>
        <w:spacing w:line="360" w:lineRule="auto"/>
        <w:ind w:firstLine="480"/>
        <w:rPr>
          <w:bCs/>
          <w:sz w:val="24"/>
          <w:lang w:eastAsia="zh-CN"/>
        </w:rPr>
      </w:pPr>
      <w:r w:rsidRPr="002C2B23">
        <w:rPr>
          <w:bCs/>
          <w:sz w:val="24"/>
          <w:lang w:eastAsia="zh-CN"/>
        </w:rPr>
        <w:t>5</w:t>
      </w:r>
      <w:r w:rsidRPr="002C2B23">
        <w:rPr>
          <w:bCs/>
          <w:sz w:val="24"/>
          <w:lang w:eastAsia="zh-CN"/>
        </w:rPr>
        <w:t>、本基金可设置首次募集规模上限，具体募集上限及规模控制的方案详见基金份额发售公告或其他公告。若本基金设置首次募集规模上限，基金合同生效后不受首次募集规模的限制。</w:t>
      </w:r>
    </w:p>
    <w:p w14:paraId="6D744E38" w14:textId="77777777" w:rsidR="005039DD" w:rsidRPr="002C2B23" w:rsidRDefault="0040620F">
      <w:pPr>
        <w:spacing w:line="360" w:lineRule="auto"/>
        <w:ind w:firstLine="480"/>
        <w:rPr>
          <w:bCs/>
          <w:sz w:val="24"/>
          <w:lang w:eastAsia="zh-CN"/>
        </w:rPr>
        <w:sectPr w:rsidR="005039DD" w:rsidRPr="002C2B23">
          <w:footerReference w:type="default" r:id="rId14"/>
          <w:pgSz w:w="12240" w:h="15840"/>
          <w:pgMar w:top="1440" w:right="1800" w:bottom="1440" w:left="1800" w:header="720" w:footer="720" w:gutter="0"/>
          <w:cols w:space="720"/>
          <w:docGrid w:linePitch="312"/>
        </w:sectPr>
      </w:pPr>
      <w:r w:rsidRPr="002C2B23">
        <w:rPr>
          <w:bCs/>
          <w:sz w:val="24"/>
          <w:lang w:eastAsia="zh-CN"/>
        </w:rPr>
        <w:t>6</w:t>
      </w:r>
      <w:r w:rsidRPr="002C2B23">
        <w:rPr>
          <w:bCs/>
          <w:sz w:val="24"/>
          <w:lang w:eastAsia="zh-CN"/>
        </w:rPr>
        <w:t>、单一投资者持有本基金份额集中度不得达到或者超过</w:t>
      </w:r>
      <w:r w:rsidRPr="002C2B23">
        <w:rPr>
          <w:bCs/>
          <w:sz w:val="24"/>
          <w:lang w:eastAsia="zh-CN"/>
        </w:rPr>
        <w:t>50%</w:t>
      </w:r>
      <w:r w:rsidRPr="002C2B23">
        <w:rPr>
          <w:bCs/>
          <w:sz w:val="24"/>
          <w:lang w:eastAsia="zh-CN"/>
        </w:rPr>
        <w:t>，对于可能导致单一投资者持有基金份额的比例达到或者超过</w:t>
      </w:r>
      <w:r w:rsidRPr="002C2B23">
        <w:rPr>
          <w:bCs/>
          <w:sz w:val="24"/>
          <w:lang w:eastAsia="zh-CN"/>
        </w:rPr>
        <w:t>50%</w:t>
      </w:r>
      <w:r w:rsidRPr="002C2B23">
        <w:rPr>
          <w:bCs/>
          <w:sz w:val="24"/>
          <w:lang w:eastAsia="zh-CN"/>
        </w:rPr>
        <w:t>，或者变相规避</w:t>
      </w:r>
      <w:r w:rsidRPr="002C2B23">
        <w:rPr>
          <w:bCs/>
          <w:sz w:val="24"/>
          <w:lang w:eastAsia="zh-CN"/>
        </w:rPr>
        <w:t>50%</w:t>
      </w:r>
      <w:r w:rsidRPr="002C2B23">
        <w:rPr>
          <w:bCs/>
          <w:sz w:val="24"/>
          <w:lang w:eastAsia="zh-CN"/>
        </w:rPr>
        <w:t>集中度的情形，基金管理人有权拒绝该等全部或者部分认购申请。法律法规、监管机构另有规定或基金合同另有约定的除外。</w:t>
      </w:r>
    </w:p>
    <w:p w14:paraId="21E99D2D" w14:textId="77777777" w:rsidR="005039DD" w:rsidRPr="002C2B23" w:rsidRDefault="0040620F">
      <w:pPr>
        <w:pStyle w:val="112"/>
        <w:spacing w:before="0" w:after="0"/>
        <w:jc w:val="center"/>
        <w:rPr>
          <w:rFonts w:ascii="Times New Roman"/>
          <w:sz w:val="30"/>
          <w:lang w:eastAsia="zh-CN"/>
        </w:rPr>
      </w:pPr>
      <w:bookmarkStart w:id="92" w:name="_Toc6559"/>
      <w:bookmarkStart w:id="93" w:name="_Toc26986"/>
      <w:bookmarkStart w:id="94" w:name="_Toc7848"/>
      <w:bookmarkStart w:id="95" w:name="_Toc1823"/>
      <w:bookmarkStart w:id="96" w:name="_Toc14893"/>
      <w:bookmarkStart w:id="97" w:name="_Toc21988"/>
      <w:bookmarkStart w:id="98" w:name="_Toc109141365"/>
      <w:bookmarkStart w:id="99" w:name="_Toc139991735"/>
      <w:bookmarkStart w:id="100" w:name="_Toc18526"/>
      <w:bookmarkStart w:id="101" w:name="_Toc18329"/>
      <w:bookmarkStart w:id="102" w:name="_Toc4741"/>
      <w:bookmarkStart w:id="103" w:name="_Toc141703885"/>
      <w:bookmarkStart w:id="104" w:name="_Toc18797"/>
      <w:bookmarkStart w:id="105" w:name="_Toc17912"/>
      <w:r w:rsidRPr="002C2B23">
        <w:rPr>
          <w:rFonts w:ascii="Times New Roman"/>
          <w:sz w:val="30"/>
          <w:lang w:eastAsia="zh-CN"/>
        </w:rPr>
        <w:t>第五部分</w:t>
      </w:r>
      <w:r w:rsidRPr="002C2B23">
        <w:rPr>
          <w:rFonts w:ascii="Times New Roman"/>
          <w:sz w:val="30"/>
          <w:lang w:eastAsia="zh-CN"/>
        </w:rPr>
        <w:t xml:space="preserve">  </w:t>
      </w:r>
      <w:r w:rsidRPr="002C2B23">
        <w:rPr>
          <w:rFonts w:ascii="Times New Roman"/>
          <w:sz w:val="30"/>
          <w:lang w:eastAsia="zh-CN"/>
        </w:rPr>
        <w:t>基金备案</w:t>
      </w:r>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1A3F914E" w14:textId="77777777" w:rsidR="005039DD" w:rsidRPr="002C2B23" w:rsidRDefault="005039DD">
      <w:pPr>
        <w:spacing w:line="360" w:lineRule="auto"/>
        <w:ind w:firstLine="540"/>
        <w:rPr>
          <w:bCs/>
          <w:sz w:val="24"/>
          <w:lang w:eastAsia="zh-CN"/>
        </w:rPr>
      </w:pPr>
    </w:p>
    <w:p w14:paraId="13B61B88" w14:textId="77777777" w:rsidR="005039DD" w:rsidRPr="002C2B23" w:rsidRDefault="0040620F">
      <w:pPr>
        <w:spacing w:line="360" w:lineRule="auto"/>
        <w:ind w:firstLine="480"/>
        <w:rPr>
          <w:bCs/>
          <w:sz w:val="24"/>
          <w:lang w:eastAsia="zh-CN"/>
        </w:rPr>
      </w:pPr>
      <w:r w:rsidRPr="002C2B23">
        <w:rPr>
          <w:bCs/>
          <w:sz w:val="24"/>
          <w:lang w:eastAsia="zh-CN"/>
        </w:rPr>
        <w:t>一、基金备案的条件</w:t>
      </w:r>
    </w:p>
    <w:p w14:paraId="4C4ADABE" w14:textId="77777777" w:rsidR="005039DD" w:rsidRPr="002C2B23" w:rsidRDefault="0040620F">
      <w:pPr>
        <w:spacing w:line="360" w:lineRule="auto"/>
        <w:ind w:firstLine="480"/>
        <w:rPr>
          <w:bCs/>
          <w:sz w:val="24"/>
          <w:lang w:eastAsia="zh-CN"/>
        </w:rPr>
      </w:pPr>
      <w:r w:rsidRPr="002C2B23">
        <w:rPr>
          <w:bCs/>
          <w:sz w:val="24"/>
          <w:lang w:eastAsia="zh-CN"/>
        </w:rPr>
        <w:t>本基金自基金份额发售之日起</w:t>
      </w:r>
      <w:r w:rsidRPr="002C2B23">
        <w:rPr>
          <w:bCs/>
          <w:sz w:val="24"/>
          <w:lang w:eastAsia="zh-CN"/>
        </w:rPr>
        <w:t>3</w:t>
      </w:r>
      <w:r w:rsidRPr="002C2B23">
        <w:rPr>
          <w:bCs/>
          <w:sz w:val="24"/>
          <w:lang w:eastAsia="zh-CN"/>
        </w:rPr>
        <w:t>个月内，在基金募集份额总额不少于</w:t>
      </w:r>
      <w:r w:rsidRPr="002C2B23">
        <w:rPr>
          <w:bCs/>
          <w:sz w:val="24"/>
          <w:lang w:eastAsia="zh-CN"/>
        </w:rPr>
        <w:t>2</w:t>
      </w:r>
      <w:r w:rsidRPr="002C2B23">
        <w:rPr>
          <w:bCs/>
          <w:sz w:val="24"/>
          <w:lang w:eastAsia="zh-CN"/>
        </w:rPr>
        <w:t>亿份，基金募集金额不少于</w:t>
      </w:r>
      <w:r w:rsidRPr="002C2B23">
        <w:rPr>
          <w:bCs/>
          <w:sz w:val="24"/>
          <w:lang w:eastAsia="zh-CN"/>
        </w:rPr>
        <w:t>2</w:t>
      </w:r>
      <w:r w:rsidRPr="002C2B23">
        <w:rPr>
          <w:bCs/>
          <w:sz w:val="24"/>
          <w:lang w:eastAsia="zh-CN"/>
        </w:rPr>
        <w:t>亿元人民币</w:t>
      </w:r>
      <w:proofErr w:type="gramStart"/>
      <w:r w:rsidRPr="002C2B23">
        <w:rPr>
          <w:bCs/>
          <w:sz w:val="24"/>
          <w:lang w:eastAsia="zh-CN"/>
        </w:rPr>
        <w:t>且基金</w:t>
      </w:r>
      <w:proofErr w:type="gramEnd"/>
      <w:r w:rsidRPr="002C2B23">
        <w:rPr>
          <w:bCs/>
          <w:sz w:val="24"/>
          <w:lang w:eastAsia="zh-CN"/>
        </w:rPr>
        <w:t>认购人数不少于</w:t>
      </w:r>
      <w:r w:rsidRPr="002C2B23">
        <w:rPr>
          <w:bCs/>
          <w:sz w:val="24"/>
          <w:lang w:eastAsia="zh-CN"/>
        </w:rPr>
        <w:t>200</w:t>
      </w:r>
      <w:r w:rsidRPr="002C2B23">
        <w:rPr>
          <w:bCs/>
          <w:sz w:val="24"/>
          <w:lang w:eastAsia="zh-CN"/>
        </w:rPr>
        <w:t>人的条件下，基金募集期届满或基金管理人依据法律法规及招募说明书可以决定停止基金发售，并在</w:t>
      </w:r>
      <w:r w:rsidRPr="002C2B23">
        <w:rPr>
          <w:bCs/>
          <w:sz w:val="24"/>
          <w:lang w:eastAsia="zh-CN"/>
        </w:rPr>
        <w:t>10</w:t>
      </w:r>
      <w:r w:rsidRPr="002C2B23">
        <w:rPr>
          <w:bCs/>
          <w:sz w:val="24"/>
          <w:lang w:eastAsia="zh-CN"/>
        </w:rPr>
        <w:t>日内聘请法定验资机构验资，自收到验资报告之日起</w:t>
      </w:r>
      <w:r w:rsidRPr="002C2B23">
        <w:rPr>
          <w:bCs/>
          <w:sz w:val="24"/>
          <w:lang w:eastAsia="zh-CN"/>
        </w:rPr>
        <w:t>10</w:t>
      </w:r>
      <w:r w:rsidRPr="002C2B23">
        <w:rPr>
          <w:bCs/>
          <w:sz w:val="24"/>
          <w:lang w:eastAsia="zh-CN"/>
        </w:rPr>
        <w:t>日内，向中国证监会办理基金备案手续。</w:t>
      </w:r>
    </w:p>
    <w:p w14:paraId="6EB6768C" w14:textId="77777777" w:rsidR="005039DD" w:rsidRPr="002C2B23" w:rsidRDefault="0040620F">
      <w:pPr>
        <w:spacing w:line="360" w:lineRule="auto"/>
        <w:ind w:firstLine="480"/>
        <w:rPr>
          <w:bCs/>
          <w:sz w:val="24"/>
          <w:lang w:eastAsia="zh-CN"/>
        </w:rPr>
      </w:pPr>
      <w:r w:rsidRPr="002C2B23">
        <w:rPr>
          <w:bCs/>
          <w:sz w:val="24"/>
          <w:lang w:eastAsia="zh-CN"/>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14:paraId="68EEDCA8" w14:textId="77777777" w:rsidR="005039DD" w:rsidRPr="002C2B23" w:rsidRDefault="005039DD">
      <w:pPr>
        <w:spacing w:line="360" w:lineRule="auto"/>
        <w:ind w:firstLine="480"/>
        <w:rPr>
          <w:bCs/>
          <w:sz w:val="24"/>
          <w:lang w:eastAsia="zh-CN"/>
        </w:rPr>
      </w:pPr>
    </w:p>
    <w:p w14:paraId="2E94065A" w14:textId="77777777" w:rsidR="005039DD" w:rsidRPr="002C2B23" w:rsidRDefault="0040620F">
      <w:pPr>
        <w:spacing w:line="360" w:lineRule="auto"/>
        <w:ind w:firstLine="480"/>
        <w:rPr>
          <w:bCs/>
          <w:sz w:val="24"/>
          <w:lang w:eastAsia="zh-CN"/>
        </w:rPr>
      </w:pPr>
      <w:r w:rsidRPr="002C2B23">
        <w:rPr>
          <w:bCs/>
          <w:sz w:val="24"/>
          <w:lang w:eastAsia="zh-CN"/>
        </w:rPr>
        <w:t>二、基金合同不能生效时募集资金的处理方式</w:t>
      </w:r>
    </w:p>
    <w:p w14:paraId="7FC4850E" w14:textId="77777777" w:rsidR="005039DD" w:rsidRPr="002C2B23" w:rsidRDefault="0040620F">
      <w:pPr>
        <w:spacing w:line="360" w:lineRule="auto"/>
        <w:ind w:firstLine="480"/>
        <w:rPr>
          <w:bCs/>
          <w:sz w:val="24"/>
          <w:lang w:eastAsia="zh-CN"/>
        </w:rPr>
      </w:pPr>
      <w:r w:rsidRPr="002C2B23">
        <w:rPr>
          <w:bCs/>
          <w:sz w:val="24"/>
          <w:lang w:eastAsia="zh-CN"/>
        </w:rPr>
        <w:t>如果募集期限届满，未满足基金备案条件，基金管理人应当承担下列责任：</w:t>
      </w:r>
    </w:p>
    <w:p w14:paraId="31316C8A"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、以其固有财产承担因募集行为而产生的债务和费用；</w:t>
      </w:r>
    </w:p>
    <w:p w14:paraId="501DA6C0"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、在基金募集期限届满后</w:t>
      </w:r>
      <w:r w:rsidRPr="002C2B23">
        <w:rPr>
          <w:bCs/>
          <w:sz w:val="24"/>
          <w:lang w:eastAsia="zh-CN"/>
        </w:rPr>
        <w:t>30</w:t>
      </w:r>
      <w:r w:rsidRPr="002C2B23">
        <w:rPr>
          <w:bCs/>
          <w:sz w:val="24"/>
          <w:lang w:eastAsia="zh-CN"/>
        </w:rPr>
        <w:t>日内返还投资者已</w:t>
      </w:r>
      <w:r w:rsidRPr="002C2B23">
        <w:rPr>
          <w:rFonts w:hint="eastAsia"/>
          <w:bCs/>
          <w:sz w:val="24"/>
          <w:lang w:eastAsia="zh-CN"/>
        </w:rPr>
        <w:t>交</w:t>
      </w:r>
      <w:r w:rsidRPr="002C2B23">
        <w:rPr>
          <w:bCs/>
          <w:sz w:val="24"/>
          <w:lang w:eastAsia="zh-CN"/>
        </w:rPr>
        <w:t>纳的款项，并加计银行同期活期存款利息；</w:t>
      </w:r>
    </w:p>
    <w:p w14:paraId="1C92EB92"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、如基金募集失败，基金管理人、基金托管人及销售机构不得请求报酬。基金管理人、基金托管人和销售机构为基金募集支付之一切费用应由各方各自承担。</w:t>
      </w:r>
    </w:p>
    <w:p w14:paraId="4B63EF05" w14:textId="77777777" w:rsidR="005039DD" w:rsidRPr="002C2B23" w:rsidRDefault="005039DD">
      <w:pPr>
        <w:spacing w:line="360" w:lineRule="auto"/>
        <w:ind w:firstLine="480"/>
        <w:rPr>
          <w:bCs/>
          <w:sz w:val="24"/>
          <w:lang w:eastAsia="zh-CN"/>
        </w:rPr>
      </w:pPr>
    </w:p>
    <w:p w14:paraId="53D56862" w14:textId="77777777" w:rsidR="005039DD" w:rsidRPr="002C2B23" w:rsidRDefault="0040620F">
      <w:pPr>
        <w:spacing w:line="360" w:lineRule="auto"/>
        <w:ind w:firstLine="480"/>
        <w:rPr>
          <w:bCs/>
          <w:sz w:val="24"/>
          <w:lang w:eastAsia="zh-CN"/>
        </w:rPr>
      </w:pPr>
      <w:r w:rsidRPr="002C2B23">
        <w:rPr>
          <w:bCs/>
          <w:sz w:val="24"/>
          <w:lang w:eastAsia="zh-CN"/>
        </w:rPr>
        <w:t>三、基金存续期内的基金份额持有人数量和资产规模</w:t>
      </w:r>
    </w:p>
    <w:p w14:paraId="3D126213" w14:textId="77777777" w:rsidR="005039DD" w:rsidRPr="002C2B23" w:rsidRDefault="0040620F">
      <w:pPr>
        <w:spacing w:line="360" w:lineRule="auto"/>
        <w:ind w:firstLine="480"/>
        <w:rPr>
          <w:bCs/>
          <w:sz w:val="24"/>
          <w:lang w:eastAsia="zh-CN"/>
        </w:rPr>
      </w:pPr>
      <w:bookmarkStart w:id="106" w:name="_Toc20733"/>
      <w:bookmarkStart w:id="107" w:name="_Toc10463"/>
      <w:bookmarkStart w:id="108" w:name="_Toc1427"/>
      <w:bookmarkStart w:id="109" w:name="_Toc123112234"/>
      <w:bookmarkStart w:id="110" w:name="_Toc141703886"/>
      <w:bookmarkStart w:id="111" w:name="_Toc139991736"/>
      <w:bookmarkStart w:id="112" w:name="_Toc79392606"/>
      <w:bookmarkStart w:id="113" w:name="_Toc98560352"/>
      <w:bookmarkStart w:id="114" w:name="_Toc23822"/>
      <w:bookmarkStart w:id="115" w:name="_Toc1270"/>
      <w:bookmarkStart w:id="116" w:name="_Toc7920"/>
      <w:bookmarkStart w:id="117" w:name="_Toc123051452"/>
      <w:bookmarkStart w:id="118" w:name="_Toc410197686"/>
      <w:bookmarkStart w:id="119" w:name="_Toc23261"/>
      <w:bookmarkStart w:id="120" w:name="_Toc4003"/>
      <w:bookmarkStart w:id="121" w:name="_Toc48649707"/>
      <w:bookmarkStart w:id="122" w:name="_Toc17244"/>
      <w:bookmarkStart w:id="123" w:name="_Toc610"/>
      <w:bookmarkStart w:id="124" w:name="_Toc123102453"/>
      <w:r w:rsidRPr="002C2B23">
        <w:rPr>
          <w:rFonts w:hint="eastAsia"/>
          <w:bCs/>
          <w:sz w:val="24"/>
          <w:lang w:eastAsia="zh-CN"/>
        </w:rPr>
        <w:t>《基金合同》生效后，连续</w:t>
      </w:r>
      <w:r w:rsidRPr="002C2B23">
        <w:rPr>
          <w:rFonts w:hint="eastAsia"/>
          <w:bCs/>
          <w:sz w:val="24"/>
          <w:lang w:eastAsia="zh-CN"/>
        </w:rPr>
        <w:t>20</w:t>
      </w:r>
      <w:r w:rsidRPr="002C2B23">
        <w:rPr>
          <w:rFonts w:hint="eastAsia"/>
          <w:bCs/>
          <w:sz w:val="24"/>
          <w:lang w:eastAsia="zh-CN"/>
        </w:rPr>
        <w:t>个工作日出现基金份额持有人数量不满</w:t>
      </w:r>
      <w:r w:rsidRPr="002C2B23">
        <w:rPr>
          <w:rFonts w:hint="eastAsia"/>
          <w:bCs/>
          <w:sz w:val="24"/>
          <w:lang w:eastAsia="zh-CN"/>
        </w:rPr>
        <w:t>200</w:t>
      </w:r>
      <w:r w:rsidRPr="002C2B23">
        <w:rPr>
          <w:rFonts w:hint="eastAsia"/>
          <w:bCs/>
          <w:sz w:val="24"/>
          <w:lang w:eastAsia="zh-CN"/>
        </w:rPr>
        <w:t>人或者基金资产净值低于</w:t>
      </w:r>
      <w:r w:rsidRPr="002C2B23">
        <w:rPr>
          <w:rFonts w:hint="eastAsia"/>
          <w:bCs/>
          <w:sz w:val="24"/>
          <w:lang w:eastAsia="zh-CN"/>
        </w:rPr>
        <w:t>5000</w:t>
      </w:r>
      <w:r w:rsidRPr="002C2B23">
        <w:rPr>
          <w:rFonts w:hint="eastAsia"/>
          <w:bCs/>
          <w:sz w:val="24"/>
          <w:lang w:eastAsia="zh-CN"/>
        </w:rPr>
        <w:t>万元情形的，基金管理人应当在定期报告中予以披露；连续</w:t>
      </w:r>
      <w:r w:rsidRPr="002C2B23">
        <w:rPr>
          <w:rFonts w:hint="eastAsia"/>
          <w:bCs/>
          <w:sz w:val="24"/>
          <w:lang w:eastAsia="zh-CN"/>
        </w:rPr>
        <w:t>60</w:t>
      </w:r>
      <w:r w:rsidRPr="002C2B23">
        <w:rPr>
          <w:rFonts w:hint="eastAsia"/>
          <w:bCs/>
          <w:sz w:val="24"/>
          <w:lang w:eastAsia="zh-CN"/>
        </w:rPr>
        <w:t>个工作日出现前述情形的，基金管理人应当在</w:t>
      </w:r>
      <w:r w:rsidRPr="002C2B23">
        <w:rPr>
          <w:rFonts w:hint="eastAsia"/>
          <w:bCs/>
          <w:sz w:val="24"/>
          <w:lang w:eastAsia="zh-CN"/>
        </w:rPr>
        <w:t>10</w:t>
      </w:r>
      <w:r w:rsidRPr="002C2B23">
        <w:rPr>
          <w:rFonts w:hint="eastAsia"/>
          <w:bCs/>
          <w:sz w:val="24"/>
          <w:lang w:eastAsia="zh-CN"/>
        </w:rPr>
        <w:t>个工作日内向中国证监会报告并提出解决方案，如采取持续运作、转换运作方式、与其他基金合并或者终止基金合同等，并于</w:t>
      </w:r>
      <w:r w:rsidRPr="002C2B23">
        <w:rPr>
          <w:rFonts w:hint="eastAsia"/>
          <w:bCs/>
          <w:sz w:val="24"/>
          <w:lang w:eastAsia="zh-CN"/>
        </w:rPr>
        <w:t>6</w:t>
      </w:r>
      <w:r w:rsidRPr="002C2B23">
        <w:rPr>
          <w:rFonts w:hint="eastAsia"/>
          <w:bCs/>
          <w:sz w:val="24"/>
          <w:lang w:eastAsia="zh-CN"/>
        </w:rPr>
        <w:t>个月内召集基金份额持有人大会进行表决。</w:t>
      </w:r>
    </w:p>
    <w:p w14:paraId="05495104" w14:textId="77777777" w:rsidR="005039DD" w:rsidRPr="002C2B23" w:rsidRDefault="0040620F">
      <w:pPr>
        <w:spacing w:line="360" w:lineRule="auto"/>
        <w:ind w:firstLine="480"/>
        <w:rPr>
          <w:bCs/>
          <w:sz w:val="24"/>
          <w:lang w:eastAsia="zh-CN"/>
        </w:rPr>
      </w:pPr>
      <w:r w:rsidRPr="002C2B23">
        <w:rPr>
          <w:rFonts w:hint="eastAsia"/>
          <w:bCs/>
          <w:sz w:val="24"/>
          <w:lang w:eastAsia="zh-CN"/>
        </w:rPr>
        <w:t>法律法规或中国证监会另有规定时，从其规定。</w:t>
      </w:r>
    </w:p>
    <w:p w14:paraId="192806DF" w14:textId="77777777" w:rsidR="005039DD" w:rsidRPr="002C2B23" w:rsidRDefault="005039DD">
      <w:pPr>
        <w:spacing w:line="360" w:lineRule="auto"/>
        <w:ind w:firstLine="480"/>
        <w:rPr>
          <w:bCs/>
          <w:sz w:val="24"/>
          <w:lang w:eastAsia="zh-CN"/>
        </w:rPr>
        <w:sectPr w:rsidR="005039DD" w:rsidRPr="002C2B23">
          <w:footerReference w:type="default" r:id="rId15"/>
          <w:pgSz w:w="12240" w:h="15840"/>
          <w:pgMar w:top="1440" w:right="1800" w:bottom="1440" w:left="1800" w:header="720" w:footer="720" w:gutter="0"/>
          <w:cols w:space="720"/>
          <w:docGrid w:linePitch="312"/>
        </w:sectPr>
      </w:pPr>
    </w:p>
    <w:p w14:paraId="2F9C5BD9" w14:textId="77777777" w:rsidR="005039DD" w:rsidRPr="002C2B23" w:rsidRDefault="0040620F">
      <w:pPr>
        <w:pStyle w:val="112"/>
        <w:spacing w:before="0" w:after="0"/>
        <w:jc w:val="center"/>
        <w:rPr>
          <w:rFonts w:ascii="Times New Roman"/>
          <w:bCs/>
          <w:sz w:val="30"/>
          <w:szCs w:val="30"/>
          <w:lang w:eastAsia="zh-CN"/>
        </w:rPr>
      </w:pPr>
      <w:bookmarkStart w:id="125" w:name="_Toc109141366"/>
      <w:bookmarkStart w:id="126" w:name="_Toc11081"/>
      <w:r w:rsidRPr="002C2B23">
        <w:rPr>
          <w:rFonts w:ascii="Times New Roman"/>
          <w:sz w:val="30"/>
          <w:lang w:eastAsia="zh-CN"/>
        </w:rPr>
        <w:t>第六部分</w:t>
      </w:r>
      <w:r w:rsidRPr="002C2B23">
        <w:rPr>
          <w:rFonts w:ascii="Times New Roman"/>
          <w:sz w:val="30"/>
          <w:lang w:eastAsia="zh-CN"/>
        </w:rPr>
        <w:t xml:space="preserve">  </w:t>
      </w:r>
      <w:r w:rsidRPr="002C2B23">
        <w:rPr>
          <w:rFonts w:ascii="Times New Roman"/>
          <w:sz w:val="30"/>
          <w:lang w:eastAsia="zh-CN"/>
        </w:rPr>
        <w:t>基金份额的申购与赎回</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14:paraId="1C7C6E93" w14:textId="77777777" w:rsidR="005039DD" w:rsidRPr="002C2B23" w:rsidRDefault="005039DD">
      <w:pPr>
        <w:spacing w:line="360" w:lineRule="auto"/>
        <w:ind w:firstLine="540"/>
        <w:rPr>
          <w:bCs/>
          <w:sz w:val="24"/>
          <w:lang w:eastAsia="zh-CN"/>
        </w:rPr>
      </w:pPr>
    </w:p>
    <w:p w14:paraId="6CAAAF9A" w14:textId="77777777" w:rsidR="005039DD" w:rsidRPr="002C2B23" w:rsidRDefault="0040620F">
      <w:pPr>
        <w:spacing w:line="360" w:lineRule="auto"/>
        <w:ind w:firstLine="480"/>
        <w:rPr>
          <w:bCs/>
          <w:sz w:val="24"/>
          <w:lang w:eastAsia="zh-CN"/>
        </w:rPr>
      </w:pPr>
      <w:r w:rsidRPr="002C2B23">
        <w:rPr>
          <w:bCs/>
          <w:sz w:val="24"/>
          <w:lang w:eastAsia="zh-CN"/>
        </w:rPr>
        <w:t>一、申购和赎回场所</w:t>
      </w:r>
    </w:p>
    <w:p w14:paraId="6B1F9B9B" w14:textId="77777777" w:rsidR="005039DD" w:rsidRPr="002C2B23" w:rsidRDefault="0040620F">
      <w:pPr>
        <w:spacing w:line="360" w:lineRule="auto"/>
        <w:ind w:firstLine="480"/>
        <w:rPr>
          <w:bCs/>
          <w:sz w:val="24"/>
          <w:lang w:eastAsia="zh-CN"/>
        </w:rPr>
      </w:pPr>
      <w:r w:rsidRPr="002C2B23">
        <w:rPr>
          <w:bCs/>
          <w:sz w:val="24"/>
          <w:lang w:eastAsia="zh-CN"/>
        </w:rPr>
        <w:t>本基金的申购与赎回将通过销售机构进行。具体的销售机构将由基金管理人在招募说明书或基金管理人网站列明。基金管理人可根据情况变更或增减销售机构。基金投资者应当在销售机构办理基金销售业务的营业场所或按销售机构提供的其他方式办理基金份额的申购与赎回。</w:t>
      </w:r>
    </w:p>
    <w:p w14:paraId="36A18278" w14:textId="77777777" w:rsidR="005039DD" w:rsidRPr="002C2B23" w:rsidRDefault="005039DD">
      <w:pPr>
        <w:spacing w:line="360" w:lineRule="auto"/>
        <w:ind w:firstLine="480"/>
        <w:rPr>
          <w:bCs/>
          <w:lang w:eastAsia="zh-CN"/>
        </w:rPr>
      </w:pPr>
    </w:p>
    <w:p w14:paraId="6D17047E" w14:textId="77777777" w:rsidR="005039DD" w:rsidRPr="002C2B23" w:rsidRDefault="0040620F">
      <w:pPr>
        <w:spacing w:line="360" w:lineRule="auto"/>
        <w:ind w:firstLine="480"/>
        <w:rPr>
          <w:bCs/>
          <w:sz w:val="24"/>
          <w:lang w:eastAsia="zh-CN"/>
        </w:rPr>
      </w:pPr>
      <w:r w:rsidRPr="002C2B23">
        <w:rPr>
          <w:bCs/>
          <w:sz w:val="24"/>
          <w:lang w:eastAsia="zh-CN"/>
        </w:rPr>
        <w:t>二、申购和赎回的开放日及时间</w:t>
      </w:r>
    </w:p>
    <w:p w14:paraId="271439E1"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、开放日及开放时间</w:t>
      </w:r>
    </w:p>
    <w:p w14:paraId="4DFD39FD" w14:textId="77777777" w:rsidR="005039DD" w:rsidRPr="002C2B23" w:rsidRDefault="0040620F">
      <w:pPr>
        <w:spacing w:line="360" w:lineRule="auto"/>
        <w:ind w:firstLine="480"/>
        <w:rPr>
          <w:bCs/>
          <w:sz w:val="24"/>
          <w:lang w:eastAsia="zh-CN"/>
        </w:rPr>
      </w:pPr>
      <w:r w:rsidRPr="002C2B23">
        <w:rPr>
          <w:bCs/>
          <w:sz w:val="24"/>
          <w:lang w:eastAsia="zh-CN"/>
        </w:rPr>
        <w:t>基金管理人在开放日办理基金份额的申购和</w:t>
      </w:r>
      <w:r w:rsidRPr="002C2B23">
        <w:rPr>
          <w:bCs/>
          <w:sz w:val="24"/>
          <w:lang w:eastAsia="zh-CN"/>
        </w:rPr>
        <w:t>/</w:t>
      </w:r>
      <w:r w:rsidRPr="002C2B23">
        <w:rPr>
          <w:bCs/>
          <w:sz w:val="24"/>
          <w:lang w:eastAsia="zh-CN"/>
        </w:rPr>
        <w:t>或赎回。投资人在开放日办理申购和</w:t>
      </w:r>
      <w:r w:rsidRPr="002C2B23">
        <w:rPr>
          <w:bCs/>
          <w:sz w:val="24"/>
          <w:lang w:eastAsia="zh-CN"/>
        </w:rPr>
        <w:t>/</w:t>
      </w:r>
      <w:r w:rsidRPr="002C2B23">
        <w:rPr>
          <w:bCs/>
          <w:sz w:val="24"/>
          <w:lang w:eastAsia="zh-CN"/>
        </w:rPr>
        <w:t>或赎回的具体办理时间为上海证券交易所、深圳证券交易所及相关期货交易所的正常交易日的交易时间（若本基金参与港股</w:t>
      </w:r>
      <w:proofErr w:type="gramStart"/>
      <w:r w:rsidRPr="002C2B23">
        <w:rPr>
          <w:bCs/>
          <w:sz w:val="24"/>
          <w:lang w:eastAsia="zh-CN"/>
        </w:rPr>
        <w:t>通交易且</w:t>
      </w:r>
      <w:proofErr w:type="gramEnd"/>
      <w:r w:rsidRPr="002C2B23">
        <w:rPr>
          <w:bCs/>
          <w:sz w:val="24"/>
          <w:lang w:eastAsia="zh-CN"/>
        </w:rPr>
        <w:t>该工作日为非港股</w:t>
      </w:r>
      <w:proofErr w:type="gramStart"/>
      <w:r w:rsidRPr="002C2B23">
        <w:rPr>
          <w:bCs/>
          <w:sz w:val="24"/>
          <w:lang w:eastAsia="zh-CN"/>
        </w:rPr>
        <w:t>通交易</w:t>
      </w:r>
      <w:proofErr w:type="gramEnd"/>
      <w:r w:rsidRPr="002C2B23">
        <w:rPr>
          <w:bCs/>
          <w:sz w:val="24"/>
          <w:lang w:eastAsia="zh-CN"/>
        </w:rPr>
        <w:t>日时，</w:t>
      </w:r>
      <w:proofErr w:type="gramStart"/>
      <w:r w:rsidRPr="002C2B23">
        <w:rPr>
          <w:bCs/>
          <w:sz w:val="24"/>
          <w:lang w:eastAsia="zh-CN"/>
        </w:rPr>
        <w:t>则基金</w:t>
      </w:r>
      <w:proofErr w:type="gramEnd"/>
      <w:r w:rsidRPr="002C2B23">
        <w:rPr>
          <w:bCs/>
          <w:sz w:val="24"/>
          <w:lang w:eastAsia="zh-CN"/>
        </w:rPr>
        <w:t>管理人可根据实际情况决定本基金是否开放申购、赎回及转换业务，具体以届时提前发布的公告为准），但基金管理人根据法律法规、中国证监会的要求或本基金合同的规定公告暂停申购、赎回时除外。</w:t>
      </w:r>
    </w:p>
    <w:p w14:paraId="06A6832B" w14:textId="77777777" w:rsidR="005039DD" w:rsidRPr="002C2B23" w:rsidRDefault="0040620F">
      <w:pPr>
        <w:spacing w:line="360" w:lineRule="auto"/>
        <w:ind w:firstLine="480"/>
        <w:rPr>
          <w:bCs/>
          <w:sz w:val="24"/>
          <w:lang w:eastAsia="zh-CN"/>
        </w:rPr>
      </w:pPr>
      <w:r w:rsidRPr="002C2B23">
        <w:rPr>
          <w:bCs/>
          <w:sz w:val="24"/>
          <w:lang w:eastAsia="zh-CN"/>
        </w:rPr>
        <w:t>基金合同生效后，若出现新的证券、期货交易所交易时间变更或其他特殊情况，基金管理人将视情况对前述开放日及开放时间进行相应的调整，但应在实施日前依照《信息披露办法》的有关规定在规定媒介上公告。</w:t>
      </w:r>
    </w:p>
    <w:p w14:paraId="3D02BD72"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、申购、赎回开始日及业务办理时间</w:t>
      </w:r>
    </w:p>
    <w:p w14:paraId="2D2A9A6D" w14:textId="77777777" w:rsidR="005039DD" w:rsidRPr="002C2B23" w:rsidRDefault="0040620F">
      <w:pPr>
        <w:spacing w:line="360" w:lineRule="auto"/>
        <w:ind w:firstLine="480"/>
        <w:rPr>
          <w:bCs/>
          <w:sz w:val="24"/>
          <w:lang w:eastAsia="zh-CN"/>
        </w:rPr>
      </w:pPr>
      <w:r w:rsidRPr="002C2B23">
        <w:rPr>
          <w:bCs/>
          <w:sz w:val="24"/>
          <w:lang w:eastAsia="zh-CN"/>
        </w:rPr>
        <w:t>基金管理人可根据实际情况依法决定本基金开始办理申购的具体日期，具体业务办理时间在申购开始公告中规定。</w:t>
      </w:r>
    </w:p>
    <w:p w14:paraId="56732389" w14:textId="77777777" w:rsidR="005039DD" w:rsidRPr="002C2B23" w:rsidRDefault="0040620F">
      <w:pPr>
        <w:spacing w:line="360" w:lineRule="auto"/>
        <w:ind w:firstLine="480"/>
        <w:rPr>
          <w:bCs/>
          <w:sz w:val="24"/>
          <w:lang w:eastAsia="zh-CN"/>
        </w:rPr>
      </w:pPr>
      <w:r w:rsidRPr="002C2B23">
        <w:rPr>
          <w:bCs/>
          <w:sz w:val="24"/>
          <w:lang w:eastAsia="zh-CN"/>
        </w:rPr>
        <w:t>基金管理人自基金合同生效之日起不超过</w:t>
      </w:r>
      <w:r w:rsidRPr="002C2B23">
        <w:rPr>
          <w:bCs/>
          <w:sz w:val="24"/>
          <w:lang w:eastAsia="zh-CN"/>
        </w:rPr>
        <w:t>3</w:t>
      </w:r>
      <w:r w:rsidRPr="002C2B23">
        <w:rPr>
          <w:bCs/>
          <w:sz w:val="24"/>
          <w:lang w:eastAsia="zh-CN"/>
        </w:rPr>
        <w:t>个月开始办理赎回，具体业务办理时间在赎回开始公告中规定。</w:t>
      </w:r>
    </w:p>
    <w:p w14:paraId="1A2713BE" w14:textId="77777777" w:rsidR="005039DD" w:rsidRPr="002C2B23" w:rsidRDefault="0040620F">
      <w:pPr>
        <w:spacing w:line="360" w:lineRule="auto"/>
        <w:ind w:firstLine="480"/>
        <w:rPr>
          <w:bCs/>
          <w:sz w:val="24"/>
          <w:lang w:eastAsia="zh-CN"/>
        </w:rPr>
      </w:pPr>
      <w:r w:rsidRPr="002C2B23">
        <w:rPr>
          <w:bCs/>
          <w:sz w:val="24"/>
          <w:lang w:eastAsia="zh-CN"/>
        </w:rPr>
        <w:t>在确定申购开始与赎回开始时间后，基金管理人应在申购、赎回开放日前依照《信息披露办法》的有关规定在规定媒介上公告申购与赎回的开始时间。</w:t>
      </w:r>
    </w:p>
    <w:p w14:paraId="682D12BF" w14:textId="77777777" w:rsidR="005039DD" w:rsidRPr="002C2B23" w:rsidRDefault="0040620F">
      <w:pPr>
        <w:spacing w:line="360" w:lineRule="auto"/>
        <w:ind w:firstLine="480"/>
        <w:rPr>
          <w:bCs/>
          <w:sz w:val="24"/>
          <w:lang w:eastAsia="zh-CN"/>
        </w:rPr>
      </w:pPr>
      <w:r w:rsidRPr="002C2B23">
        <w:rPr>
          <w:bCs/>
          <w:sz w:val="24"/>
          <w:lang w:eastAsia="zh-CN"/>
        </w:rPr>
        <w:t>基金管理人不得在基金合同约定之外的日期或者时间办理基金份额的申购、赎回或者转换。投资人在基金合同约定之外的日期和时间提出申购、赎回或转换申请</w:t>
      </w:r>
      <w:proofErr w:type="gramStart"/>
      <w:r w:rsidRPr="002C2B23">
        <w:rPr>
          <w:bCs/>
          <w:sz w:val="24"/>
          <w:lang w:eastAsia="zh-CN"/>
        </w:rPr>
        <w:t>且登记</w:t>
      </w:r>
      <w:proofErr w:type="gramEnd"/>
      <w:r w:rsidRPr="002C2B23">
        <w:rPr>
          <w:bCs/>
          <w:sz w:val="24"/>
          <w:lang w:eastAsia="zh-CN"/>
        </w:rPr>
        <w:t>机构确认接受的，其基金份额申购、赎回或转换价格为下一开放日该类基金份额申购、赎回或转换的价格。</w:t>
      </w:r>
    </w:p>
    <w:p w14:paraId="24352878" w14:textId="77777777" w:rsidR="005039DD" w:rsidRPr="002C2B23" w:rsidRDefault="005039DD">
      <w:pPr>
        <w:spacing w:line="360" w:lineRule="auto"/>
        <w:ind w:firstLine="480"/>
        <w:rPr>
          <w:bCs/>
          <w:lang w:eastAsia="zh-CN"/>
        </w:rPr>
      </w:pPr>
    </w:p>
    <w:p w14:paraId="265E3978" w14:textId="77777777" w:rsidR="005039DD" w:rsidRPr="002C2B23" w:rsidRDefault="0040620F">
      <w:pPr>
        <w:spacing w:line="360" w:lineRule="auto"/>
        <w:ind w:firstLine="480"/>
        <w:rPr>
          <w:bCs/>
          <w:sz w:val="24"/>
          <w:lang w:eastAsia="zh-CN"/>
        </w:rPr>
      </w:pPr>
      <w:r w:rsidRPr="002C2B23">
        <w:rPr>
          <w:bCs/>
          <w:sz w:val="24"/>
          <w:lang w:eastAsia="zh-CN"/>
        </w:rPr>
        <w:t>三、申购与赎回的原则</w:t>
      </w:r>
    </w:p>
    <w:p w14:paraId="07CF7B14"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w:t>
      </w:r>
      <w:r w:rsidRPr="002C2B23">
        <w:rPr>
          <w:rFonts w:hint="eastAsia"/>
          <w:bCs/>
          <w:sz w:val="24"/>
          <w:lang w:eastAsia="zh-CN"/>
        </w:rPr>
        <w:t>“</w:t>
      </w:r>
      <w:r w:rsidRPr="002C2B23">
        <w:rPr>
          <w:bCs/>
          <w:sz w:val="24"/>
          <w:lang w:eastAsia="zh-CN"/>
        </w:rPr>
        <w:t>未知价</w:t>
      </w:r>
      <w:r w:rsidRPr="002C2B23">
        <w:rPr>
          <w:rFonts w:hint="eastAsia"/>
          <w:bCs/>
          <w:sz w:val="24"/>
          <w:lang w:eastAsia="zh-CN"/>
        </w:rPr>
        <w:t>”</w:t>
      </w:r>
      <w:r w:rsidRPr="002C2B23">
        <w:rPr>
          <w:bCs/>
          <w:sz w:val="24"/>
          <w:lang w:eastAsia="zh-CN"/>
        </w:rPr>
        <w:t>原则，即申购、赎回价格以申请当日收市后计算的各类基金份额净值为基准进行计算；</w:t>
      </w:r>
    </w:p>
    <w:p w14:paraId="3DB15082"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w:t>
      </w:r>
      <w:r w:rsidRPr="002C2B23">
        <w:rPr>
          <w:rFonts w:hint="eastAsia"/>
          <w:bCs/>
          <w:sz w:val="24"/>
          <w:lang w:eastAsia="zh-CN"/>
        </w:rPr>
        <w:t>“</w:t>
      </w:r>
      <w:r w:rsidRPr="002C2B23">
        <w:rPr>
          <w:bCs/>
          <w:sz w:val="24"/>
          <w:lang w:eastAsia="zh-CN"/>
        </w:rPr>
        <w:t>金额申购、份额赎回</w:t>
      </w:r>
      <w:r w:rsidRPr="002C2B23">
        <w:rPr>
          <w:rFonts w:hint="eastAsia"/>
          <w:bCs/>
          <w:sz w:val="24"/>
          <w:lang w:eastAsia="zh-CN"/>
        </w:rPr>
        <w:t>”</w:t>
      </w:r>
      <w:r w:rsidRPr="002C2B23">
        <w:rPr>
          <w:bCs/>
          <w:sz w:val="24"/>
          <w:lang w:eastAsia="zh-CN"/>
        </w:rPr>
        <w:t>原则，即申购以金额申请，赎回以份额申请；</w:t>
      </w:r>
    </w:p>
    <w:p w14:paraId="566A6570"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、当日的申购与赎回申请可以在基金管理人规定的时间以内撤销；</w:t>
      </w:r>
    </w:p>
    <w:p w14:paraId="4AC26E33" w14:textId="77777777" w:rsidR="005039DD" w:rsidRPr="002C2B23" w:rsidRDefault="0040620F">
      <w:pPr>
        <w:spacing w:line="360" w:lineRule="auto"/>
        <w:ind w:firstLine="480"/>
        <w:rPr>
          <w:bCs/>
          <w:sz w:val="24"/>
          <w:lang w:eastAsia="zh-CN"/>
        </w:rPr>
      </w:pPr>
      <w:r w:rsidRPr="002C2B23">
        <w:rPr>
          <w:bCs/>
          <w:sz w:val="24"/>
          <w:lang w:eastAsia="zh-CN"/>
        </w:rPr>
        <w:t>4</w:t>
      </w:r>
      <w:r w:rsidRPr="002C2B23">
        <w:rPr>
          <w:bCs/>
          <w:sz w:val="24"/>
          <w:lang w:eastAsia="zh-CN"/>
        </w:rPr>
        <w:t>、赎回遵循</w:t>
      </w:r>
      <w:r w:rsidRPr="002C2B23">
        <w:rPr>
          <w:rFonts w:hint="eastAsia"/>
          <w:bCs/>
          <w:sz w:val="24"/>
          <w:lang w:eastAsia="zh-CN"/>
        </w:rPr>
        <w:t>“</w:t>
      </w:r>
      <w:r w:rsidRPr="002C2B23">
        <w:rPr>
          <w:bCs/>
          <w:sz w:val="24"/>
          <w:lang w:eastAsia="zh-CN"/>
        </w:rPr>
        <w:t>先进先出</w:t>
      </w:r>
      <w:r w:rsidRPr="002C2B23">
        <w:rPr>
          <w:rFonts w:hint="eastAsia"/>
          <w:bCs/>
          <w:sz w:val="24"/>
          <w:lang w:eastAsia="zh-CN"/>
        </w:rPr>
        <w:t>”</w:t>
      </w:r>
      <w:r w:rsidRPr="002C2B23">
        <w:rPr>
          <w:bCs/>
          <w:sz w:val="24"/>
          <w:lang w:eastAsia="zh-CN"/>
        </w:rPr>
        <w:t>原则，即按照投资人认购、申购的先后次序进行顺序赎回；</w:t>
      </w:r>
    </w:p>
    <w:p w14:paraId="200A85AD" w14:textId="77777777" w:rsidR="005039DD" w:rsidRPr="002C2B23" w:rsidRDefault="0040620F">
      <w:pPr>
        <w:spacing w:line="360" w:lineRule="auto"/>
        <w:ind w:firstLine="480"/>
        <w:rPr>
          <w:sz w:val="24"/>
          <w:lang w:eastAsia="zh-CN"/>
        </w:rPr>
      </w:pPr>
      <w:r w:rsidRPr="002C2B23">
        <w:rPr>
          <w:bCs/>
          <w:sz w:val="24"/>
          <w:lang w:eastAsia="zh-CN"/>
        </w:rPr>
        <w:t>5</w:t>
      </w:r>
      <w:r w:rsidRPr="002C2B23">
        <w:rPr>
          <w:bCs/>
          <w:sz w:val="24"/>
          <w:lang w:eastAsia="zh-CN"/>
        </w:rPr>
        <w:t>、办理申购、赎回业务时，应当遵循基金份额持有人利益优先原则</w:t>
      </w:r>
      <w:r w:rsidRPr="002C2B23">
        <w:rPr>
          <w:sz w:val="24"/>
          <w:lang w:eastAsia="zh-CN"/>
        </w:rPr>
        <w:t>，确保投资者的合法权益不受损害并得到公平对待</w:t>
      </w:r>
      <w:r w:rsidRPr="002C2B23">
        <w:rPr>
          <w:bCs/>
          <w:sz w:val="24"/>
          <w:lang w:eastAsia="zh-CN"/>
        </w:rPr>
        <w:t>。</w:t>
      </w:r>
      <w:r w:rsidRPr="002C2B23">
        <w:rPr>
          <w:bCs/>
          <w:sz w:val="24"/>
          <w:lang w:eastAsia="zh-CN"/>
        </w:rPr>
        <w:t xml:space="preserve"> </w:t>
      </w:r>
    </w:p>
    <w:p w14:paraId="4EB70DF2" w14:textId="77777777" w:rsidR="005039DD" w:rsidRPr="002C2B23" w:rsidRDefault="0040620F">
      <w:pPr>
        <w:spacing w:line="360" w:lineRule="auto"/>
        <w:ind w:firstLine="480"/>
        <w:rPr>
          <w:bCs/>
          <w:sz w:val="24"/>
          <w:lang w:eastAsia="zh-CN"/>
        </w:rPr>
      </w:pPr>
      <w:r w:rsidRPr="002C2B23">
        <w:rPr>
          <w:bCs/>
          <w:sz w:val="24"/>
          <w:lang w:eastAsia="zh-CN"/>
        </w:rPr>
        <w:t>基金管理人可在法律法规允许的情况下，对上述原则进行调整。基金管理人必须在新规则开始实施前依照《信息披露办法》的有关规定在规定媒介上公告。</w:t>
      </w:r>
    </w:p>
    <w:p w14:paraId="5F9EDD6C" w14:textId="77777777" w:rsidR="005039DD" w:rsidRPr="002C2B23" w:rsidRDefault="005039DD">
      <w:pPr>
        <w:spacing w:line="360" w:lineRule="auto"/>
        <w:ind w:firstLine="480"/>
        <w:rPr>
          <w:bCs/>
          <w:lang w:eastAsia="zh-CN"/>
        </w:rPr>
      </w:pPr>
    </w:p>
    <w:p w14:paraId="6CA15046" w14:textId="77777777" w:rsidR="005039DD" w:rsidRPr="002C2B23" w:rsidRDefault="0040620F">
      <w:pPr>
        <w:spacing w:line="360" w:lineRule="auto"/>
        <w:ind w:firstLine="480"/>
        <w:rPr>
          <w:bCs/>
          <w:sz w:val="24"/>
          <w:lang w:eastAsia="zh-CN"/>
        </w:rPr>
      </w:pPr>
      <w:r w:rsidRPr="002C2B23">
        <w:rPr>
          <w:bCs/>
          <w:sz w:val="24"/>
          <w:lang w:eastAsia="zh-CN"/>
        </w:rPr>
        <w:t>四、申购与赎回的程序</w:t>
      </w:r>
    </w:p>
    <w:p w14:paraId="039177AF"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、申购和赎回的申请方式</w:t>
      </w:r>
    </w:p>
    <w:p w14:paraId="7EA91790" w14:textId="77777777" w:rsidR="005039DD" w:rsidRPr="002C2B23" w:rsidRDefault="0040620F">
      <w:pPr>
        <w:spacing w:line="360" w:lineRule="auto"/>
        <w:ind w:firstLine="480"/>
        <w:rPr>
          <w:bCs/>
          <w:sz w:val="24"/>
          <w:lang w:eastAsia="zh-CN"/>
        </w:rPr>
      </w:pPr>
      <w:r w:rsidRPr="002C2B23">
        <w:rPr>
          <w:bCs/>
          <w:sz w:val="24"/>
          <w:lang w:eastAsia="zh-CN"/>
        </w:rPr>
        <w:t>投资人必须根据销售机构规定的程序，在开放日的具体业务办理时间内提出申购或赎回的申请。</w:t>
      </w:r>
    </w:p>
    <w:p w14:paraId="37F9E8D9"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、申购和赎回的款项支付</w:t>
      </w:r>
    </w:p>
    <w:p w14:paraId="0966984A" w14:textId="77777777" w:rsidR="005039DD" w:rsidRPr="002C2B23" w:rsidRDefault="0040620F">
      <w:pPr>
        <w:spacing w:line="360" w:lineRule="auto"/>
        <w:ind w:firstLine="480"/>
        <w:rPr>
          <w:bCs/>
          <w:sz w:val="24"/>
          <w:lang w:eastAsia="zh-CN"/>
        </w:rPr>
      </w:pPr>
      <w:r w:rsidRPr="002C2B23">
        <w:rPr>
          <w:bCs/>
          <w:sz w:val="24"/>
          <w:lang w:val="zh-CN" w:eastAsia="zh-CN"/>
        </w:rPr>
        <w:t>投资人申购基金份额时，必须全额交付申购款项，投资人全额交付申购款项，申购成立；基金份额登记机构确认基金份额时，申购生效。</w:t>
      </w:r>
      <w:r w:rsidRPr="002C2B23">
        <w:rPr>
          <w:rFonts w:hint="eastAsia"/>
          <w:bCs/>
          <w:sz w:val="24"/>
          <w:lang w:val="zh-CN" w:eastAsia="zh-CN"/>
        </w:rPr>
        <w:t>若资金在规定时间内未全额到账则申购不成立，申购款项将退回投资人账户，基金管理人、基金托管人和销售机构等不承担由此产生的利息等任何损失。</w:t>
      </w:r>
    </w:p>
    <w:p w14:paraId="3FECFEFD" w14:textId="77777777" w:rsidR="005039DD" w:rsidRPr="002C2B23" w:rsidRDefault="0040620F">
      <w:pPr>
        <w:spacing w:line="360" w:lineRule="auto"/>
        <w:ind w:firstLine="480"/>
        <w:rPr>
          <w:bCs/>
          <w:sz w:val="24"/>
          <w:lang w:eastAsia="zh-CN"/>
        </w:rPr>
      </w:pPr>
      <w:r w:rsidRPr="002C2B23">
        <w:rPr>
          <w:bCs/>
          <w:sz w:val="24"/>
          <w:lang w:eastAsia="zh-CN"/>
        </w:rPr>
        <w:t>基金份额持有人递交赎回申请，赎回成立；基金份额登记机构确认赎回时，赎回生效。投资者赎回申请生效后，基金管理人将在</w:t>
      </w:r>
      <w:r w:rsidRPr="002C2B23">
        <w:rPr>
          <w:bCs/>
          <w:sz w:val="24"/>
          <w:lang w:eastAsia="zh-CN"/>
        </w:rPr>
        <w:t>T</w:t>
      </w:r>
      <w:r w:rsidRPr="002C2B23">
        <w:rPr>
          <w:bCs/>
          <w:sz w:val="24"/>
          <w:lang w:eastAsia="zh-CN"/>
        </w:rPr>
        <w:t>＋</w:t>
      </w:r>
      <w:r w:rsidRPr="002C2B23">
        <w:rPr>
          <w:bCs/>
          <w:sz w:val="24"/>
          <w:lang w:eastAsia="zh-CN"/>
        </w:rPr>
        <w:t>7</w:t>
      </w:r>
      <w:r w:rsidRPr="002C2B23">
        <w:rPr>
          <w:bCs/>
          <w:sz w:val="24"/>
          <w:lang w:eastAsia="zh-CN"/>
        </w:rPr>
        <w:t>日（包括该日）内支付赎回款项。在发生巨额赎回或基金合同约定的</w:t>
      </w:r>
      <w:r w:rsidRPr="002C2B23">
        <w:rPr>
          <w:rFonts w:hint="eastAsia"/>
          <w:bCs/>
          <w:sz w:val="24"/>
          <w:lang w:eastAsia="zh-CN"/>
        </w:rPr>
        <w:t>其他暂停赎回或</w:t>
      </w:r>
      <w:r w:rsidRPr="002C2B23">
        <w:rPr>
          <w:bCs/>
          <w:sz w:val="24"/>
          <w:lang w:eastAsia="zh-CN"/>
        </w:rPr>
        <w:t>延缓支付赎回款项的情形时，款项的支付办法参照本基金合同有关条款处理。</w:t>
      </w:r>
    </w:p>
    <w:p w14:paraId="01FEFAEB" w14:textId="77777777" w:rsidR="005039DD" w:rsidRPr="002C2B23" w:rsidRDefault="0040620F">
      <w:pPr>
        <w:spacing w:line="360" w:lineRule="auto"/>
        <w:ind w:firstLineChars="200" w:firstLine="480"/>
        <w:rPr>
          <w:bCs/>
          <w:sz w:val="24"/>
          <w:lang w:eastAsia="zh-CN"/>
        </w:rPr>
      </w:pPr>
      <w:r w:rsidRPr="002C2B23">
        <w:rPr>
          <w:bCs/>
          <w:sz w:val="24"/>
          <w:lang w:eastAsia="zh-CN"/>
        </w:rPr>
        <w:t>如遇</w:t>
      </w:r>
      <w:r w:rsidRPr="002C2B23">
        <w:rPr>
          <w:rFonts w:hint="eastAsia"/>
          <w:bCs/>
          <w:sz w:val="24"/>
          <w:lang w:eastAsia="zh-CN"/>
        </w:rPr>
        <w:t>证券、期货</w:t>
      </w:r>
      <w:r w:rsidRPr="002C2B23">
        <w:rPr>
          <w:bCs/>
          <w:sz w:val="24"/>
          <w:lang w:eastAsia="zh-CN"/>
        </w:rPr>
        <w:t>交易所或交易市场数据传输延迟、通讯系统故障、银行数据交换系统故障、港股</w:t>
      </w:r>
      <w:proofErr w:type="gramStart"/>
      <w:r w:rsidRPr="002C2B23">
        <w:rPr>
          <w:bCs/>
          <w:sz w:val="24"/>
          <w:lang w:eastAsia="zh-CN"/>
        </w:rPr>
        <w:t>通交易</w:t>
      </w:r>
      <w:proofErr w:type="gramEnd"/>
      <w:r w:rsidRPr="002C2B23">
        <w:rPr>
          <w:bCs/>
          <w:sz w:val="24"/>
          <w:lang w:eastAsia="zh-CN"/>
        </w:rPr>
        <w:t>系统或港股</w:t>
      </w:r>
      <w:proofErr w:type="gramStart"/>
      <w:r w:rsidRPr="002C2B23">
        <w:rPr>
          <w:bCs/>
          <w:sz w:val="24"/>
          <w:lang w:eastAsia="zh-CN"/>
        </w:rPr>
        <w:t>通资金</w:t>
      </w:r>
      <w:proofErr w:type="gramEnd"/>
      <w:r w:rsidRPr="002C2B23">
        <w:rPr>
          <w:bCs/>
          <w:sz w:val="24"/>
          <w:lang w:eastAsia="zh-CN"/>
        </w:rPr>
        <w:t>交收规则限制或其他</w:t>
      </w:r>
      <w:proofErr w:type="gramStart"/>
      <w:r w:rsidRPr="002C2B23">
        <w:rPr>
          <w:bCs/>
          <w:sz w:val="24"/>
          <w:lang w:eastAsia="zh-CN"/>
        </w:rPr>
        <w:t>非基金</w:t>
      </w:r>
      <w:proofErr w:type="gramEnd"/>
      <w:r w:rsidRPr="002C2B23">
        <w:rPr>
          <w:bCs/>
          <w:sz w:val="24"/>
          <w:lang w:eastAsia="zh-CN"/>
        </w:rPr>
        <w:t>管理人及基金托管人所能控制的因素影响了业务流程，则赎回款项划付时间相应顺延至该因素消除的最近一个工作日。</w:t>
      </w:r>
      <w:r w:rsidRPr="002C2B23">
        <w:rPr>
          <w:rFonts w:hint="eastAsia"/>
          <w:bCs/>
          <w:sz w:val="24"/>
          <w:lang w:eastAsia="zh-CN"/>
        </w:rPr>
        <w:t>在发生巨额赎回或本基金合同载明的其他暂停赎回或延缓支付赎回款项的情形时，款项的支付办法参照本基金合同有关条款处理。</w:t>
      </w:r>
    </w:p>
    <w:p w14:paraId="2DECB608" w14:textId="77777777" w:rsidR="005039DD" w:rsidRPr="002C2B23" w:rsidRDefault="0040620F">
      <w:pPr>
        <w:spacing w:line="360" w:lineRule="auto"/>
        <w:ind w:firstLine="480"/>
        <w:rPr>
          <w:bCs/>
          <w:sz w:val="24"/>
          <w:lang w:eastAsia="zh-CN"/>
        </w:rPr>
      </w:pPr>
      <w:r w:rsidRPr="002C2B23">
        <w:rPr>
          <w:rFonts w:hint="eastAsia"/>
          <w:bCs/>
          <w:sz w:val="24"/>
          <w:lang w:eastAsia="zh-CN"/>
        </w:rPr>
        <w:t>基金管理人可以在法律法规和基金合同允许的范围内，对上述业务办理时间进行调整，基金管理人依照《信息披露办法》的有关规定在规定媒介上公告。</w:t>
      </w:r>
    </w:p>
    <w:p w14:paraId="6D100E46"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、申购和赎回申请的确认</w:t>
      </w:r>
    </w:p>
    <w:p w14:paraId="1C007B35" w14:textId="52061180" w:rsidR="005039DD" w:rsidRPr="002C2B23" w:rsidRDefault="0040620F">
      <w:pPr>
        <w:spacing w:line="360" w:lineRule="auto"/>
        <w:ind w:firstLine="480"/>
        <w:rPr>
          <w:bCs/>
          <w:sz w:val="24"/>
          <w:lang w:eastAsia="zh-CN"/>
        </w:rPr>
      </w:pPr>
      <w:r w:rsidRPr="002C2B23">
        <w:rPr>
          <w:bCs/>
          <w:sz w:val="24"/>
          <w:lang w:eastAsia="zh-CN"/>
        </w:rPr>
        <w:t>基金管理人应以交易时间结束前受理有效申购和赎回申请的当天作为申购或赎回申请日（</w:t>
      </w:r>
      <w:r w:rsidRPr="002C2B23">
        <w:rPr>
          <w:bCs/>
          <w:sz w:val="24"/>
          <w:lang w:eastAsia="zh-CN"/>
        </w:rPr>
        <w:t>T</w:t>
      </w:r>
      <w:r w:rsidRPr="002C2B23">
        <w:rPr>
          <w:bCs/>
          <w:sz w:val="24"/>
          <w:lang w:eastAsia="zh-CN"/>
        </w:rPr>
        <w:t>日），在正常情况下，本基金登记机构在</w:t>
      </w:r>
      <w:r w:rsidRPr="002C2B23">
        <w:rPr>
          <w:bCs/>
          <w:sz w:val="24"/>
          <w:lang w:eastAsia="zh-CN"/>
        </w:rPr>
        <w:t>T+1</w:t>
      </w:r>
      <w:r w:rsidRPr="002C2B23">
        <w:rPr>
          <w:bCs/>
          <w:sz w:val="24"/>
          <w:lang w:eastAsia="zh-CN"/>
        </w:rPr>
        <w:t>日内对该交易的有效性进行确认。</w:t>
      </w:r>
      <w:r w:rsidRPr="002C2B23">
        <w:rPr>
          <w:bCs/>
          <w:sz w:val="24"/>
          <w:lang w:eastAsia="zh-CN"/>
        </w:rPr>
        <w:t>T</w:t>
      </w:r>
      <w:r w:rsidRPr="002C2B23">
        <w:rPr>
          <w:bCs/>
          <w:sz w:val="24"/>
          <w:lang w:eastAsia="zh-CN"/>
        </w:rPr>
        <w:t>日提交的有效申请，投资人应在</w:t>
      </w:r>
      <w:r w:rsidRPr="002C2B23">
        <w:rPr>
          <w:bCs/>
          <w:sz w:val="24"/>
          <w:lang w:eastAsia="zh-CN"/>
        </w:rPr>
        <w:t>T+2</w:t>
      </w:r>
      <w:r w:rsidRPr="002C2B23">
        <w:rPr>
          <w:bCs/>
          <w:sz w:val="24"/>
          <w:lang w:eastAsia="zh-CN"/>
        </w:rPr>
        <w:t>日后（包括该日）及时到销售网点柜台或以销售机构规定的其他方式查询申请的确认情况。若申购不成立或无效，则申购款项退还给投资人。</w:t>
      </w:r>
    </w:p>
    <w:p w14:paraId="598369C2" w14:textId="77777777" w:rsidR="005039DD" w:rsidRPr="002C2B23" w:rsidRDefault="0040620F">
      <w:pPr>
        <w:spacing w:line="360" w:lineRule="auto"/>
        <w:ind w:firstLine="480"/>
        <w:rPr>
          <w:bCs/>
          <w:sz w:val="24"/>
          <w:lang w:eastAsia="zh-CN"/>
        </w:rPr>
      </w:pPr>
      <w:r w:rsidRPr="002C2B23">
        <w:rPr>
          <w:bCs/>
          <w:sz w:val="24"/>
          <w:lang w:eastAsia="zh-CN"/>
        </w:rPr>
        <w:t>基金销售机构对申购、赎回申请的受理并不代表申请一定成功，而仅代表销售机构确实接收到申请。申购、赎回申请的确认以登记机构的确认结果为准。对于申请的确认情况，投资者应及时查询。</w:t>
      </w:r>
    </w:p>
    <w:p w14:paraId="217D1896" w14:textId="77777777" w:rsidR="005039DD" w:rsidRPr="002C2B23" w:rsidRDefault="0040620F">
      <w:pPr>
        <w:spacing w:line="360" w:lineRule="auto"/>
        <w:ind w:firstLine="480"/>
        <w:rPr>
          <w:bCs/>
          <w:sz w:val="24"/>
          <w:lang w:eastAsia="zh-CN"/>
        </w:rPr>
      </w:pPr>
      <w:r w:rsidRPr="002C2B23">
        <w:rPr>
          <w:bCs/>
          <w:sz w:val="24"/>
          <w:lang w:eastAsia="zh-CN"/>
        </w:rPr>
        <w:t>基金管理人可以在法律法规和基金合同允许的范围内，对上述业务办理时间进行调整，并在调整实施前依照《信息披露办法》的有关规定在规定媒介上公告。</w:t>
      </w:r>
    </w:p>
    <w:p w14:paraId="5724F58D" w14:textId="77777777" w:rsidR="005039DD" w:rsidRPr="002C2B23" w:rsidRDefault="005039DD">
      <w:pPr>
        <w:spacing w:line="360" w:lineRule="auto"/>
        <w:ind w:firstLine="480"/>
        <w:rPr>
          <w:bCs/>
          <w:sz w:val="24"/>
          <w:lang w:eastAsia="zh-CN"/>
        </w:rPr>
      </w:pPr>
    </w:p>
    <w:p w14:paraId="3FED11DE" w14:textId="77777777" w:rsidR="005039DD" w:rsidRPr="002C2B23" w:rsidRDefault="0040620F">
      <w:pPr>
        <w:spacing w:line="360" w:lineRule="auto"/>
        <w:ind w:firstLine="480"/>
        <w:rPr>
          <w:bCs/>
          <w:sz w:val="24"/>
          <w:lang w:eastAsia="zh-CN"/>
        </w:rPr>
      </w:pPr>
      <w:r w:rsidRPr="002C2B23">
        <w:rPr>
          <w:bCs/>
          <w:sz w:val="24"/>
          <w:lang w:eastAsia="zh-CN"/>
        </w:rPr>
        <w:t>五、申购和赎回的数量限制</w:t>
      </w:r>
    </w:p>
    <w:p w14:paraId="04D33DDB"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、基金管理人可以规定投资人首次申购和每次申购的最低金额以及每次赎回的最低份额，具体规定请参见招募说明书或相关公告。</w:t>
      </w:r>
    </w:p>
    <w:p w14:paraId="36F8A39F"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、基金管理人可以规定投资人每个基金交易账户的最低基金份额余额，具体规定请参见招募说明书或相关公告。</w:t>
      </w:r>
    </w:p>
    <w:p w14:paraId="7BA9D2EA"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、基金管理人可以规定单个投资人累计持有的基金份额上限，具体规定请参见招募说明书或相关公告。</w:t>
      </w:r>
    </w:p>
    <w:p w14:paraId="3D0D5823" w14:textId="77777777" w:rsidR="005039DD" w:rsidRPr="002C2B23" w:rsidRDefault="0040620F">
      <w:pPr>
        <w:spacing w:line="360" w:lineRule="auto"/>
        <w:ind w:firstLine="480"/>
        <w:rPr>
          <w:sz w:val="24"/>
          <w:lang w:eastAsia="zh-CN"/>
        </w:rPr>
      </w:pPr>
      <w:r w:rsidRPr="002C2B23">
        <w:rPr>
          <w:bCs/>
          <w:sz w:val="24"/>
          <w:lang w:eastAsia="zh-CN"/>
        </w:rPr>
        <w:t>4</w:t>
      </w:r>
      <w:r w:rsidRPr="002C2B23">
        <w:rPr>
          <w:bCs/>
          <w:sz w:val="24"/>
          <w:lang w:eastAsia="zh-CN"/>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w:t>
      </w:r>
      <w:bookmarkStart w:id="127" w:name="_Hlk39668784"/>
      <w:proofErr w:type="gramStart"/>
      <w:r w:rsidRPr="002C2B23">
        <w:rPr>
          <w:bCs/>
          <w:sz w:val="24"/>
          <w:lang w:eastAsia="zh-CN"/>
        </w:rPr>
        <w:t>见基金</w:t>
      </w:r>
      <w:proofErr w:type="gramEnd"/>
      <w:r w:rsidRPr="002C2B23">
        <w:rPr>
          <w:bCs/>
          <w:sz w:val="24"/>
          <w:lang w:eastAsia="zh-CN"/>
        </w:rPr>
        <w:t>管理人相关</w:t>
      </w:r>
      <w:bookmarkEnd w:id="127"/>
      <w:r w:rsidRPr="002C2B23">
        <w:rPr>
          <w:bCs/>
          <w:sz w:val="24"/>
          <w:lang w:eastAsia="zh-CN"/>
        </w:rPr>
        <w:t>公告。</w:t>
      </w:r>
    </w:p>
    <w:p w14:paraId="43FB1DBE" w14:textId="77777777" w:rsidR="005039DD" w:rsidRPr="002C2B23" w:rsidRDefault="0040620F">
      <w:pPr>
        <w:spacing w:line="360" w:lineRule="auto"/>
        <w:ind w:firstLine="480"/>
        <w:rPr>
          <w:bCs/>
          <w:sz w:val="24"/>
          <w:lang w:eastAsia="zh-CN"/>
        </w:rPr>
      </w:pPr>
      <w:r w:rsidRPr="002C2B23">
        <w:rPr>
          <w:bCs/>
          <w:sz w:val="24"/>
          <w:lang w:eastAsia="zh-CN"/>
        </w:rPr>
        <w:t>5</w:t>
      </w:r>
      <w:r w:rsidRPr="002C2B23">
        <w:rPr>
          <w:bCs/>
          <w:sz w:val="24"/>
          <w:lang w:eastAsia="zh-CN"/>
        </w:rPr>
        <w:t>、基金管理人可在法律法规允许的情况下，调整上述规定申购金额和赎回份额的数量限制。基金管理人必须在调整实施前依照《信息披露办法》的有关规定在规定媒介上公告。</w:t>
      </w:r>
    </w:p>
    <w:p w14:paraId="13B0D280" w14:textId="77777777" w:rsidR="005039DD" w:rsidRPr="002C2B23" w:rsidRDefault="005039DD">
      <w:pPr>
        <w:spacing w:line="360" w:lineRule="auto"/>
        <w:ind w:firstLine="480"/>
        <w:rPr>
          <w:bCs/>
          <w:sz w:val="24"/>
          <w:lang w:eastAsia="zh-CN"/>
        </w:rPr>
      </w:pPr>
    </w:p>
    <w:p w14:paraId="01882F20" w14:textId="77777777" w:rsidR="005039DD" w:rsidRPr="002C2B23" w:rsidRDefault="0040620F">
      <w:pPr>
        <w:spacing w:line="360" w:lineRule="auto"/>
        <w:ind w:firstLine="480"/>
        <w:rPr>
          <w:bCs/>
          <w:sz w:val="24"/>
          <w:lang w:eastAsia="zh-CN"/>
        </w:rPr>
      </w:pPr>
      <w:r w:rsidRPr="002C2B23">
        <w:rPr>
          <w:bCs/>
          <w:sz w:val="24"/>
          <w:lang w:eastAsia="zh-CN"/>
        </w:rPr>
        <w:t>六、申购和赎回的价格、费用及其用途</w:t>
      </w:r>
    </w:p>
    <w:p w14:paraId="6084A20F"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、本基金</w:t>
      </w:r>
      <w:r w:rsidRPr="002C2B23">
        <w:rPr>
          <w:bCs/>
          <w:sz w:val="24"/>
          <w:lang w:eastAsia="zh-CN"/>
        </w:rPr>
        <w:t>A</w:t>
      </w:r>
      <w:r w:rsidRPr="002C2B23">
        <w:rPr>
          <w:bCs/>
          <w:sz w:val="24"/>
          <w:lang w:eastAsia="zh-CN"/>
        </w:rPr>
        <w:t>类基金份额和</w:t>
      </w:r>
      <w:r w:rsidRPr="002C2B23">
        <w:rPr>
          <w:bCs/>
          <w:sz w:val="24"/>
          <w:lang w:eastAsia="zh-CN"/>
        </w:rPr>
        <w:t>C</w:t>
      </w:r>
      <w:r w:rsidRPr="002C2B23">
        <w:rPr>
          <w:bCs/>
          <w:sz w:val="24"/>
          <w:lang w:eastAsia="zh-CN"/>
        </w:rPr>
        <w:t>类基金份额分别设置代码，分别计算和公告各类基金份额净值和各类基金份额累计净值。本基金各类基金份额净值的计算，均保留到小数点后</w:t>
      </w:r>
      <w:r w:rsidRPr="002C2B23">
        <w:rPr>
          <w:bCs/>
          <w:sz w:val="24"/>
          <w:lang w:eastAsia="zh-CN"/>
        </w:rPr>
        <w:t>4</w:t>
      </w:r>
      <w:r w:rsidRPr="002C2B23">
        <w:rPr>
          <w:bCs/>
          <w:sz w:val="24"/>
          <w:lang w:eastAsia="zh-CN"/>
        </w:rPr>
        <w:t>位，小数点后第</w:t>
      </w:r>
      <w:r w:rsidRPr="002C2B23">
        <w:rPr>
          <w:bCs/>
          <w:sz w:val="24"/>
          <w:lang w:eastAsia="zh-CN"/>
        </w:rPr>
        <w:t>5</w:t>
      </w:r>
      <w:r w:rsidRPr="002C2B23">
        <w:rPr>
          <w:bCs/>
          <w:sz w:val="24"/>
          <w:lang w:eastAsia="zh-CN"/>
        </w:rPr>
        <w:t>位四舍五入，由此产生的收益或损失由基金财产承担。</w:t>
      </w:r>
      <w:r w:rsidRPr="002C2B23">
        <w:rPr>
          <w:bCs/>
          <w:sz w:val="24"/>
          <w:lang w:eastAsia="zh-CN"/>
        </w:rPr>
        <w:t>T</w:t>
      </w:r>
      <w:r w:rsidRPr="002C2B23">
        <w:rPr>
          <w:bCs/>
          <w:sz w:val="24"/>
          <w:lang w:eastAsia="zh-CN"/>
        </w:rPr>
        <w:t>日的各类基金份额净值在当天收市后计算，并</w:t>
      </w:r>
      <w:r w:rsidRPr="002C2B23">
        <w:rPr>
          <w:rFonts w:hint="eastAsia"/>
          <w:bCs/>
          <w:sz w:val="24"/>
          <w:lang w:eastAsia="zh-CN"/>
        </w:rPr>
        <w:t>按照基金合同约定</w:t>
      </w:r>
      <w:r w:rsidRPr="002C2B23">
        <w:rPr>
          <w:bCs/>
          <w:sz w:val="24"/>
          <w:lang w:eastAsia="zh-CN"/>
        </w:rPr>
        <w:t>公告。遇特殊情况，</w:t>
      </w:r>
      <w:r w:rsidRPr="002C2B23">
        <w:rPr>
          <w:sz w:val="24"/>
          <w:lang w:eastAsia="zh-CN"/>
        </w:rPr>
        <w:t>经履行适当程序</w:t>
      </w:r>
      <w:r w:rsidRPr="002C2B23">
        <w:rPr>
          <w:bCs/>
          <w:sz w:val="24"/>
          <w:lang w:eastAsia="zh-CN"/>
        </w:rPr>
        <w:t>，可以适当延迟计算或公告。</w:t>
      </w:r>
    </w:p>
    <w:p w14:paraId="5B4A0592"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、申购份额的计算及余额的处理方式：本基金申购份额的计算详见《招募说明书》。本基金</w:t>
      </w:r>
      <w:r w:rsidRPr="002C2B23">
        <w:rPr>
          <w:bCs/>
          <w:sz w:val="24"/>
          <w:lang w:eastAsia="zh-CN"/>
        </w:rPr>
        <w:t>A</w:t>
      </w:r>
      <w:r w:rsidRPr="002C2B23">
        <w:rPr>
          <w:bCs/>
          <w:sz w:val="24"/>
          <w:lang w:eastAsia="zh-CN"/>
        </w:rPr>
        <w:t>类基金份额的申购费率由基金管理人决定，并在招募说明书及基金产品资料概要中列示。申购的有效份额为净申购金额除以当日的该类基金份额净值，有效份额单位为份，上述计算结果均按四舍五入方法，保留到小数点后</w:t>
      </w:r>
      <w:r w:rsidRPr="002C2B23">
        <w:rPr>
          <w:bCs/>
          <w:sz w:val="24"/>
          <w:lang w:eastAsia="zh-CN"/>
        </w:rPr>
        <w:t>2</w:t>
      </w:r>
      <w:r w:rsidRPr="002C2B23">
        <w:rPr>
          <w:bCs/>
          <w:sz w:val="24"/>
          <w:lang w:eastAsia="zh-CN"/>
        </w:rPr>
        <w:t>位，由此产生的收益或损失由基金财产承担。</w:t>
      </w:r>
    </w:p>
    <w:p w14:paraId="41C49B77"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赎回金额的计算及处理方式：本基金赎回金额的计算详见《招募说明书》。本基金的赎回费率由基金管理人决定，并在招募说明书及基金产品资料概要中列示。赎回金额为按实际确认的有效赎回份额乘以当日该类基金份额净值并扣除相应的费用，赎回金额单位为元。上述计算结果均按四舍五入方法，保留到小数点后</w:t>
      </w:r>
      <w:r w:rsidRPr="002C2B23">
        <w:rPr>
          <w:bCs/>
          <w:sz w:val="24"/>
          <w:lang w:eastAsia="zh-CN"/>
        </w:rPr>
        <w:t>2</w:t>
      </w:r>
      <w:r w:rsidRPr="002C2B23">
        <w:rPr>
          <w:bCs/>
          <w:sz w:val="24"/>
          <w:lang w:eastAsia="zh-CN"/>
        </w:rPr>
        <w:t>位，由此产生的收益或损失由基金财产承担。</w:t>
      </w:r>
    </w:p>
    <w:p w14:paraId="2E8CED83" w14:textId="77777777" w:rsidR="005039DD" w:rsidRPr="002C2B23" w:rsidRDefault="0040620F">
      <w:pPr>
        <w:spacing w:line="360" w:lineRule="auto"/>
        <w:ind w:firstLine="480"/>
        <w:rPr>
          <w:bCs/>
          <w:sz w:val="24"/>
          <w:lang w:eastAsia="zh-CN"/>
        </w:rPr>
      </w:pPr>
      <w:r w:rsidRPr="002C2B23">
        <w:rPr>
          <w:bCs/>
          <w:sz w:val="24"/>
          <w:lang w:eastAsia="zh-CN"/>
        </w:rPr>
        <w:t>4</w:t>
      </w:r>
      <w:r w:rsidRPr="002C2B23">
        <w:rPr>
          <w:bCs/>
          <w:sz w:val="24"/>
          <w:lang w:eastAsia="zh-CN"/>
        </w:rPr>
        <w:t>、</w:t>
      </w:r>
      <w:r w:rsidRPr="002C2B23">
        <w:rPr>
          <w:bCs/>
          <w:sz w:val="24"/>
          <w:lang w:eastAsia="zh-CN"/>
        </w:rPr>
        <w:t>A</w:t>
      </w:r>
      <w:r w:rsidRPr="002C2B23">
        <w:rPr>
          <w:bCs/>
          <w:sz w:val="24"/>
          <w:lang w:eastAsia="zh-CN"/>
        </w:rPr>
        <w:t>类基金份额申购费用由投资人承担，不列入基金财产。</w:t>
      </w:r>
    </w:p>
    <w:p w14:paraId="6F8086CA" w14:textId="5143804D" w:rsidR="005039DD" w:rsidRPr="002C2B23" w:rsidRDefault="0040620F">
      <w:pPr>
        <w:spacing w:line="360" w:lineRule="auto"/>
        <w:ind w:firstLine="480"/>
        <w:rPr>
          <w:bCs/>
          <w:sz w:val="24"/>
          <w:lang w:eastAsia="zh-CN"/>
        </w:rPr>
      </w:pPr>
      <w:r w:rsidRPr="002C2B23">
        <w:rPr>
          <w:bCs/>
          <w:sz w:val="24"/>
          <w:lang w:eastAsia="zh-CN"/>
        </w:rPr>
        <w:t>5</w:t>
      </w:r>
      <w:r w:rsidRPr="002C2B23">
        <w:rPr>
          <w:bCs/>
          <w:sz w:val="24"/>
          <w:lang w:eastAsia="zh-CN"/>
        </w:rPr>
        <w:t>、赎回费用由赎回基金份额的基金份额持有人承担，在基金份额持有人赎回基金份额时收取。对投资者收取的赎回费全额计入基金财产。</w:t>
      </w:r>
    </w:p>
    <w:p w14:paraId="30BFE92C" w14:textId="77777777" w:rsidR="005039DD" w:rsidRPr="002C2B23" w:rsidRDefault="0040620F">
      <w:pPr>
        <w:spacing w:line="360" w:lineRule="auto"/>
        <w:ind w:firstLine="480"/>
        <w:rPr>
          <w:bCs/>
          <w:sz w:val="24"/>
          <w:lang w:eastAsia="zh-CN"/>
        </w:rPr>
      </w:pPr>
      <w:r w:rsidRPr="002C2B23">
        <w:rPr>
          <w:bCs/>
          <w:sz w:val="24"/>
          <w:lang w:eastAsia="zh-CN"/>
        </w:rPr>
        <w:t>6</w:t>
      </w:r>
      <w:r w:rsidRPr="002C2B23">
        <w:rPr>
          <w:bCs/>
          <w:sz w:val="24"/>
          <w:lang w:eastAsia="zh-CN"/>
        </w:rPr>
        <w:t>、本基金</w:t>
      </w:r>
      <w:r w:rsidRPr="002C2B23">
        <w:rPr>
          <w:bCs/>
          <w:sz w:val="24"/>
          <w:lang w:eastAsia="zh-CN"/>
        </w:rPr>
        <w:t>A</w:t>
      </w:r>
      <w:r w:rsidRPr="002C2B23">
        <w:rPr>
          <w:bCs/>
          <w:sz w:val="24"/>
          <w:lang w:eastAsia="zh-CN"/>
        </w:rPr>
        <w:t>类基金份额收取申购费用，</w:t>
      </w:r>
      <w:r w:rsidRPr="002C2B23">
        <w:rPr>
          <w:bCs/>
          <w:sz w:val="24"/>
          <w:lang w:eastAsia="zh-CN"/>
        </w:rPr>
        <w:t>C</w:t>
      </w:r>
      <w:r w:rsidRPr="002C2B23">
        <w:rPr>
          <w:bCs/>
          <w:sz w:val="24"/>
          <w:lang w:eastAsia="zh-CN"/>
        </w:rPr>
        <w:t>类基金份额不收取申购费用。本基金的申购费率、申购份额具体的计算方法、赎回费率、赎回金额具体的计算方法和收费方式由基金管理人根据基金合同的规定确定，并在招募说明书中列示。基金管理人可以在基金合同约定的范围内调整费率或收费方式，并最迟应于新的费率或收费方式实施日前依照《信息披露办法》的有关规定在规定媒介上公告。</w:t>
      </w:r>
    </w:p>
    <w:p w14:paraId="4D610524" w14:textId="259DF173" w:rsidR="005039DD" w:rsidRPr="002C2B23" w:rsidRDefault="0040620F">
      <w:pPr>
        <w:spacing w:line="360" w:lineRule="auto"/>
        <w:ind w:firstLine="480"/>
        <w:rPr>
          <w:bCs/>
          <w:sz w:val="24"/>
          <w:lang w:eastAsia="zh-CN"/>
        </w:rPr>
      </w:pPr>
      <w:r w:rsidRPr="002C2B23">
        <w:rPr>
          <w:bCs/>
          <w:sz w:val="24"/>
          <w:lang w:eastAsia="zh-CN"/>
        </w:rPr>
        <w:t>7</w:t>
      </w:r>
      <w:r w:rsidRPr="002C2B23">
        <w:rPr>
          <w:bCs/>
          <w:sz w:val="24"/>
          <w:lang w:eastAsia="zh-CN"/>
        </w:rPr>
        <w:t>、基金管理人可以在不违反法律法规规定及基金合同约定的情形下，且对基金份额持有人利益无实质性不利影响的前提下，根据市场情况制定基金促销计划，定期</w:t>
      </w:r>
      <w:r w:rsidRPr="002C2B23">
        <w:rPr>
          <w:rFonts w:hint="eastAsia"/>
          <w:bCs/>
          <w:sz w:val="24"/>
          <w:lang w:eastAsia="zh-CN"/>
        </w:rPr>
        <w:t>或</w:t>
      </w:r>
      <w:r w:rsidRPr="002C2B23">
        <w:rPr>
          <w:bCs/>
          <w:sz w:val="24"/>
          <w:lang w:eastAsia="zh-CN"/>
        </w:rPr>
        <w:t>不定期地开展基金促销活动。在基金促销活动期间，按相关监管部门要求履行必要手续后，基金管理人可以适当调低基金</w:t>
      </w:r>
      <w:r w:rsidRPr="002C2B23">
        <w:rPr>
          <w:rFonts w:hint="eastAsia"/>
          <w:bCs/>
          <w:sz w:val="24"/>
          <w:lang w:eastAsia="zh-CN"/>
        </w:rPr>
        <w:t>销售费率</w:t>
      </w:r>
      <w:r w:rsidRPr="002C2B23">
        <w:rPr>
          <w:bCs/>
          <w:sz w:val="24"/>
          <w:lang w:eastAsia="zh-CN"/>
        </w:rPr>
        <w:t>。</w:t>
      </w:r>
    </w:p>
    <w:p w14:paraId="1E0F0CD9" w14:textId="77777777" w:rsidR="005039DD" w:rsidRPr="002C2B23" w:rsidRDefault="0040620F">
      <w:pPr>
        <w:spacing w:line="360" w:lineRule="auto"/>
        <w:ind w:firstLine="480"/>
        <w:rPr>
          <w:rFonts w:ascii="宋体" w:hAnsi="宋体"/>
          <w:sz w:val="24"/>
          <w:lang w:eastAsia="zh-CN"/>
        </w:rPr>
      </w:pPr>
      <w:r w:rsidRPr="002C2B23">
        <w:rPr>
          <w:rFonts w:ascii="宋体" w:hAnsi="宋体"/>
          <w:bCs/>
          <w:sz w:val="24"/>
          <w:lang w:eastAsia="zh-CN"/>
        </w:rPr>
        <w:t>8</w:t>
      </w:r>
      <w:r w:rsidRPr="002C2B23">
        <w:rPr>
          <w:rFonts w:ascii="宋体" w:hAnsi="宋体"/>
          <w:sz w:val="24"/>
          <w:lang w:eastAsia="zh-CN"/>
        </w:rPr>
        <w:t>、当本基金发生大额申购或赎回情形时，基金管理人可以采用摆动定价机制，以确保基金估值的公平性。具体处理原则与操作规范遵循相关法律法规以及监管部门、自律规则的规定。</w:t>
      </w:r>
    </w:p>
    <w:p w14:paraId="426CA158" w14:textId="77777777" w:rsidR="005039DD" w:rsidRPr="002C2B23" w:rsidRDefault="005039DD">
      <w:pPr>
        <w:spacing w:line="360" w:lineRule="auto"/>
        <w:ind w:firstLine="480"/>
        <w:rPr>
          <w:bCs/>
          <w:sz w:val="24"/>
          <w:lang w:eastAsia="zh-CN"/>
        </w:rPr>
      </w:pPr>
    </w:p>
    <w:p w14:paraId="5C7695DE" w14:textId="77777777" w:rsidR="005039DD" w:rsidRPr="002C2B23" w:rsidRDefault="0040620F">
      <w:pPr>
        <w:spacing w:line="360" w:lineRule="auto"/>
        <w:ind w:firstLine="480"/>
        <w:rPr>
          <w:bCs/>
          <w:sz w:val="24"/>
          <w:lang w:eastAsia="zh-CN"/>
        </w:rPr>
      </w:pPr>
      <w:r w:rsidRPr="002C2B23">
        <w:rPr>
          <w:bCs/>
          <w:sz w:val="24"/>
          <w:lang w:eastAsia="zh-CN"/>
        </w:rPr>
        <w:t>七、拒绝或暂停申购的情形</w:t>
      </w:r>
    </w:p>
    <w:p w14:paraId="4C604AE0" w14:textId="77777777" w:rsidR="005039DD" w:rsidRPr="002C2B23" w:rsidRDefault="0040620F">
      <w:pPr>
        <w:spacing w:line="360" w:lineRule="auto"/>
        <w:ind w:firstLine="480"/>
        <w:rPr>
          <w:bCs/>
          <w:sz w:val="24"/>
          <w:lang w:eastAsia="zh-CN"/>
        </w:rPr>
      </w:pPr>
      <w:r w:rsidRPr="002C2B23">
        <w:rPr>
          <w:bCs/>
          <w:sz w:val="24"/>
          <w:lang w:eastAsia="zh-CN"/>
        </w:rPr>
        <w:t>发生下列情况时，基金管理人可拒绝或暂停接受投资人的申购申请：</w:t>
      </w:r>
    </w:p>
    <w:p w14:paraId="25255C6D"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、因不可抗力导致基金无法正常运作。</w:t>
      </w:r>
    </w:p>
    <w:p w14:paraId="25578E67"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、发生基金合同规定的暂停基金资产估值情况。</w:t>
      </w:r>
    </w:p>
    <w:p w14:paraId="2AFEBFDD"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、证券、期货交易所或外汇市场交易时间非正常停市，导致基金管理人无法计算当日基金资产净值。</w:t>
      </w:r>
    </w:p>
    <w:p w14:paraId="0A134ED7" w14:textId="77777777" w:rsidR="005039DD" w:rsidRPr="002C2B23" w:rsidRDefault="0040620F">
      <w:pPr>
        <w:spacing w:line="360" w:lineRule="auto"/>
        <w:ind w:firstLine="480"/>
        <w:rPr>
          <w:bCs/>
          <w:sz w:val="24"/>
          <w:lang w:eastAsia="zh-CN"/>
        </w:rPr>
      </w:pPr>
      <w:bookmarkStart w:id="128" w:name="_Hlt70481650"/>
      <w:bookmarkEnd w:id="128"/>
      <w:r w:rsidRPr="002C2B23">
        <w:rPr>
          <w:bCs/>
          <w:sz w:val="24"/>
          <w:lang w:eastAsia="zh-CN"/>
        </w:rPr>
        <w:t>4</w:t>
      </w:r>
      <w:r w:rsidRPr="002C2B23">
        <w:rPr>
          <w:bCs/>
          <w:sz w:val="24"/>
          <w:lang w:eastAsia="zh-CN"/>
        </w:rPr>
        <w:t>、接受某笔或某些申购申请可能会影响或损害现有基金份额持有人利益或对存量基金份额持有人利益构成潜在重大不利影响。</w:t>
      </w:r>
    </w:p>
    <w:p w14:paraId="21C44182" w14:textId="77777777" w:rsidR="005039DD" w:rsidRPr="002C2B23" w:rsidRDefault="0040620F">
      <w:pPr>
        <w:spacing w:line="360" w:lineRule="auto"/>
        <w:ind w:firstLine="480"/>
        <w:rPr>
          <w:bCs/>
          <w:sz w:val="24"/>
          <w:lang w:eastAsia="zh-CN"/>
        </w:rPr>
      </w:pPr>
      <w:r w:rsidRPr="002C2B23">
        <w:rPr>
          <w:bCs/>
          <w:sz w:val="24"/>
          <w:lang w:eastAsia="zh-CN"/>
        </w:rPr>
        <w:t>5</w:t>
      </w:r>
      <w:r w:rsidRPr="002C2B23">
        <w:rPr>
          <w:bCs/>
          <w:sz w:val="24"/>
          <w:lang w:eastAsia="zh-CN"/>
        </w:rPr>
        <w:t>、基金资产规模过大，使基金管理人无法找到合适的投资品种，或其他可能对基金业绩产生负面影响，或发生其他损害现有基金份额持有人利益的情形。</w:t>
      </w:r>
    </w:p>
    <w:p w14:paraId="0111E2EF" w14:textId="77777777" w:rsidR="005039DD" w:rsidRPr="002C2B23" w:rsidRDefault="0040620F">
      <w:pPr>
        <w:spacing w:line="360" w:lineRule="auto"/>
        <w:ind w:firstLine="480"/>
        <w:rPr>
          <w:bCs/>
          <w:sz w:val="24"/>
          <w:lang w:eastAsia="zh-CN"/>
        </w:rPr>
      </w:pPr>
      <w:r w:rsidRPr="002C2B23">
        <w:rPr>
          <w:bCs/>
          <w:sz w:val="24"/>
          <w:lang w:eastAsia="zh-CN"/>
        </w:rPr>
        <w:t>6</w:t>
      </w:r>
      <w:r w:rsidRPr="002C2B23">
        <w:rPr>
          <w:bCs/>
          <w:sz w:val="24"/>
          <w:lang w:eastAsia="zh-CN"/>
        </w:rPr>
        <w:t>、基金管理人、基金托管人、销售机构或登记机构的技术故障等异常情况导致基金销售系统、基金登记系统或基金会计系统无法正常运行。</w:t>
      </w:r>
    </w:p>
    <w:p w14:paraId="263BA1F9" w14:textId="77777777" w:rsidR="005039DD" w:rsidRPr="002C2B23" w:rsidRDefault="0040620F">
      <w:pPr>
        <w:spacing w:line="360" w:lineRule="auto"/>
        <w:ind w:firstLine="480"/>
        <w:rPr>
          <w:bCs/>
          <w:sz w:val="24"/>
          <w:lang w:eastAsia="zh-CN"/>
        </w:rPr>
      </w:pPr>
      <w:r w:rsidRPr="002C2B23">
        <w:rPr>
          <w:bCs/>
          <w:sz w:val="24"/>
          <w:lang w:eastAsia="zh-CN"/>
        </w:rPr>
        <w:t>7</w:t>
      </w:r>
      <w:r w:rsidRPr="002C2B23">
        <w:rPr>
          <w:bCs/>
          <w:sz w:val="24"/>
          <w:lang w:eastAsia="zh-CN"/>
        </w:rPr>
        <w:t>、当特定资产占前一估值日基金资产净值</w:t>
      </w:r>
      <w:r w:rsidRPr="002C2B23">
        <w:rPr>
          <w:bCs/>
          <w:sz w:val="24"/>
          <w:lang w:eastAsia="zh-CN"/>
        </w:rPr>
        <w:t>50%</w:t>
      </w:r>
      <w:r w:rsidRPr="002C2B23">
        <w:rPr>
          <w:bCs/>
          <w:sz w:val="24"/>
          <w:lang w:eastAsia="zh-CN"/>
        </w:rPr>
        <w:t>以上的，经与基金托管人协商确认后，基金管理人应当暂停接受基金申购申请。</w:t>
      </w:r>
    </w:p>
    <w:p w14:paraId="58C19B4F" w14:textId="77777777" w:rsidR="005039DD" w:rsidRPr="002C2B23" w:rsidRDefault="0040620F">
      <w:pPr>
        <w:spacing w:line="360" w:lineRule="auto"/>
        <w:ind w:firstLine="480"/>
        <w:rPr>
          <w:bCs/>
          <w:sz w:val="24"/>
          <w:lang w:eastAsia="zh-CN"/>
        </w:rPr>
      </w:pPr>
      <w:r w:rsidRPr="002C2B23">
        <w:rPr>
          <w:bCs/>
          <w:sz w:val="24"/>
          <w:lang w:eastAsia="zh-CN"/>
        </w:rPr>
        <w:t>8</w:t>
      </w:r>
      <w:r w:rsidRPr="002C2B23">
        <w:rPr>
          <w:bCs/>
          <w:sz w:val="24"/>
          <w:lang w:eastAsia="zh-CN"/>
        </w:rPr>
        <w:t>、基金管理人接受某笔或者某些申购申请有可能导致单一投资者持有基金份额的比例达到或者超过</w:t>
      </w:r>
      <w:r w:rsidRPr="002C2B23">
        <w:rPr>
          <w:bCs/>
          <w:sz w:val="24"/>
          <w:lang w:eastAsia="zh-CN"/>
        </w:rPr>
        <w:t>50%</w:t>
      </w:r>
      <w:r w:rsidRPr="002C2B23">
        <w:rPr>
          <w:bCs/>
          <w:sz w:val="24"/>
          <w:lang w:eastAsia="zh-CN"/>
        </w:rPr>
        <w:t>，或者变相规避</w:t>
      </w:r>
      <w:r w:rsidRPr="002C2B23">
        <w:rPr>
          <w:bCs/>
          <w:sz w:val="24"/>
          <w:lang w:eastAsia="zh-CN"/>
        </w:rPr>
        <w:t>50%</w:t>
      </w:r>
      <w:r w:rsidRPr="002C2B23">
        <w:rPr>
          <w:bCs/>
          <w:sz w:val="24"/>
          <w:lang w:eastAsia="zh-CN"/>
        </w:rPr>
        <w:t>集中度的情形。</w:t>
      </w:r>
    </w:p>
    <w:p w14:paraId="1670007A" w14:textId="77777777" w:rsidR="005039DD" w:rsidRPr="002C2B23" w:rsidRDefault="0040620F">
      <w:pPr>
        <w:spacing w:line="360" w:lineRule="auto"/>
        <w:ind w:firstLine="480"/>
        <w:rPr>
          <w:bCs/>
          <w:sz w:val="24"/>
          <w:lang w:eastAsia="zh-CN"/>
        </w:rPr>
      </w:pPr>
      <w:r w:rsidRPr="002C2B23">
        <w:rPr>
          <w:bCs/>
          <w:sz w:val="24"/>
          <w:lang w:eastAsia="zh-CN"/>
        </w:rPr>
        <w:t>9</w:t>
      </w:r>
      <w:r w:rsidRPr="002C2B23">
        <w:rPr>
          <w:bCs/>
          <w:sz w:val="24"/>
          <w:lang w:eastAsia="zh-CN"/>
        </w:rPr>
        <w:t>、法律法规规定或中国证监会认定的其他情形。</w:t>
      </w:r>
    </w:p>
    <w:p w14:paraId="61CF1126" w14:textId="37449CB3" w:rsidR="005039DD" w:rsidRPr="002C2B23" w:rsidRDefault="0040620F">
      <w:pPr>
        <w:spacing w:line="360" w:lineRule="auto"/>
        <w:ind w:firstLine="480"/>
        <w:rPr>
          <w:bCs/>
          <w:sz w:val="24"/>
          <w:lang w:eastAsia="zh-CN"/>
        </w:rPr>
      </w:pPr>
      <w:r w:rsidRPr="002C2B23">
        <w:rPr>
          <w:bCs/>
          <w:sz w:val="24"/>
          <w:lang w:eastAsia="zh-CN"/>
        </w:rPr>
        <w:t>发生上述第</w:t>
      </w:r>
      <w:r w:rsidRPr="002C2B23">
        <w:rPr>
          <w:bCs/>
          <w:sz w:val="24"/>
          <w:lang w:eastAsia="zh-CN"/>
        </w:rPr>
        <w:t>1</w:t>
      </w:r>
      <w:r w:rsidRPr="002C2B23">
        <w:rPr>
          <w:bCs/>
          <w:sz w:val="24"/>
          <w:lang w:eastAsia="zh-CN"/>
        </w:rPr>
        <w:t>、</w:t>
      </w:r>
      <w:r w:rsidRPr="002C2B23">
        <w:rPr>
          <w:bCs/>
          <w:sz w:val="24"/>
          <w:lang w:eastAsia="zh-CN"/>
        </w:rPr>
        <w:t>2</w:t>
      </w:r>
      <w:r w:rsidRPr="002C2B23">
        <w:rPr>
          <w:bCs/>
          <w:sz w:val="24"/>
          <w:lang w:eastAsia="zh-CN"/>
        </w:rPr>
        <w:t>、</w:t>
      </w:r>
      <w:r w:rsidRPr="002C2B23">
        <w:rPr>
          <w:bCs/>
          <w:sz w:val="24"/>
          <w:lang w:eastAsia="zh-CN"/>
        </w:rPr>
        <w:t>3</w:t>
      </w:r>
      <w:r w:rsidRPr="002C2B23">
        <w:rPr>
          <w:bCs/>
          <w:sz w:val="24"/>
          <w:lang w:eastAsia="zh-CN"/>
        </w:rPr>
        <w:t>、</w:t>
      </w:r>
      <w:r w:rsidRPr="002C2B23">
        <w:rPr>
          <w:bCs/>
          <w:sz w:val="24"/>
          <w:lang w:eastAsia="zh-CN"/>
        </w:rPr>
        <w:t>5</w:t>
      </w:r>
      <w:r w:rsidRPr="002C2B23">
        <w:rPr>
          <w:bCs/>
          <w:sz w:val="24"/>
          <w:lang w:eastAsia="zh-CN"/>
        </w:rPr>
        <w:t>、</w:t>
      </w:r>
      <w:r w:rsidRPr="002C2B23">
        <w:rPr>
          <w:bCs/>
          <w:sz w:val="24"/>
          <w:lang w:eastAsia="zh-CN"/>
        </w:rPr>
        <w:t>6</w:t>
      </w:r>
      <w:r w:rsidRPr="002C2B23">
        <w:rPr>
          <w:bCs/>
          <w:sz w:val="24"/>
          <w:lang w:eastAsia="zh-CN"/>
        </w:rPr>
        <w:t>、</w:t>
      </w:r>
      <w:r w:rsidRPr="002C2B23">
        <w:rPr>
          <w:bCs/>
          <w:sz w:val="24"/>
          <w:lang w:eastAsia="zh-CN"/>
        </w:rPr>
        <w:t>7</w:t>
      </w:r>
      <w:r w:rsidRPr="002C2B23">
        <w:rPr>
          <w:bCs/>
          <w:sz w:val="24"/>
          <w:lang w:eastAsia="zh-CN"/>
        </w:rPr>
        <w:t>、</w:t>
      </w:r>
      <w:r w:rsidRPr="002C2B23">
        <w:rPr>
          <w:bCs/>
          <w:sz w:val="24"/>
          <w:lang w:eastAsia="zh-CN"/>
        </w:rPr>
        <w:t>9</w:t>
      </w:r>
      <w:r w:rsidRPr="002C2B23">
        <w:rPr>
          <w:bCs/>
          <w:sz w:val="24"/>
          <w:lang w:eastAsia="zh-CN"/>
        </w:rPr>
        <w:t>项暂停申购情形之一</w:t>
      </w:r>
      <w:proofErr w:type="gramStart"/>
      <w:r w:rsidRPr="002C2B23">
        <w:rPr>
          <w:bCs/>
          <w:sz w:val="24"/>
          <w:lang w:eastAsia="zh-CN"/>
        </w:rPr>
        <w:t>且基金</w:t>
      </w:r>
      <w:proofErr w:type="gramEnd"/>
      <w:r w:rsidRPr="002C2B23">
        <w:rPr>
          <w:bCs/>
          <w:sz w:val="24"/>
          <w:lang w:eastAsia="zh-CN"/>
        </w:rPr>
        <w:t>管理人决定暂停接受投资人申购申请时，基金管理人应当根据有关规定在规定媒介上刊登暂停申购公告。如果投资人的申购申请被拒绝，被拒绝的申购款项将退还给投资人。在暂停申购的情况消除时，基金管理人应及时恢复申购业务的办理。</w:t>
      </w:r>
    </w:p>
    <w:p w14:paraId="5FD1CDEC" w14:textId="77777777" w:rsidR="005039DD" w:rsidRPr="002C2B23" w:rsidRDefault="005039DD">
      <w:pPr>
        <w:spacing w:line="360" w:lineRule="auto"/>
        <w:ind w:firstLine="480"/>
        <w:rPr>
          <w:bCs/>
          <w:lang w:eastAsia="zh-CN"/>
        </w:rPr>
      </w:pPr>
    </w:p>
    <w:p w14:paraId="0ED5BEE3" w14:textId="77777777" w:rsidR="005039DD" w:rsidRPr="002C2B23" w:rsidRDefault="0040620F">
      <w:pPr>
        <w:spacing w:line="360" w:lineRule="auto"/>
        <w:ind w:firstLine="480"/>
        <w:rPr>
          <w:bCs/>
          <w:sz w:val="24"/>
          <w:lang w:eastAsia="zh-CN"/>
        </w:rPr>
      </w:pPr>
      <w:r w:rsidRPr="002C2B23">
        <w:rPr>
          <w:bCs/>
          <w:sz w:val="24"/>
          <w:lang w:eastAsia="zh-CN"/>
        </w:rPr>
        <w:t>八、暂停赎回或延缓支付赎回款项的情形</w:t>
      </w:r>
    </w:p>
    <w:p w14:paraId="3908D060" w14:textId="77777777" w:rsidR="005039DD" w:rsidRPr="002C2B23" w:rsidRDefault="0040620F">
      <w:pPr>
        <w:spacing w:line="360" w:lineRule="auto"/>
        <w:ind w:firstLine="480"/>
        <w:rPr>
          <w:bCs/>
          <w:sz w:val="24"/>
          <w:lang w:eastAsia="zh-CN"/>
        </w:rPr>
      </w:pPr>
      <w:r w:rsidRPr="002C2B23">
        <w:rPr>
          <w:bCs/>
          <w:sz w:val="24"/>
          <w:lang w:eastAsia="zh-CN"/>
        </w:rPr>
        <w:t>发生下列情形时，基金管理人可暂停接受投资人的赎回申请或延缓支付赎回款项：</w:t>
      </w:r>
    </w:p>
    <w:p w14:paraId="222EB869"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、因不可抗力导致基金管理人不能支付赎回款项。</w:t>
      </w:r>
    </w:p>
    <w:p w14:paraId="75655D32"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、发生基金合同规定的暂停基金资产估值情况。</w:t>
      </w:r>
    </w:p>
    <w:p w14:paraId="4CB54B30"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、证券、期货交易所或外汇市场交易时间非正常停市</w:t>
      </w:r>
      <w:r w:rsidRPr="002C2B23">
        <w:rPr>
          <w:rFonts w:hint="eastAsia"/>
          <w:bCs/>
          <w:sz w:val="24"/>
          <w:lang w:eastAsia="zh-CN"/>
        </w:rPr>
        <w:t>或休市、港股</w:t>
      </w:r>
      <w:proofErr w:type="gramStart"/>
      <w:r w:rsidRPr="002C2B23">
        <w:rPr>
          <w:rFonts w:hint="eastAsia"/>
          <w:bCs/>
          <w:sz w:val="24"/>
          <w:lang w:eastAsia="zh-CN"/>
        </w:rPr>
        <w:t>通临时</w:t>
      </w:r>
      <w:proofErr w:type="gramEnd"/>
      <w:r w:rsidRPr="002C2B23">
        <w:rPr>
          <w:rFonts w:hint="eastAsia"/>
          <w:bCs/>
          <w:sz w:val="24"/>
          <w:lang w:eastAsia="zh-CN"/>
        </w:rPr>
        <w:t>停市</w:t>
      </w:r>
      <w:r w:rsidRPr="002C2B23">
        <w:rPr>
          <w:bCs/>
          <w:sz w:val="24"/>
          <w:lang w:eastAsia="zh-CN"/>
        </w:rPr>
        <w:t>，导致基金管理人无法计算当日基金资产</w:t>
      </w:r>
      <w:bookmarkStart w:id="129" w:name="_Hlt152500890"/>
      <w:r w:rsidRPr="002C2B23">
        <w:rPr>
          <w:bCs/>
          <w:sz w:val="24"/>
          <w:lang w:eastAsia="zh-CN"/>
        </w:rPr>
        <w:t>净值。</w:t>
      </w:r>
    </w:p>
    <w:p w14:paraId="62124C5F" w14:textId="77777777" w:rsidR="005039DD" w:rsidRPr="002C2B23" w:rsidRDefault="0040620F">
      <w:pPr>
        <w:spacing w:line="360" w:lineRule="auto"/>
        <w:ind w:firstLine="480"/>
        <w:rPr>
          <w:bCs/>
          <w:sz w:val="24"/>
          <w:lang w:eastAsia="zh-CN"/>
        </w:rPr>
      </w:pPr>
      <w:r w:rsidRPr="002C2B23">
        <w:rPr>
          <w:bCs/>
          <w:sz w:val="24"/>
          <w:lang w:eastAsia="zh-CN"/>
        </w:rPr>
        <w:t>4</w:t>
      </w:r>
      <w:r w:rsidRPr="002C2B23">
        <w:rPr>
          <w:bCs/>
          <w:sz w:val="24"/>
          <w:lang w:eastAsia="zh-CN"/>
        </w:rPr>
        <w:t>、连续两个或两个以上开放日发生巨额赎回。</w:t>
      </w:r>
    </w:p>
    <w:p w14:paraId="7308D3D7" w14:textId="77777777" w:rsidR="005039DD" w:rsidRPr="002C2B23" w:rsidRDefault="0040620F">
      <w:pPr>
        <w:spacing w:line="360" w:lineRule="auto"/>
        <w:ind w:firstLine="480"/>
        <w:rPr>
          <w:bCs/>
          <w:sz w:val="24"/>
          <w:lang w:eastAsia="zh-CN"/>
        </w:rPr>
      </w:pPr>
      <w:r w:rsidRPr="002C2B23">
        <w:rPr>
          <w:bCs/>
          <w:sz w:val="24"/>
          <w:lang w:eastAsia="zh-CN"/>
        </w:rPr>
        <w:t>5</w:t>
      </w:r>
      <w:r w:rsidRPr="002C2B23">
        <w:rPr>
          <w:bCs/>
          <w:sz w:val="24"/>
          <w:lang w:eastAsia="zh-CN"/>
        </w:rPr>
        <w:t>、发生继续接受赎回申请将损害现有基金份额持有人利益的情形。</w:t>
      </w:r>
      <w:bookmarkEnd w:id="129"/>
    </w:p>
    <w:p w14:paraId="34B3DE8F" w14:textId="77777777" w:rsidR="005039DD" w:rsidRPr="002C2B23" w:rsidRDefault="0040620F">
      <w:pPr>
        <w:spacing w:line="360" w:lineRule="auto"/>
        <w:ind w:firstLine="480"/>
        <w:rPr>
          <w:sz w:val="24"/>
          <w:lang w:eastAsia="zh-CN"/>
        </w:rPr>
      </w:pPr>
      <w:r w:rsidRPr="002C2B23">
        <w:rPr>
          <w:bCs/>
          <w:sz w:val="24"/>
          <w:lang w:eastAsia="zh-CN"/>
        </w:rPr>
        <w:t>6</w:t>
      </w:r>
      <w:r w:rsidRPr="002C2B23">
        <w:rPr>
          <w:bCs/>
          <w:sz w:val="24"/>
          <w:lang w:eastAsia="zh-CN"/>
        </w:rPr>
        <w:t>、当特定资产占前一估值日基金资产净值</w:t>
      </w:r>
      <w:r w:rsidRPr="002C2B23">
        <w:rPr>
          <w:bCs/>
          <w:sz w:val="24"/>
          <w:lang w:eastAsia="zh-CN"/>
        </w:rPr>
        <w:t>50%</w:t>
      </w:r>
      <w:r w:rsidRPr="002C2B23">
        <w:rPr>
          <w:bCs/>
          <w:sz w:val="24"/>
          <w:lang w:eastAsia="zh-CN"/>
        </w:rPr>
        <w:t>以上的，经与基金托管人协商确认后，基金管理人应当延缓支付赎回款项或暂停接受基金赎回申请。</w:t>
      </w:r>
    </w:p>
    <w:p w14:paraId="736DECBD" w14:textId="77777777" w:rsidR="005039DD" w:rsidRPr="002C2B23" w:rsidRDefault="0040620F">
      <w:pPr>
        <w:spacing w:line="360" w:lineRule="auto"/>
        <w:ind w:firstLine="480"/>
        <w:rPr>
          <w:bCs/>
          <w:sz w:val="24"/>
          <w:lang w:eastAsia="zh-CN"/>
        </w:rPr>
      </w:pPr>
      <w:r w:rsidRPr="002C2B23">
        <w:rPr>
          <w:bCs/>
          <w:sz w:val="24"/>
          <w:lang w:eastAsia="zh-CN"/>
        </w:rPr>
        <w:t>7</w:t>
      </w:r>
      <w:r w:rsidRPr="002C2B23">
        <w:rPr>
          <w:bCs/>
          <w:sz w:val="24"/>
          <w:lang w:eastAsia="zh-CN"/>
        </w:rPr>
        <w:t>、法律法规规定或中国证监会认定的其他情形。</w:t>
      </w:r>
    </w:p>
    <w:p w14:paraId="5B1FF1DD" w14:textId="77777777" w:rsidR="005039DD" w:rsidRPr="002C2B23" w:rsidRDefault="0040620F">
      <w:pPr>
        <w:spacing w:line="360" w:lineRule="auto"/>
        <w:ind w:firstLine="480"/>
        <w:rPr>
          <w:bCs/>
          <w:sz w:val="24"/>
          <w:lang w:eastAsia="zh-CN"/>
        </w:rPr>
      </w:pPr>
      <w:r w:rsidRPr="002C2B23">
        <w:rPr>
          <w:bCs/>
          <w:sz w:val="24"/>
          <w:lang w:eastAsia="zh-CN"/>
        </w:rPr>
        <w:t>发生上述情形（第</w:t>
      </w:r>
      <w:r w:rsidRPr="002C2B23">
        <w:rPr>
          <w:bCs/>
          <w:sz w:val="24"/>
          <w:lang w:eastAsia="zh-CN"/>
        </w:rPr>
        <w:t>4</w:t>
      </w:r>
      <w:r w:rsidRPr="002C2B23">
        <w:rPr>
          <w:bCs/>
          <w:sz w:val="24"/>
          <w:lang w:eastAsia="zh-CN"/>
        </w:rPr>
        <w:t>项除外）之一</w:t>
      </w:r>
      <w:proofErr w:type="gramStart"/>
      <w:r w:rsidRPr="002C2B23">
        <w:rPr>
          <w:bCs/>
          <w:sz w:val="24"/>
          <w:lang w:eastAsia="zh-CN"/>
        </w:rPr>
        <w:t>且基金</w:t>
      </w:r>
      <w:proofErr w:type="gramEnd"/>
      <w:r w:rsidRPr="002C2B23">
        <w:rPr>
          <w:bCs/>
          <w:sz w:val="24"/>
          <w:lang w:eastAsia="zh-CN"/>
        </w:rPr>
        <w:t>管理人决定暂停赎回或延缓支付赎回款项时，基金管理人应按规定报中国证监会备案，已确认的赎回申请，基金管理人应足额支付；如暂时不能足额支付，未支付部分可延期支付。若出现上述第</w:t>
      </w:r>
      <w:r w:rsidRPr="002C2B23">
        <w:rPr>
          <w:bCs/>
          <w:sz w:val="24"/>
          <w:lang w:eastAsia="zh-CN"/>
        </w:rPr>
        <w:t>4</w:t>
      </w:r>
      <w:r w:rsidRPr="002C2B23">
        <w:rPr>
          <w:bCs/>
          <w:sz w:val="24"/>
          <w:lang w:eastAsia="zh-CN"/>
        </w:rPr>
        <w:t>项所述情形，按基金合同的相关条款处理。基金份额持有人在申请赎回时可事先选择将当日可能未获受理部分予以撤销。在暂停赎回的情况消除时，基金管理人应及时恢复赎回业务的办理并公告。</w:t>
      </w:r>
    </w:p>
    <w:p w14:paraId="738E9801" w14:textId="77777777" w:rsidR="005039DD" w:rsidRPr="002C2B23" w:rsidRDefault="005039DD">
      <w:pPr>
        <w:spacing w:line="360" w:lineRule="auto"/>
        <w:ind w:firstLine="480"/>
        <w:rPr>
          <w:sz w:val="24"/>
          <w:lang w:eastAsia="zh-CN"/>
        </w:rPr>
      </w:pPr>
    </w:p>
    <w:p w14:paraId="406A4DB5" w14:textId="77777777" w:rsidR="005039DD" w:rsidRPr="002C2B23" w:rsidRDefault="0040620F">
      <w:pPr>
        <w:spacing w:line="360" w:lineRule="auto"/>
        <w:ind w:firstLine="480"/>
        <w:rPr>
          <w:bCs/>
          <w:sz w:val="24"/>
          <w:lang w:eastAsia="zh-CN"/>
        </w:rPr>
      </w:pPr>
      <w:r w:rsidRPr="002C2B23">
        <w:rPr>
          <w:bCs/>
          <w:sz w:val="24"/>
          <w:lang w:eastAsia="zh-CN"/>
        </w:rPr>
        <w:t>九、巨额赎回的情形及处理方式</w:t>
      </w:r>
    </w:p>
    <w:p w14:paraId="4933EF98"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、巨额赎回的认定</w:t>
      </w:r>
    </w:p>
    <w:p w14:paraId="687B8810" w14:textId="77777777" w:rsidR="005039DD" w:rsidRPr="002C2B23" w:rsidRDefault="0040620F">
      <w:pPr>
        <w:spacing w:line="360" w:lineRule="auto"/>
        <w:ind w:firstLine="480"/>
        <w:rPr>
          <w:bCs/>
          <w:sz w:val="24"/>
          <w:lang w:eastAsia="zh-CN"/>
        </w:rPr>
      </w:pPr>
      <w:r w:rsidRPr="002C2B23">
        <w:rPr>
          <w:bCs/>
          <w:sz w:val="24"/>
          <w:lang w:eastAsia="zh-CN"/>
        </w:rPr>
        <w:t>若本基金单个开放日内的基金份额净赎回申请（赎回申请份额总数加上基金转换中转出申请份额总数后扣除申购申请份额总数及基金转换中转入申请份额总数后的余额）超过前一</w:t>
      </w:r>
      <w:r w:rsidRPr="002C2B23">
        <w:rPr>
          <w:rFonts w:hint="eastAsia"/>
          <w:bCs/>
          <w:sz w:val="24"/>
          <w:lang w:eastAsia="zh-CN"/>
        </w:rPr>
        <w:t>工作</w:t>
      </w:r>
      <w:r w:rsidRPr="002C2B23">
        <w:rPr>
          <w:bCs/>
          <w:sz w:val="24"/>
          <w:lang w:eastAsia="zh-CN"/>
        </w:rPr>
        <w:t>日的基金总份额的</w:t>
      </w:r>
      <w:r w:rsidRPr="002C2B23">
        <w:rPr>
          <w:bCs/>
          <w:sz w:val="24"/>
          <w:lang w:eastAsia="zh-CN"/>
        </w:rPr>
        <w:t>10%</w:t>
      </w:r>
      <w:r w:rsidRPr="002C2B23">
        <w:rPr>
          <w:bCs/>
          <w:sz w:val="24"/>
          <w:lang w:eastAsia="zh-CN"/>
        </w:rPr>
        <w:t>，即认为是发生了巨额赎回。</w:t>
      </w:r>
    </w:p>
    <w:p w14:paraId="661FB297"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、巨额赎回的处理方式</w:t>
      </w:r>
    </w:p>
    <w:p w14:paraId="69133075" w14:textId="77777777" w:rsidR="005039DD" w:rsidRPr="002C2B23" w:rsidRDefault="0040620F">
      <w:pPr>
        <w:spacing w:line="360" w:lineRule="auto"/>
        <w:ind w:firstLine="480"/>
        <w:rPr>
          <w:bCs/>
          <w:sz w:val="24"/>
          <w:lang w:eastAsia="zh-CN"/>
        </w:rPr>
      </w:pPr>
      <w:r w:rsidRPr="002C2B23">
        <w:rPr>
          <w:bCs/>
          <w:sz w:val="24"/>
          <w:lang w:eastAsia="zh-CN"/>
        </w:rPr>
        <w:t>当基金出现巨额赎回时，基金管理人可以根据基金当时的资产组合状况决定全额赎回</w:t>
      </w:r>
      <w:r w:rsidRPr="002C2B23">
        <w:rPr>
          <w:rFonts w:hint="eastAsia"/>
          <w:bCs/>
          <w:sz w:val="24"/>
          <w:lang w:eastAsia="zh-CN"/>
        </w:rPr>
        <w:t>、</w:t>
      </w:r>
      <w:r w:rsidRPr="002C2B23">
        <w:rPr>
          <w:bCs/>
          <w:sz w:val="24"/>
          <w:lang w:eastAsia="zh-CN"/>
        </w:rPr>
        <w:t>部分延期赎回或暂停赎回。</w:t>
      </w:r>
    </w:p>
    <w:p w14:paraId="2036DE09"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）全额赎回：当基金管理人认为有能力支付投资人的全部赎回申请时，按正常赎回程序执行。</w:t>
      </w:r>
    </w:p>
    <w:p w14:paraId="73F0B777"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）部分延期赎回：当基金管理人认为支付投资人的赎回申请有困难或认为因支付投资人的赎回申请而进行的财产变现可能会对基金资产净值造成较大波动时，基金管理人在当日接受赎回比例不低于上一</w:t>
      </w:r>
      <w:r w:rsidRPr="002C2B23">
        <w:rPr>
          <w:rFonts w:hint="eastAsia"/>
          <w:bCs/>
          <w:sz w:val="24"/>
          <w:lang w:eastAsia="zh-CN"/>
        </w:rPr>
        <w:t>工作</w:t>
      </w:r>
      <w:r w:rsidRPr="002C2B23">
        <w:rPr>
          <w:bCs/>
          <w:sz w:val="24"/>
          <w:lang w:eastAsia="zh-CN"/>
        </w:rPr>
        <w:t>日基金总份额的</w:t>
      </w:r>
      <w:r w:rsidRPr="002C2B23">
        <w:rPr>
          <w:bCs/>
          <w:sz w:val="24"/>
          <w:lang w:eastAsia="zh-CN"/>
        </w:rPr>
        <w:t>10%</w:t>
      </w:r>
      <w:r w:rsidRPr="002C2B23">
        <w:rPr>
          <w:bCs/>
          <w:sz w:val="24"/>
          <w:lang w:eastAsia="zh-CN"/>
        </w:rPr>
        <w:t>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w:t>
      </w:r>
      <w:proofErr w:type="gramStart"/>
      <w:r w:rsidRPr="002C2B23">
        <w:rPr>
          <w:bCs/>
          <w:sz w:val="24"/>
          <w:lang w:eastAsia="zh-CN"/>
        </w:rPr>
        <w:t>并以下</w:t>
      </w:r>
      <w:proofErr w:type="gramEnd"/>
      <w:r w:rsidRPr="002C2B23">
        <w:rPr>
          <w:bCs/>
          <w:sz w:val="24"/>
          <w:lang w:eastAsia="zh-CN"/>
        </w:rPr>
        <w:t>一开放日的该类基金份额净值为基础计算赎回金额，以此类推，直到全部赎回为止。如投资人在提交赎回申请时未作明确选择，投资人未能赎回部分作自动延期赎回处理。部分延期赎回不受单笔赎回最低份额的限制。</w:t>
      </w:r>
    </w:p>
    <w:p w14:paraId="74BB32E8" w14:textId="77777777" w:rsidR="005039DD" w:rsidRPr="002C2B23" w:rsidRDefault="0040620F">
      <w:pPr>
        <w:spacing w:line="360" w:lineRule="auto"/>
        <w:ind w:firstLine="420"/>
        <w:rPr>
          <w:rFonts w:ascii="宋体" w:hAnsi="宋体"/>
          <w:bCs/>
          <w:sz w:val="24"/>
          <w:lang w:eastAsia="zh-CN"/>
        </w:rPr>
      </w:pPr>
      <w:r w:rsidRPr="002C2B23">
        <w:rPr>
          <w:bCs/>
          <w:sz w:val="24"/>
          <w:lang w:eastAsia="zh-CN"/>
        </w:rPr>
        <w:t>（</w:t>
      </w:r>
      <w:r w:rsidRPr="002C2B23">
        <w:rPr>
          <w:bCs/>
          <w:sz w:val="24"/>
          <w:lang w:eastAsia="zh-CN"/>
        </w:rPr>
        <w:t>3</w:t>
      </w:r>
      <w:r w:rsidRPr="002C2B23">
        <w:rPr>
          <w:bCs/>
          <w:sz w:val="24"/>
          <w:lang w:eastAsia="zh-CN"/>
        </w:rPr>
        <w:t>）</w:t>
      </w:r>
      <w:r w:rsidRPr="002C2B23">
        <w:rPr>
          <w:rFonts w:ascii="宋体" w:hAnsi="宋体" w:hint="eastAsia"/>
          <w:bCs/>
          <w:sz w:val="24"/>
          <w:lang w:eastAsia="zh-CN"/>
        </w:rPr>
        <w:t>若本基金发生巨额赎回且单个基金份额持有人的赎回申请超过上一开放日基金总份额的</w:t>
      </w:r>
      <w:r w:rsidRPr="002C2B23">
        <w:rPr>
          <w:rFonts w:ascii="宋体" w:hAnsi="宋体"/>
          <w:bCs/>
          <w:sz w:val="24"/>
          <w:lang w:eastAsia="zh-CN"/>
        </w:rPr>
        <w:t>1</w:t>
      </w:r>
      <w:r w:rsidRPr="002C2B23">
        <w:rPr>
          <w:rFonts w:ascii="宋体" w:hAnsi="宋体" w:hint="eastAsia"/>
          <w:bCs/>
          <w:sz w:val="24"/>
          <w:lang w:eastAsia="zh-CN"/>
        </w:rPr>
        <w:t>0</w:t>
      </w:r>
      <w:r w:rsidRPr="002C2B23">
        <w:rPr>
          <w:bCs/>
          <w:sz w:val="24"/>
          <w:lang w:eastAsia="zh-CN"/>
        </w:rPr>
        <w:t>%</w:t>
      </w:r>
      <w:r w:rsidRPr="002C2B23">
        <w:rPr>
          <w:rFonts w:ascii="宋体" w:hAnsi="宋体" w:hint="eastAsia"/>
          <w:bCs/>
          <w:sz w:val="24"/>
          <w:lang w:eastAsia="zh-CN"/>
        </w:rPr>
        <w:t>，基金管理人认为支付该基金份额持有人的全部赎回申请有困难或者因支付该基金份额持有人的全部赎回申请而进行的财产变现可能会对基金资产净值造成较大波动时，基金管理人可以对该基金份额持有人超出</w:t>
      </w:r>
      <w:r w:rsidRPr="002C2B23">
        <w:rPr>
          <w:rFonts w:ascii="宋体" w:hAnsi="宋体"/>
          <w:bCs/>
          <w:sz w:val="24"/>
          <w:lang w:eastAsia="zh-CN"/>
        </w:rPr>
        <w:t>1</w:t>
      </w:r>
      <w:r w:rsidRPr="002C2B23">
        <w:rPr>
          <w:rFonts w:ascii="宋体" w:hAnsi="宋体" w:hint="eastAsia"/>
          <w:bCs/>
          <w:sz w:val="24"/>
          <w:lang w:eastAsia="zh-CN"/>
        </w:rPr>
        <w:t>0</w:t>
      </w:r>
      <w:r w:rsidRPr="002C2B23">
        <w:rPr>
          <w:bCs/>
          <w:sz w:val="24"/>
          <w:lang w:eastAsia="zh-CN"/>
        </w:rPr>
        <w:t>%</w:t>
      </w:r>
      <w:r w:rsidRPr="002C2B23">
        <w:rPr>
          <w:rFonts w:ascii="宋体" w:hAnsi="宋体" w:hint="eastAsia"/>
          <w:bCs/>
          <w:sz w:val="24"/>
          <w:lang w:eastAsia="zh-CN"/>
        </w:rPr>
        <w:t>以上的部分延期办理赎回。对于该基金份额持有人剩余部分赎回申请以及其他持有人的赎回申请，应当按上述“（1）全额赎回”、“（2）部分延期赎回”规则办理。对于上述基金份额持有人被延期办理的部分，如投资人在提交赎回申请时选择取消赎回的，当日未获办理部分将被撤销；如投资人在提交赎回申请时选择延期赎回或未作明确选择的，将自动转入下一个开放日继续赎回直至办理完毕。</w:t>
      </w:r>
    </w:p>
    <w:p w14:paraId="4C9CF706" w14:textId="77777777" w:rsidR="005039DD" w:rsidRPr="002C2B23" w:rsidRDefault="0040620F">
      <w:pPr>
        <w:spacing w:line="360" w:lineRule="auto"/>
        <w:ind w:firstLine="480"/>
        <w:rPr>
          <w:bCs/>
          <w:sz w:val="24"/>
          <w:lang w:eastAsia="zh-CN"/>
        </w:rPr>
      </w:pPr>
      <w:r w:rsidRPr="002C2B23">
        <w:rPr>
          <w:rFonts w:ascii="宋体" w:hAnsi="宋体" w:hint="eastAsia"/>
          <w:bCs/>
          <w:sz w:val="24"/>
          <w:lang w:eastAsia="zh-CN"/>
        </w:rPr>
        <w:t>延期的赎回申请与下一开放日赎回申请一并处理，无优先权</w:t>
      </w:r>
      <w:proofErr w:type="gramStart"/>
      <w:r w:rsidRPr="002C2B23">
        <w:rPr>
          <w:rFonts w:ascii="宋体" w:hAnsi="宋体" w:hint="eastAsia"/>
          <w:bCs/>
          <w:sz w:val="24"/>
          <w:lang w:eastAsia="zh-CN"/>
        </w:rPr>
        <w:t>并以下</w:t>
      </w:r>
      <w:proofErr w:type="gramEnd"/>
      <w:r w:rsidRPr="002C2B23">
        <w:rPr>
          <w:rFonts w:ascii="宋体" w:hAnsi="宋体" w:hint="eastAsia"/>
          <w:bCs/>
          <w:sz w:val="24"/>
          <w:lang w:eastAsia="zh-CN"/>
        </w:rPr>
        <w:t>一开放日该类别基金份额净值为基础计算赎回金额，以此类推，直到全部赎回为止。</w:t>
      </w:r>
    </w:p>
    <w:p w14:paraId="3CBD8E0D"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4</w:t>
      </w:r>
      <w:r w:rsidRPr="002C2B23">
        <w:rPr>
          <w:bCs/>
          <w:sz w:val="24"/>
          <w:lang w:eastAsia="zh-CN"/>
        </w:rPr>
        <w:t>）暂停赎回：连续</w:t>
      </w:r>
      <w:r w:rsidRPr="002C2B23">
        <w:rPr>
          <w:bCs/>
          <w:sz w:val="24"/>
          <w:lang w:eastAsia="zh-CN"/>
        </w:rPr>
        <w:t>2</w:t>
      </w:r>
      <w:r w:rsidRPr="002C2B23">
        <w:rPr>
          <w:bCs/>
          <w:sz w:val="24"/>
          <w:lang w:eastAsia="zh-CN"/>
        </w:rPr>
        <w:t>个开放日以上（含本数）发生巨额赎回，如基金管理人认为有必要，可暂停接受基金的赎回申请；已经接受的赎回申请可以延缓支付赎回款项，但不得超过</w:t>
      </w:r>
      <w:r w:rsidRPr="002C2B23">
        <w:rPr>
          <w:bCs/>
          <w:sz w:val="24"/>
          <w:lang w:eastAsia="zh-CN"/>
        </w:rPr>
        <w:t>20</w:t>
      </w:r>
      <w:r w:rsidRPr="002C2B23">
        <w:rPr>
          <w:bCs/>
          <w:sz w:val="24"/>
          <w:lang w:eastAsia="zh-CN"/>
        </w:rPr>
        <w:t>个工作日，并应当在规定媒介上进行公告。</w:t>
      </w:r>
    </w:p>
    <w:p w14:paraId="4EFF5FA4"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、巨额赎回的公告</w:t>
      </w:r>
    </w:p>
    <w:p w14:paraId="3604E507" w14:textId="77777777" w:rsidR="005039DD" w:rsidRPr="002C2B23" w:rsidRDefault="0040620F">
      <w:pPr>
        <w:spacing w:line="360" w:lineRule="auto"/>
        <w:ind w:firstLine="480"/>
        <w:rPr>
          <w:bCs/>
          <w:sz w:val="24"/>
          <w:lang w:eastAsia="zh-CN"/>
        </w:rPr>
      </w:pPr>
      <w:r w:rsidRPr="002C2B23">
        <w:rPr>
          <w:bCs/>
          <w:sz w:val="24"/>
          <w:lang w:eastAsia="zh-CN"/>
        </w:rPr>
        <w:t>当发生上述巨额赎回并延期办理时，基金管理人应当通过邮寄、传真或者招募说明书规定的其他方式在</w:t>
      </w:r>
      <w:r w:rsidRPr="002C2B23">
        <w:rPr>
          <w:bCs/>
          <w:sz w:val="24"/>
          <w:lang w:eastAsia="zh-CN"/>
        </w:rPr>
        <w:t>3</w:t>
      </w:r>
      <w:r w:rsidRPr="002C2B23">
        <w:rPr>
          <w:bCs/>
          <w:sz w:val="24"/>
          <w:lang w:eastAsia="zh-CN"/>
        </w:rPr>
        <w:t>个交易日内通知基金份额持有人，说明有关处理方法，并于两日内在规定媒介上刊登公告。</w:t>
      </w:r>
    </w:p>
    <w:p w14:paraId="74D31E33" w14:textId="77777777" w:rsidR="005039DD" w:rsidRPr="002C2B23" w:rsidRDefault="005039DD">
      <w:pPr>
        <w:spacing w:line="360" w:lineRule="auto"/>
        <w:ind w:firstLine="480"/>
        <w:rPr>
          <w:bCs/>
          <w:lang w:eastAsia="zh-CN"/>
        </w:rPr>
      </w:pPr>
    </w:p>
    <w:p w14:paraId="623A7081" w14:textId="77777777" w:rsidR="005039DD" w:rsidRPr="002C2B23" w:rsidRDefault="0040620F">
      <w:pPr>
        <w:spacing w:line="360" w:lineRule="auto"/>
        <w:ind w:firstLine="480"/>
        <w:rPr>
          <w:bCs/>
          <w:sz w:val="24"/>
          <w:lang w:eastAsia="zh-CN"/>
        </w:rPr>
      </w:pPr>
      <w:r w:rsidRPr="002C2B23">
        <w:rPr>
          <w:bCs/>
          <w:sz w:val="24"/>
          <w:lang w:eastAsia="zh-CN"/>
        </w:rPr>
        <w:t>十、暂停申购或赎回的公告和重新开放申购或赎回的公告</w:t>
      </w:r>
    </w:p>
    <w:p w14:paraId="76FAE6F1"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、发生上述暂停申购或赎回情况的，基金管理人应在规定期限内在规定媒介上刊登暂停公告。</w:t>
      </w:r>
    </w:p>
    <w:p w14:paraId="127AA2D7"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基金管理人可以根据暂停申购或赎回的时间，依照《信息披露办法》的有关规定，最迟于重新开放日在规定媒介上刊登重新开放申购或赎回的公告；也可以根据实际情况在暂停公告中明确重新开放申购或赎回的时间，届时不再另行发布重新开放的公告。</w:t>
      </w:r>
    </w:p>
    <w:p w14:paraId="05C5CC2E"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、上述暂停申购或赎回情况消除的，基金管理人应于重新开放日公布最近</w:t>
      </w:r>
      <w:r w:rsidRPr="002C2B23">
        <w:rPr>
          <w:bCs/>
          <w:sz w:val="24"/>
          <w:lang w:eastAsia="zh-CN"/>
        </w:rPr>
        <w:t>1</w:t>
      </w:r>
      <w:r w:rsidRPr="002C2B23">
        <w:rPr>
          <w:bCs/>
          <w:sz w:val="24"/>
          <w:lang w:eastAsia="zh-CN"/>
        </w:rPr>
        <w:t>个工作日各类基金份额净值。</w:t>
      </w:r>
    </w:p>
    <w:p w14:paraId="1036AB6C" w14:textId="77777777" w:rsidR="005039DD" w:rsidRPr="002C2B23" w:rsidRDefault="0040620F">
      <w:pPr>
        <w:spacing w:line="360" w:lineRule="auto"/>
        <w:ind w:firstLine="480"/>
        <w:rPr>
          <w:bCs/>
          <w:sz w:val="24"/>
          <w:lang w:eastAsia="zh-CN"/>
        </w:rPr>
      </w:pPr>
      <w:r w:rsidRPr="002C2B23">
        <w:rPr>
          <w:bCs/>
          <w:sz w:val="24"/>
          <w:lang w:eastAsia="zh-CN"/>
        </w:rPr>
        <w:t>十一、基金转换</w:t>
      </w:r>
    </w:p>
    <w:p w14:paraId="1C5B163E" w14:textId="77777777" w:rsidR="005039DD" w:rsidRPr="002C2B23" w:rsidRDefault="0040620F">
      <w:pPr>
        <w:spacing w:line="360" w:lineRule="auto"/>
        <w:ind w:firstLine="480"/>
        <w:rPr>
          <w:bCs/>
          <w:sz w:val="24"/>
          <w:lang w:eastAsia="zh-CN"/>
        </w:rPr>
      </w:pPr>
      <w:r w:rsidRPr="002C2B23">
        <w:rPr>
          <w:bCs/>
          <w:sz w:val="24"/>
          <w:lang w:eastAsia="zh-CN"/>
        </w:rPr>
        <w:t>基金管理人可以根据相关法律法规以及本基金合同的规定决定开办本基金与基金管理人管理的其他基金之间的转换业务，基金转换可以收取一定的转换费，相关规则由基金管理人届时根据相关法律法规及本基金合同的规定制定并公告，并提前告知基金托管人与相关机构。</w:t>
      </w:r>
    </w:p>
    <w:p w14:paraId="6D71115A" w14:textId="77777777" w:rsidR="005039DD" w:rsidRPr="002C2B23" w:rsidRDefault="005039DD">
      <w:pPr>
        <w:spacing w:line="360" w:lineRule="auto"/>
        <w:ind w:firstLine="480"/>
        <w:rPr>
          <w:bCs/>
          <w:sz w:val="24"/>
          <w:lang w:eastAsia="zh-CN"/>
        </w:rPr>
      </w:pPr>
    </w:p>
    <w:p w14:paraId="25B398D1" w14:textId="77777777" w:rsidR="005039DD" w:rsidRPr="002C2B23" w:rsidRDefault="0040620F">
      <w:pPr>
        <w:spacing w:line="360" w:lineRule="auto"/>
        <w:ind w:firstLine="480"/>
        <w:rPr>
          <w:bCs/>
          <w:sz w:val="24"/>
          <w:lang w:eastAsia="zh-CN"/>
        </w:rPr>
      </w:pPr>
      <w:r w:rsidRPr="002C2B23">
        <w:rPr>
          <w:bCs/>
          <w:sz w:val="24"/>
          <w:lang w:eastAsia="zh-CN"/>
        </w:rPr>
        <w:t>十二、基金份额的转让</w:t>
      </w:r>
    </w:p>
    <w:p w14:paraId="75FA4BC9" w14:textId="77777777" w:rsidR="005039DD" w:rsidRPr="002C2B23" w:rsidRDefault="0040620F">
      <w:pPr>
        <w:spacing w:line="360" w:lineRule="auto"/>
        <w:ind w:firstLine="480"/>
        <w:rPr>
          <w:bCs/>
          <w:sz w:val="24"/>
          <w:lang w:eastAsia="zh-CN"/>
        </w:rPr>
      </w:pPr>
      <w:r w:rsidRPr="002C2B23">
        <w:rPr>
          <w:bCs/>
          <w:sz w:val="24"/>
          <w:lang w:eastAsia="zh-CN"/>
        </w:rPr>
        <w:t>对基金份额持有人无实质不利影响，在法律法规允许且条件具备的情况下，基金管理人履行相关程序后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14:paraId="1E3A5143" w14:textId="77777777" w:rsidR="005039DD" w:rsidRPr="002C2B23" w:rsidRDefault="005039DD">
      <w:pPr>
        <w:spacing w:line="360" w:lineRule="auto"/>
        <w:ind w:firstLine="480"/>
        <w:rPr>
          <w:bCs/>
          <w:sz w:val="24"/>
          <w:lang w:eastAsia="zh-CN"/>
        </w:rPr>
      </w:pPr>
    </w:p>
    <w:p w14:paraId="3E4C38E7" w14:textId="77777777" w:rsidR="005039DD" w:rsidRPr="002C2B23" w:rsidRDefault="0040620F">
      <w:pPr>
        <w:spacing w:line="360" w:lineRule="auto"/>
        <w:ind w:firstLine="480"/>
        <w:rPr>
          <w:bCs/>
          <w:sz w:val="24"/>
          <w:lang w:eastAsia="zh-CN"/>
        </w:rPr>
      </w:pPr>
      <w:r w:rsidRPr="002C2B23">
        <w:rPr>
          <w:bCs/>
          <w:sz w:val="24"/>
          <w:lang w:eastAsia="zh-CN"/>
        </w:rPr>
        <w:t>十三、基金的</w:t>
      </w:r>
      <w:proofErr w:type="gramStart"/>
      <w:r w:rsidRPr="002C2B23">
        <w:rPr>
          <w:bCs/>
          <w:sz w:val="24"/>
          <w:lang w:eastAsia="zh-CN"/>
        </w:rPr>
        <w:t>非交易</w:t>
      </w:r>
      <w:proofErr w:type="gramEnd"/>
      <w:r w:rsidRPr="002C2B23">
        <w:rPr>
          <w:bCs/>
          <w:sz w:val="24"/>
          <w:lang w:eastAsia="zh-CN"/>
        </w:rPr>
        <w:t>过户</w:t>
      </w:r>
    </w:p>
    <w:p w14:paraId="0D2FCD4A" w14:textId="77777777" w:rsidR="005039DD" w:rsidRPr="002C2B23" w:rsidRDefault="0040620F">
      <w:pPr>
        <w:spacing w:line="360" w:lineRule="auto"/>
        <w:ind w:firstLine="480"/>
        <w:rPr>
          <w:bCs/>
          <w:sz w:val="24"/>
          <w:lang w:eastAsia="zh-CN"/>
        </w:rPr>
      </w:pPr>
      <w:r w:rsidRPr="002C2B23">
        <w:rPr>
          <w:bCs/>
          <w:sz w:val="24"/>
          <w:lang w:eastAsia="zh-CN"/>
        </w:rPr>
        <w:t>基金的</w:t>
      </w:r>
      <w:proofErr w:type="gramStart"/>
      <w:r w:rsidRPr="002C2B23">
        <w:rPr>
          <w:bCs/>
          <w:sz w:val="24"/>
          <w:lang w:eastAsia="zh-CN"/>
        </w:rPr>
        <w:t>非交易</w:t>
      </w:r>
      <w:proofErr w:type="gramEnd"/>
      <w:r w:rsidRPr="002C2B23">
        <w:rPr>
          <w:bCs/>
          <w:sz w:val="24"/>
          <w:lang w:eastAsia="zh-CN"/>
        </w:rPr>
        <w:t>过户是指基金登记机构受理继承、捐赠和司法强制执行等情形而产生的</w:t>
      </w:r>
      <w:proofErr w:type="gramStart"/>
      <w:r w:rsidRPr="002C2B23">
        <w:rPr>
          <w:bCs/>
          <w:sz w:val="24"/>
          <w:lang w:eastAsia="zh-CN"/>
        </w:rPr>
        <w:t>非交易</w:t>
      </w:r>
      <w:proofErr w:type="gramEnd"/>
      <w:r w:rsidRPr="002C2B23">
        <w:rPr>
          <w:bCs/>
          <w:sz w:val="24"/>
          <w:lang w:eastAsia="zh-CN"/>
        </w:rPr>
        <w:t>过户以及登记机构认可、符合法律法规的其它</w:t>
      </w:r>
      <w:proofErr w:type="gramStart"/>
      <w:r w:rsidRPr="002C2B23">
        <w:rPr>
          <w:bCs/>
          <w:sz w:val="24"/>
          <w:lang w:eastAsia="zh-CN"/>
        </w:rPr>
        <w:t>非交易</w:t>
      </w:r>
      <w:proofErr w:type="gramEnd"/>
      <w:r w:rsidRPr="002C2B23">
        <w:rPr>
          <w:bCs/>
          <w:sz w:val="24"/>
          <w:lang w:eastAsia="zh-CN"/>
        </w:rPr>
        <w:t>过户。无论在上述何种情况下，接受划转的主体必须是依法可以持有本</w:t>
      </w:r>
      <w:proofErr w:type="gramStart"/>
      <w:r w:rsidRPr="002C2B23">
        <w:rPr>
          <w:bCs/>
          <w:sz w:val="24"/>
          <w:lang w:eastAsia="zh-CN"/>
        </w:rPr>
        <w:t>基金基金</w:t>
      </w:r>
      <w:proofErr w:type="gramEnd"/>
      <w:r w:rsidRPr="002C2B23">
        <w:rPr>
          <w:bCs/>
          <w:sz w:val="24"/>
          <w:lang w:eastAsia="zh-CN"/>
        </w:rPr>
        <w:t>份额的投资人。</w:t>
      </w:r>
    </w:p>
    <w:p w14:paraId="7DE33B6A" w14:textId="77777777" w:rsidR="005039DD" w:rsidRPr="002C2B23" w:rsidRDefault="0040620F">
      <w:pPr>
        <w:spacing w:line="360" w:lineRule="auto"/>
        <w:ind w:firstLine="480"/>
        <w:rPr>
          <w:rFonts w:ascii="宋体" w:hAnsi="宋体"/>
          <w:sz w:val="24"/>
          <w:lang w:eastAsia="zh-CN"/>
        </w:rPr>
      </w:pPr>
      <w:r w:rsidRPr="002C2B23">
        <w:rPr>
          <w:rFonts w:ascii="宋体" w:hAnsi="宋体"/>
          <w:sz w:val="24"/>
          <w:lang w:eastAsia="zh-CN"/>
        </w:rPr>
        <w:t>继承是指基金份额持有人死亡，其持有的基金份额由其合法的继承人继承；</w:t>
      </w:r>
      <w:proofErr w:type="gramStart"/>
      <w:r w:rsidRPr="002C2B23">
        <w:rPr>
          <w:rFonts w:ascii="宋体" w:hAnsi="宋体"/>
          <w:sz w:val="24"/>
          <w:lang w:eastAsia="zh-CN"/>
        </w:rPr>
        <w:t>捐赠指</w:t>
      </w:r>
      <w:proofErr w:type="gramEnd"/>
      <w:r w:rsidRPr="002C2B23">
        <w:rPr>
          <w:rFonts w:ascii="宋体" w:hAnsi="宋体"/>
          <w:sz w:val="24"/>
          <w:lang w:eastAsia="zh-CN"/>
        </w:rPr>
        <w:t>基金份额持有人将其合法持有的基金份额捐赠给福利性质的基金会或社会团体；司法强制执行是指司法机构依据生效司法文书将基金份额持有人持有的基金份额强制划转给其他自然人、法人或其他组织。办理</w:t>
      </w:r>
      <w:proofErr w:type="gramStart"/>
      <w:r w:rsidRPr="002C2B23">
        <w:rPr>
          <w:rFonts w:ascii="宋体" w:hAnsi="宋体"/>
          <w:sz w:val="24"/>
          <w:lang w:eastAsia="zh-CN"/>
        </w:rPr>
        <w:t>非交易</w:t>
      </w:r>
      <w:proofErr w:type="gramEnd"/>
      <w:r w:rsidRPr="002C2B23">
        <w:rPr>
          <w:rFonts w:ascii="宋体" w:hAnsi="宋体"/>
          <w:sz w:val="24"/>
          <w:lang w:eastAsia="zh-CN"/>
        </w:rPr>
        <w:t>过户必须提供基金登记机构要求提供的相关资料，对于符合条件的</w:t>
      </w:r>
      <w:proofErr w:type="gramStart"/>
      <w:r w:rsidRPr="002C2B23">
        <w:rPr>
          <w:rFonts w:ascii="宋体" w:hAnsi="宋体"/>
          <w:sz w:val="24"/>
          <w:lang w:eastAsia="zh-CN"/>
        </w:rPr>
        <w:t>非交易过户申请按</w:t>
      </w:r>
      <w:proofErr w:type="gramEnd"/>
      <w:r w:rsidRPr="002C2B23">
        <w:rPr>
          <w:rFonts w:ascii="宋体" w:hAnsi="宋体"/>
          <w:sz w:val="24"/>
          <w:lang w:eastAsia="zh-CN"/>
        </w:rPr>
        <w:t>基金登记机构的规定办理，并按基金登记机构规定的标准收费。</w:t>
      </w:r>
    </w:p>
    <w:p w14:paraId="116B3FCE" w14:textId="77777777" w:rsidR="005039DD" w:rsidRPr="002C2B23" w:rsidRDefault="005039DD">
      <w:pPr>
        <w:spacing w:line="360" w:lineRule="auto"/>
        <w:ind w:firstLine="480"/>
        <w:rPr>
          <w:bCs/>
          <w:sz w:val="24"/>
          <w:lang w:eastAsia="zh-CN"/>
        </w:rPr>
      </w:pPr>
    </w:p>
    <w:p w14:paraId="5A7B83B2" w14:textId="77777777" w:rsidR="005039DD" w:rsidRPr="002C2B23" w:rsidRDefault="0040620F">
      <w:pPr>
        <w:spacing w:line="360" w:lineRule="auto"/>
        <w:ind w:firstLine="480"/>
        <w:rPr>
          <w:bCs/>
          <w:sz w:val="24"/>
          <w:lang w:eastAsia="zh-CN"/>
        </w:rPr>
      </w:pPr>
      <w:r w:rsidRPr="002C2B23">
        <w:rPr>
          <w:bCs/>
          <w:sz w:val="24"/>
          <w:lang w:eastAsia="zh-CN"/>
        </w:rPr>
        <w:t>十四、基金的转托管</w:t>
      </w:r>
    </w:p>
    <w:p w14:paraId="4F7836E7" w14:textId="77777777" w:rsidR="005039DD" w:rsidRPr="002C2B23" w:rsidRDefault="0040620F">
      <w:pPr>
        <w:spacing w:line="360" w:lineRule="auto"/>
        <w:ind w:firstLine="480"/>
        <w:rPr>
          <w:bCs/>
          <w:sz w:val="24"/>
          <w:lang w:eastAsia="zh-CN"/>
        </w:rPr>
      </w:pPr>
      <w:r w:rsidRPr="002C2B23">
        <w:rPr>
          <w:bCs/>
          <w:sz w:val="24"/>
          <w:lang w:eastAsia="zh-CN"/>
        </w:rPr>
        <w:t>基金份额持有人可办理已持有基金份额在不同销售机构之间的转托管，基金销售机构可以按照规定的标准收取转托管费。</w:t>
      </w:r>
    </w:p>
    <w:p w14:paraId="51DF23B1" w14:textId="77777777" w:rsidR="005039DD" w:rsidRPr="002C2B23" w:rsidRDefault="005039DD">
      <w:pPr>
        <w:spacing w:line="360" w:lineRule="auto"/>
        <w:ind w:firstLine="480"/>
        <w:rPr>
          <w:bCs/>
          <w:sz w:val="24"/>
          <w:lang w:eastAsia="zh-CN"/>
        </w:rPr>
      </w:pPr>
    </w:p>
    <w:p w14:paraId="78692D17" w14:textId="77777777" w:rsidR="005039DD" w:rsidRPr="002C2B23" w:rsidRDefault="0040620F">
      <w:pPr>
        <w:spacing w:line="360" w:lineRule="auto"/>
        <w:ind w:firstLine="480"/>
        <w:rPr>
          <w:bCs/>
          <w:sz w:val="24"/>
          <w:lang w:eastAsia="zh-CN"/>
        </w:rPr>
      </w:pPr>
      <w:r w:rsidRPr="002C2B23">
        <w:rPr>
          <w:bCs/>
          <w:sz w:val="24"/>
          <w:lang w:eastAsia="zh-CN"/>
        </w:rPr>
        <w:t>十五、定期定额投资计划</w:t>
      </w:r>
    </w:p>
    <w:p w14:paraId="75F3CBDB" w14:textId="77777777" w:rsidR="005039DD" w:rsidRPr="002C2B23" w:rsidRDefault="0040620F">
      <w:pPr>
        <w:spacing w:line="360" w:lineRule="auto"/>
        <w:ind w:firstLine="480"/>
        <w:rPr>
          <w:bCs/>
          <w:sz w:val="24"/>
          <w:lang w:eastAsia="zh-CN"/>
        </w:rPr>
      </w:pPr>
      <w:r w:rsidRPr="002C2B23">
        <w:rPr>
          <w:bCs/>
          <w:sz w:val="24"/>
          <w:lang w:eastAsia="zh-CN"/>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14:paraId="24E07E2E" w14:textId="77777777" w:rsidR="005039DD" w:rsidRPr="002C2B23" w:rsidRDefault="005039DD">
      <w:pPr>
        <w:spacing w:line="360" w:lineRule="auto"/>
        <w:ind w:firstLine="480"/>
        <w:rPr>
          <w:bCs/>
          <w:sz w:val="24"/>
          <w:lang w:eastAsia="zh-CN"/>
        </w:rPr>
      </w:pPr>
    </w:p>
    <w:p w14:paraId="53557AA9" w14:textId="77777777" w:rsidR="005039DD" w:rsidRPr="002C2B23" w:rsidRDefault="0040620F">
      <w:pPr>
        <w:spacing w:line="360" w:lineRule="auto"/>
        <w:ind w:firstLine="480"/>
        <w:rPr>
          <w:bCs/>
          <w:sz w:val="24"/>
          <w:lang w:eastAsia="zh-CN"/>
        </w:rPr>
      </w:pPr>
      <w:r w:rsidRPr="002C2B23">
        <w:rPr>
          <w:bCs/>
          <w:sz w:val="24"/>
          <w:lang w:eastAsia="zh-CN"/>
        </w:rPr>
        <w:t>十六、基金份额的冻结和解冻与质押</w:t>
      </w:r>
    </w:p>
    <w:p w14:paraId="114F77F8" w14:textId="77777777" w:rsidR="005039DD" w:rsidRPr="002C2B23" w:rsidRDefault="0040620F">
      <w:pPr>
        <w:spacing w:line="360" w:lineRule="auto"/>
        <w:ind w:firstLine="480"/>
        <w:rPr>
          <w:bCs/>
          <w:sz w:val="24"/>
          <w:lang w:eastAsia="zh-CN"/>
        </w:rPr>
      </w:pPr>
      <w:r w:rsidRPr="002C2B23">
        <w:rPr>
          <w:bCs/>
          <w:sz w:val="24"/>
          <w:lang w:eastAsia="zh-CN"/>
        </w:rPr>
        <w:t>基金登记机构只受理国家有权机关依法要求的基金份额的冻结与解冻，以及登记机构认可、符合法律法规的其他情况下的冻结与解冻。基金份额被冻结的，被冻结部分产生的权益一并冻结，被冻结部分份额仍然参与收益分配与支付。法律法规或基金合同另有规定的除外。</w:t>
      </w:r>
    </w:p>
    <w:p w14:paraId="30BA1F04" w14:textId="77777777" w:rsidR="005039DD" w:rsidRPr="002C2B23" w:rsidRDefault="0040620F">
      <w:pPr>
        <w:spacing w:line="360" w:lineRule="auto"/>
        <w:ind w:firstLine="480"/>
        <w:rPr>
          <w:bCs/>
          <w:sz w:val="24"/>
          <w:lang w:eastAsia="zh-CN"/>
        </w:rPr>
      </w:pPr>
      <w:r w:rsidRPr="002C2B23">
        <w:rPr>
          <w:bCs/>
          <w:sz w:val="24"/>
          <w:lang w:eastAsia="zh-CN"/>
        </w:rPr>
        <w:t>对基金份额持有人无实质不利影响的前提下，如相关法律法规允许，基金管理人履行相关程序后可办理基金份额的质押业务或其他基金业务，基金管理人将制定和实施相应的业务规则。</w:t>
      </w:r>
    </w:p>
    <w:p w14:paraId="6F449F96" w14:textId="77777777" w:rsidR="005039DD" w:rsidRPr="002C2B23" w:rsidRDefault="005039DD">
      <w:pPr>
        <w:spacing w:line="360" w:lineRule="auto"/>
        <w:ind w:firstLine="480"/>
        <w:rPr>
          <w:bCs/>
          <w:sz w:val="24"/>
          <w:lang w:eastAsia="zh-CN"/>
        </w:rPr>
      </w:pPr>
    </w:p>
    <w:p w14:paraId="36AB341B" w14:textId="77777777" w:rsidR="005039DD" w:rsidRPr="002C2B23" w:rsidRDefault="0040620F">
      <w:pPr>
        <w:spacing w:line="360" w:lineRule="auto"/>
        <w:ind w:firstLine="480"/>
        <w:rPr>
          <w:bCs/>
          <w:sz w:val="24"/>
          <w:lang w:eastAsia="zh-CN"/>
        </w:rPr>
      </w:pPr>
      <w:r w:rsidRPr="002C2B23">
        <w:rPr>
          <w:bCs/>
          <w:sz w:val="24"/>
          <w:lang w:eastAsia="zh-CN"/>
        </w:rPr>
        <w:t>十七、实施</w:t>
      </w:r>
      <w:proofErr w:type="gramStart"/>
      <w:r w:rsidRPr="002C2B23">
        <w:rPr>
          <w:bCs/>
          <w:sz w:val="24"/>
          <w:lang w:eastAsia="zh-CN"/>
        </w:rPr>
        <w:t>侧袋机制</w:t>
      </w:r>
      <w:proofErr w:type="gramEnd"/>
      <w:r w:rsidRPr="002C2B23">
        <w:rPr>
          <w:bCs/>
          <w:sz w:val="24"/>
          <w:lang w:eastAsia="zh-CN"/>
        </w:rPr>
        <w:t>期间本基金的申购与赎回</w:t>
      </w:r>
    </w:p>
    <w:p w14:paraId="60FAB7F6" w14:textId="77777777" w:rsidR="005039DD" w:rsidRPr="002C2B23" w:rsidRDefault="0040620F">
      <w:pPr>
        <w:spacing w:line="360" w:lineRule="auto"/>
        <w:ind w:firstLine="480"/>
        <w:rPr>
          <w:bCs/>
          <w:sz w:val="24"/>
          <w:lang w:eastAsia="zh-CN"/>
        </w:rPr>
      </w:pPr>
      <w:r w:rsidRPr="002C2B23">
        <w:rPr>
          <w:bCs/>
          <w:sz w:val="24"/>
          <w:lang w:eastAsia="zh-CN"/>
        </w:rPr>
        <w:t>本基金实施</w:t>
      </w:r>
      <w:proofErr w:type="gramStart"/>
      <w:r w:rsidRPr="002C2B23">
        <w:rPr>
          <w:bCs/>
          <w:sz w:val="24"/>
          <w:lang w:eastAsia="zh-CN"/>
        </w:rPr>
        <w:t>侧袋机制</w:t>
      </w:r>
      <w:proofErr w:type="gramEnd"/>
      <w:r w:rsidRPr="002C2B23">
        <w:rPr>
          <w:bCs/>
          <w:sz w:val="24"/>
          <w:lang w:eastAsia="zh-CN"/>
        </w:rPr>
        <w:t>的，本基金的申购和赎回安排详见招募说明书或相关公告。</w:t>
      </w:r>
    </w:p>
    <w:p w14:paraId="0D705580" w14:textId="77777777" w:rsidR="005039DD" w:rsidRPr="002C2B23" w:rsidRDefault="005039DD">
      <w:pPr>
        <w:spacing w:line="360" w:lineRule="auto"/>
        <w:ind w:firstLine="480"/>
        <w:rPr>
          <w:bCs/>
          <w:sz w:val="24"/>
          <w:lang w:eastAsia="zh-CN"/>
        </w:rPr>
      </w:pPr>
    </w:p>
    <w:p w14:paraId="298CD004" w14:textId="77777777" w:rsidR="005039DD" w:rsidRPr="002C2B23" w:rsidRDefault="0040620F">
      <w:pPr>
        <w:spacing w:line="360" w:lineRule="auto"/>
        <w:ind w:firstLine="480"/>
        <w:rPr>
          <w:bCs/>
          <w:sz w:val="24"/>
          <w:lang w:eastAsia="zh-CN"/>
        </w:rPr>
      </w:pPr>
      <w:r w:rsidRPr="002C2B23">
        <w:rPr>
          <w:rFonts w:ascii="宋体" w:hAnsi="等线"/>
          <w:sz w:val="24"/>
          <w:szCs w:val="24"/>
          <w:lang w:eastAsia="zh-CN"/>
        </w:rPr>
        <w:t>十八、</w:t>
      </w:r>
      <w:r w:rsidRPr="002C2B23">
        <w:rPr>
          <w:rFonts w:ascii="宋体" w:hAnsi="宋体"/>
          <w:sz w:val="24"/>
          <w:szCs w:val="24"/>
          <w:lang w:eastAsia="zh-CN"/>
        </w:rPr>
        <w:t>基金管理人可在法律法规允许的范围内，在不影响基金份额持有人实质利益的前提下，根据市场情况对上述申购和赎回的安排进行补充和调整并提前公告。</w:t>
      </w:r>
    </w:p>
    <w:p w14:paraId="482CDDC4" w14:textId="77777777" w:rsidR="005039DD" w:rsidRPr="002C2B23" w:rsidRDefault="005039DD">
      <w:pPr>
        <w:spacing w:line="360" w:lineRule="auto"/>
        <w:ind w:firstLine="480"/>
        <w:rPr>
          <w:bCs/>
          <w:sz w:val="24"/>
          <w:lang w:eastAsia="zh-CN"/>
        </w:rPr>
        <w:sectPr w:rsidR="005039DD" w:rsidRPr="002C2B23">
          <w:footerReference w:type="default" r:id="rId16"/>
          <w:pgSz w:w="12240" w:h="15840"/>
          <w:pgMar w:top="1440" w:right="1800" w:bottom="1440" w:left="1800" w:header="720" w:footer="720" w:gutter="0"/>
          <w:cols w:space="720"/>
          <w:docGrid w:linePitch="312"/>
        </w:sectPr>
      </w:pPr>
    </w:p>
    <w:p w14:paraId="7C447500" w14:textId="77777777" w:rsidR="005039DD" w:rsidRPr="002C2B23" w:rsidRDefault="0040620F">
      <w:pPr>
        <w:pStyle w:val="112"/>
        <w:spacing w:before="0" w:after="0"/>
        <w:jc w:val="center"/>
        <w:rPr>
          <w:rFonts w:ascii="Times New Roman"/>
          <w:sz w:val="30"/>
          <w:lang w:eastAsia="zh-CN"/>
        </w:rPr>
      </w:pPr>
      <w:bookmarkStart w:id="130" w:name="_Toc14835"/>
      <w:bookmarkStart w:id="131" w:name="_Toc3601"/>
      <w:bookmarkStart w:id="132" w:name="_Toc98560353"/>
      <w:bookmarkStart w:id="133" w:name="_Toc29251"/>
      <w:bookmarkStart w:id="134" w:name="_Toc15143"/>
      <w:bookmarkStart w:id="135" w:name="_Toc31653"/>
      <w:bookmarkStart w:id="136" w:name="_Toc26207"/>
      <w:bookmarkStart w:id="137" w:name="_Toc141703887"/>
      <w:bookmarkStart w:id="138" w:name="_Toc6405"/>
      <w:bookmarkStart w:id="139" w:name="_Toc123051453"/>
      <w:bookmarkStart w:id="140" w:name="_Toc123112235"/>
      <w:bookmarkStart w:id="141" w:name="_Toc31644"/>
      <w:bookmarkStart w:id="142" w:name="_Toc16859"/>
      <w:bookmarkStart w:id="143" w:name="_Toc109141367"/>
      <w:bookmarkStart w:id="144" w:name="_Toc123102454"/>
      <w:bookmarkStart w:id="145" w:name="_Toc12245"/>
      <w:bookmarkStart w:id="146" w:name="_Toc31235"/>
      <w:bookmarkStart w:id="147" w:name="_Toc139991737"/>
      <w:r w:rsidRPr="002C2B23">
        <w:rPr>
          <w:rFonts w:ascii="Times New Roman"/>
          <w:sz w:val="30"/>
          <w:lang w:eastAsia="zh-CN"/>
        </w:rPr>
        <w:t>第七部分</w:t>
      </w:r>
      <w:r w:rsidRPr="002C2B23">
        <w:rPr>
          <w:rFonts w:ascii="Times New Roman"/>
          <w:sz w:val="30"/>
          <w:lang w:eastAsia="zh-CN"/>
        </w:rPr>
        <w:t xml:space="preserve">  </w:t>
      </w:r>
      <w:r w:rsidRPr="002C2B23">
        <w:rPr>
          <w:rFonts w:ascii="Times New Roman"/>
          <w:sz w:val="30"/>
          <w:lang w:eastAsia="zh-CN"/>
        </w:rPr>
        <w:t>基金合同当事人及权利义务</w:t>
      </w:r>
      <w:bookmarkStart w:id="148" w:name="_Hlt55355235"/>
      <w:bookmarkStart w:id="149" w:name="_Toc523711668"/>
      <w:bookmarkStart w:id="150" w:name="_Toc15118234"/>
      <w:bookmarkStart w:id="151" w:name="_Toc57530239"/>
      <w:bookmarkStart w:id="152" w:name="_Toc79392580"/>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14:paraId="6949882B" w14:textId="77777777" w:rsidR="005039DD" w:rsidRPr="002C2B23" w:rsidRDefault="005039DD">
      <w:pPr>
        <w:spacing w:line="360" w:lineRule="auto"/>
        <w:ind w:firstLine="480"/>
        <w:rPr>
          <w:bCs/>
          <w:sz w:val="24"/>
          <w:lang w:eastAsia="zh-CN"/>
        </w:rPr>
      </w:pPr>
    </w:p>
    <w:p w14:paraId="44F9CD89" w14:textId="77777777" w:rsidR="005039DD" w:rsidRPr="002C2B23" w:rsidRDefault="0040620F">
      <w:pPr>
        <w:spacing w:line="360" w:lineRule="auto"/>
        <w:ind w:firstLine="480"/>
        <w:rPr>
          <w:bCs/>
          <w:sz w:val="24"/>
          <w:lang w:eastAsia="zh-CN"/>
        </w:rPr>
      </w:pPr>
      <w:bookmarkStart w:id="153" w:name="_Hlk96416406"/>
      <w:r w:rsidRPr="002C2B23">
        <w:rPr>
          <w:bCs/>
          <w:sz w:val="24"/>
          <w:lang w:eastAsia="zh-CN"/>
        </w:rPr>
        <w:t>一、基金</w:t>
      </w:r>
      <w:bookmarkEnd w:id="149"/>
      <w:r w:rsidRPr="002C2B23">
        <w:rPr>
          <w:bCs/>
          <w:sz w:val="24"/>
          <w:lang w:eastAsia="zh-CN"/>
        </w:rPr>
        <w:t>管理人</w:t>
      </w:r>
      <w:bookmarkEnd w:id="150"/>
      <w:bookmarkEnd w:id="151"/>
      <w:bookmarkEnd w:id="152"/>
    </w:p>
    <w:p w14:paraId="3E4EDA89" w14:textId="77777777" w:rsidR="005039DD" w:rsidRPr="002C2B23" w:rsidRDefault="0040620F">
      <w:pPr>
        <w:spacing w:line="360" w:lineRule="auto"/>
        <w:ind w:firstLine="480"/>
        <w:rPr>
          <w:bCs/>
          <w:sz w:val="24"/>
          <w:lang w:eastAsia="zh-CN"/>
        </w:rPr>
      </w:pPr>
      <w:bookmarkStart w:id="154" w:name="_Toc15118235"/>
      <w:r w:rsidRPr="002C2B23">
        <w:rPr>
          <w:bCs/>
          <w:sz w:val="24"/>
          <w:lang w:eastAsia="zh-CN"/>
        </w:rPr>
        <w:t>（一）</w:t>
      </w:r>
      <w:r w:rsidRPr="002C2B23">
        <w:rPr>
          <w:bCs/>
          <w:sz w:val="24"/>
          <w:lang w:eastAsia="zh-CN"/>
        </w:rPr>
        <w:tab/>
      </w:r>
      <w:r w:rsidRPr="002C2B23">
        <w:rPr>
          <w:bCs/>
          <w:sz w:val="24"/>
          <w:lang w:eastAsia="zh-CN"/>
        </w:rPr>
        <w:t>基金管理人简况</w:t>
      </w:r>
      <w:bookmarkEnd w:id="154"/>
    </w:p>
    <w:p w14:paraId="72228478" w14:textId="77777777" w:rsidR="005039DD" w:rsidRPr="002C2B23" w:rsidRDefault="0040620F">
      <w:pPr>
        <w:spacing w:line="360" w:lineRule="auto"/>
        <w:ind w:firstLine="480"/>
        <w:rPr>
          <w:bCs/>
          <w:sz w:val="24"/>
          <w:lang w:eastAsia="zh-CN"/>
        </w:rPr>
      </w:pPr>
      <w:bookmarkStart w:id="155" w:name="_Toc15118236"/>
      <w:bookmarkStart w:id="156" w:name="_Toc15118237"/>
      <w:r w:rsidRPr="002C2B23">
        <w:rPr>
          <w:bCs/>
          <w:sz w:val="24"/>
          <w:lang w:eastAsia="zh-CN"/>
        </w:rPr>
        <w:t>名称：红土创新基金管理有限公司</w:t>
      </w:r>
    </w:p>
    <w:p w14:paraId="3140F378" w14:textId="77777777" w:rsidR="005039DD" w:rsidRPr="002C2B23" w:rsidRDefault="0040620F">
      <w:pPr>
        <w:spacing w:line="360" w:lineRule="auto"/>
        <w:ind w:firstLine="480"/>
        <w:rPr>
          <w:rFonts w:ascii="宋体" w:hAnsi="宋体"/>
          <w:bCs/>
          <w:sz w:val="24"/>
          <w:lang w:eastAsia="zh-CN"/>
        </w:rPr>
      </w:pPr>
      <w:r w:rsidRPr="002C2B23">
        <w:rPr>
          <w:bCs/>
          <w:sz w:val="24"/>
          <w:lang w:eastAsia="zh-CN"/>
        </w:rPr>
        <w:t>住所：</w:t>
      </w:r>
      <w:r w:rsidRPr="002C2B23">
        <w:rPr>
          <w:rFonts w:ascii="宋体" w:hAnsi="宋体" w:hint="eastAsia"/>
          <w:bCs/>
          <w:sz w:val="24"/>
          <w:lang w:eastAsia="zh-CN"/>
        </w:rPr>
        <w:t>深圳市前海深港合作区前湾一路1号A栋201室（入驻深圳市前海商务秘书有限公司）</w:t>
      </w:r>
    </w:p>
    <w:p w14:paraId="23C91072" w14:textId="77777777" w:rsidR="005039DD" w:rsidRPr="002C2B23" w:rsidRDefault="0040620F">
      <w:pPr>
        <w:spacing w:line="360" w:lineRule="auto"/>
        <w:ind w:firstLine="480"/>
        <w:rPr>
          <w:rFonts w:ascii="宋体" w:hAnsi="宋体"/>
          <w:bCs/>
          <w:sz w:val="24"/>
          <w:lang w:eastAsia="zh-CN"/>
        </w:rPr>
      </w:pPr>
      <w:r w:rsidRPr="002C2B23">
        <w:rPr>
          <w:rFonts w:ascii="宋体" w:hAnsi="宋体"/>
          <w:bCs/>
          <w:sz w:val="24"/>
          <w:lang w:eastAsia="zh-CN"/>
        </w:rPr>
        <w:t>法定代表人：</w:t>
      </w:r>
      <w:r w:rsidRPr="002C2B23">
        <w:rPr>
          <w:rFonts w:ascii="宋体" w:hAnsi="宋体" w:hint="eastAsia"/>
          <w:bCs/>
          <w:sz w:val="24"/>
          <w:lang w:eastAsia="zh-CN"/>
        </w:rPr>
        <w:t>何琨</w:t>
      </w:r>
    </w:p>
    <w:p w14:paraId="7388B4AF" w14:textId="77777777" w:rsidR="005039DD" w:rsidRPr="002C2B23" w:rsidRDefault="0040620F">
      <w:pPr>
        <w:spacing w:line="360" w:lineRule="auto"/>
        <w:ind w:firstLine="480"/>
        <w:rPr>
          <w:rFonts w:ascii="宋体" w:hAnsi="宋体"/>
          <w:bCs/>
          <w:sz w:val="24"/>
          <w:lang w:eastAsia="zh-CN"/>
        </w:rPr>
      </w:pPr>
      <w:r w:rsidRPr="002C2B23">
        <w:rPr>
          <w:rFonts w:ascii="宋体" w:hAnsi="宋体"/>
          <w:bCs/>
          <w:sz w:val="24"/>
          <w:lang w:eastAsia="zh-CN"/>
        </w:rPr>
        <w:t>设立日期：2014年6月18日</w:t>
      </w:r>
    </w:p>
    <w:p w14:paraId="5E88A485" w14:textId="77777777" w:rsidR="005039DD" w:rsidRPr="002C2B23" w:rsidRDefault="0040620F">
      <w:pPr>
        <w:spacing w:line="360" w:lineRule="auto"/>
        <w:ind w:firstLine="480"/>
        <w:rPr>
          <w:rFonts w:ascii="宋体" w:hAnsi="宋体"/>
          <w:bCs/>
          <w:sz w:val="24"/>
          <w:lang w:eastAsia="zh-CN"/>
        </w:rPr>
      </w:pPr>
      <w:r w:rsidRPr="002C2B23">
        <w:rPr>
          <w:rFonts w:ascii="宋体" w:hAnsi="宋体"/>
          <w:bCs/>
          <w:sz w:val="24"/>
          <w:lang w:eastAsia="zh-CN"/>
        </w:rPr>
        <w:t>批准设立机关及批准设立文号：中国证券监督管理委员会，证监许可字[2014]562号</w:t>
      </w:r>
    </w:p>
    <w:p w14:paraId="3B1C6167" w14:textId="77777777" w:rsidR="005039DD" w:rsidRPr="002C2B23" w:rsidRDefault="0040620F">
      <w:pPr>
        <w:spacing w:line="360" w:lineRule="auto"/>
        <w:ind w:firstLine="480"/>
        <w:rPr>
          <w:rFonts w:ascii="宋体" w:hAnsi="宋体"/>
          <w:bCs/>
          <w:sz w:val="24"/>
          <w:lang w:eastAsia="zh-CN"/>
        </w:rPr>
      </w:pPr>
      <w:r w:rsidRPr="002C2B23">
        <w:rPr>
          <w:rFonts w:ascii="宋体" w:hAnsi="宋体"/>
          <w:bCs/>
          <w:sz w:val="24"/>
          <w:lang w:eastAsia="zh-CN"/>
        </w:rPr>
        <w:t>组织形式：有限责任公司</w:t>
      </w:r>
    </w:p>
    <w:p w14:paraId="4AD17326" w14:textId="77777777" w:rsidR="005039DD" w:rsidRPr="002C2B23" w:rsidRDefault="0040620F">
      <w:pPr>
        <w:spacing w:line="360" w:lineRule="auto"/>
        <w:ind w:firstLine="480"/>
        <w:rPr>
          <w:rFonts w:ascii="宋体" w:hAnsi="宋体"/>
          <w:bCs/>
          <w:sz w:val="24"/>
          <w:lang w:eastAsia="zh-CN"/>
        </w:rPr>
      </w:pPr>
      <w:r w:rsidRPr="002C2B23">
        <w:rPr>
          <w:rFonts w:ascii="宋体" w:hAnsi="宋体"/>
          <w:bCs/>
          <w:sz w:val="24"/>
          <w:lang w:eastAsia="zh-CN"/>
        </w:rPr>
        <w:t>注册资本：</w:t>
      </w:r>
      <w:r w:rsidRPr="002C2B23">
        <w:rPr>
          <w:rFonts w:ascii="宋体" w:hAnsi="宋体" w:hint="eastAsia"/>
          <w:bCs/>
          <w:sz w:val="24"/>
          <w:lang w:eastAsia="zh-CN"/>
        </w:rPr>
        <w:t>5.5</w:t>
      </w:r>
      <w:r w:rsidRPr="002C2B23">
        <w:rPr>
          <w:rFonts w:ascii="宋体" w:hAnsi="宋体"/>
          <w:bCs/>
          <w:sz w:val="24"/>
          <w:lang w:eastAsia="zh-CN"/>
        </w:rPr>
        <w:t>亿元人民币</w:t>
      </w:r>
    </w:p>
    <w:p w14:paraId="603B64A0" w14:textId="77777777" w:rsidR="005039DD" w:rsidRPr="002C2B23" w:rsidRDefault="0040620F">
      <w:pPr>
        <w:spacing w:line="360" w:lineRule="auto"/>
        <w:ind w:firstLine="480"/>
        <w:rPr>
          <w:rFonts w:ascii="宋体" w:hAnsi="宋体"/>
          <w:bCs/>
          <w:sz w:val="24"/>
          <w:lang w:eastAsia="zh-CN"/>
        </w:rPr>
      </w:pPr>
      <w:r w:rsidRPr="002C2B23">
        <w:rPr>
          <w:rFonts w:ascii="宋体" w:hAnsi="宋体"/>
          <w:bCs/>
          <w:sz w:val="24"/>
          <w:lang w:eastAsia="zh-CN"/>
        </w:rPr>
        <w:t>存续期限：持续经营</w:t>
      </w:r>
    </w:p>
    <w:p w14:paraId="61903693" w14:textId="77777777" w:rsidR="005039DD" w:rsidRPr="002C2B23" w:rsidRDefault="0040620F">
      <w:pPr>
        <w:spacing w:line="360" w:lineRule="auto"/>
        <w:ind w:firstLine="480"/>
        <w:rPr>
          <w:bCs/>
          <w:sz w:val="24"/>
          <w:lang w:eastAsia="zh-CN"/>
        </w:rPr>
      </w:pPr>
      <w:r w:rsidRPr="002C2B23">
        <w:rPr>
          <w:rFonts w:ascii="宋体" w:hAnsi="宋体"/>
          <w:bCs/>
          <w:sz w:val="24"/>
          <w:lang w:eastAsia="zh-CN"/>
        </w:rPr>
        <w:t>联系电话：0755～33011866</w:t>
      </w:r>
      <w:bookmarkEnd w:id="155"/>
    </w:p>
    <w:bookmarkEnd w:id="153"/>
    <w:p w14:paraId="748A872E" w14:textId="77777777" w:rsidR="005039DD" w:rsidRPr="002C2B23" w:rsidRDefault="0040620F">
      <w:pPr>
        <w:spacing w:line="360" w:lineRule="auto"/>
        <w:ind w:firstLine="480"/>
        <w:rPr>
          <w:bCs/>
          <w:sz w:val="24"/>
          <w:lang w:eastAsia="zh-CN"/>
        </w:rPr>
      </w:pPr>
      <w:r w:rsidRPr="002C2B23">
        <w:rPr>
          <w:bCs/>
          <w:sz w:val="24"/>
          <w:lang w:eastAsia="zh-CN"/>
        </w:rPr>
        <w:t>（二）</w:t>
      </w:r>
      <w:r w:rsidRPr="002C2B23">
        <w:rPr>
          <w:bCs/>
          <w:sz w:val="24"/>
          <w:lang w:eastAsia="zh-CN"/>
        </w:rPr>
        <w:tab/>
      </w:r>
      <w:r w:rsidRPr="002C2B23">
        <w:rPr>
          <w:bCs/>
          <w:sz w:val="24"/>
          <w:lang w:eastAsia="zh-CN"/>
        </w:rPr>
        <w:t>基金管理人的权利与义务</w:t>
      </w:r>
      <w:bookmarkEnd w:id="156"/>
    </w:p>
    <w:p w14:paraId="0170F17E"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、根据《基金法》《运作办法》及其他有关规定，基金管理人的权利包括但不限于：</w:t>
      </w:r>
    </w:p>
    <w:p w14:paraId="64ED12F6"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）依法募集资金；</w:t>
      </w:r>
    </w:p>
    <w:p w14:paraId="75FD5D4D"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）自《基金合同》生效之日起，根据法律法规和《基金合同》独立运用并管理基金财产；</w:t>
      </w:r>
    </w:p>
    <w:p w14:paraId="13F15AE5"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3</w:t>
      </w:r>
      <w:r w:rsidRPr="002C2B23">
        <w:rPr>
          <w:bCs/>
          <w:sz w:val="24"/>
          <w:lang w:eastAsia="zh-CN"/>
        </w:rPr>
        <w:t>）依照《基金合同》收取基金管理费以及法律法规规定或中国证监会批准的其他费用；</w:t>
      </w:r>
    </w:p>
    <w:p w14:paraId="2D38C9DA"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4</w:t>
      </w:r>
      <w:r w:rsidRPr="002C2B23">
        <w:rPr>
          <w:bCs/>
          <w:sz w:val="24"/>
          <w:lang w:eastAsia="zh-CN"/>
        </w:rPr>
        <w:t>）销售基金份额；</w:t>
      </w:r>
    </w:p>
    <w:p w14:paraId="76A46EAF"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5</w:t>
      </w:r>
      <w:r w:rsidRPr="002C2B23">
        <w:rPr>
          <w:bCs/>
          <w:sz w:val="24"/>
          <w:lang w:eastAsia="zh-CN"/>
        </w:rPr>
        <w:t>）</w:t>
      </w:r>
      <w:bookmarkStart w:id="157" w:name="_Hlt88896155"/>
      <w:r w:rsidRPr="002C2B23">
        <w:rPr>
          <w:bCs/>
          <w:sz w:val="24"/>
          <w:lang w:eastAsia="zh-CN"/>
        </w:rPr>
        <w:t>按照规定召集</w:t>
      </w:r>
      <w:bookmarkEnd w:id="157"/>
      <w:r w:rsidRPr="002C2B23">
        <w:rPr>
          <w:bCs/>
          <w:sz w:val="24"/>
          <w:lang w:eastAsia="zh-CN"/>
        </w:rPr>
        <w:t>基金份额持有人大会；</w:t>
      </w:r>
    </w:p>
    <w:p w14:paraId="1D371C26"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6</w:t>
      </w:r>
      <w:r w:rsidRPr="002C2B23">
        <w:rPr>
          <w:bCs/>
          <w:sz w:val="24"/>
          <w:lang w:eastAsia="zh-CN"/>
        </w:rPr>
        <w:t>）依据《基金合同》及有关法律规定监督基金托管人，如认为基金托管人违反了《基金合同》及国家有关法律规定，应呈报中国证监会和其他监管部门，并采取必要措施保护基金投资者的利益；</w:t>
      </w:r>
    </w:p>
    <w:p w14:paraId="663F98EC"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7</w:t>
      </w:r>
      <w:r w:rsidRPr="002C2B23">
        <w:rPr>
          <w:bCs/>
          <w:sz w:val="24"/>
          <w:lang w:eastAsia="zh-CN"/>
        </w:rPr>
        <w:t>）在基金托管人更换时，提名新的基金托管人；</w:t>
      </w:r>
    </w:p>
    <w:p w14:paraId="30DA7BA3" w14:textId="77777777" w:rsidR="005039DD" w:rsidRPr="002C2B23" w:rsidRDefault="0040620F">
      <w:pPr>
        <w:spacing w:line="440" w:lineRule="atLeast"/>
        <w:ind w:firstLine="480"/>
        <w:rPr>
          <w:bCs/>
          <w:sz w:val="24"/>
          <w:lang w:eastAsia="zh-CN"/>
        </w:rPr>
      </w:pPr>
      <w:r w:rsidRPr="002C2B23">
        <w:rPr>
          <w:bCs/>
          <w:sz w:val="24"/>
          <w:lang w:eastAsia="zh-CN"/>
        </w:rPr>
        <w:t>（</w:t>
      </w:r>
      <w:r w:rsidRPr="002C2B23">
        <w:rPr>
          <w:bCs/>
          <w:sz w:val="24"/>
          <w:lang w:eastAsia="zh-CN"/>
        </w:rPr>
        <w:t>8</w:t>
      </w:r>
      <w:r w:rsidRPr="002C2B23">
        <w:rPr>
          <w:bCs/>
          <w:sz w:val="24"/>
          <w:lang w:eastAsia="zh-CN"/>
        </w:rPr>
        <w:t>）选择、更换基金销售机构，对基金销售机构的相关行为进行监督和处理；</w:t>
      </w:r>
      <w:r w:rsidRPr="002C2B23">
        <w:rPr>
          <w:bCs/>
          <w:sz w:val="24"/>
          <w:lang w:eastAsia="zh-CN"/>
        </w:rPr>
        <w:t xml:space="preserve"> </w:t>
      </w:r>
    </w:p>
    <w:p w14:paraId="48C5F741" w14:textId="77777777" w:rsidR="005039DD" w:rsidRPr="002C2B23" w:rsidRDefault="0040620F">
      <w:pPr>
        <w:spacing w:line="440" w:lineRule="atLeast"/>
        <w:ind w:firstLine="480"/>
        <w:rPr>
          <w:bCs/>
          <w:sz w:val="24"/>
          <w:lang w:eastAsia="zh-CN"/>
        </w:rPr>
      </w:pPr>
      <w:r w:rsidRPr="002C2B23">
        <w:rPr>
          <w:bCs/>
          <w:sz w:val="24"/>
          <w:lang w:eastAsia="zh-CN"/>
        </w:rPr>
        <w:t>（</w:t>
      </w:r>
      <w:r w:rsidRPr="002C2B23">
        <w:rPr>
          <w:bCs/>
          <w:sz w:val="24"/>
          <w:lang w:eastAsia="zh-CN"/>
        </w:rPr>
        <w:t>9</w:t>
      </w:r>
      <w:r w:rsidRPr="002C2B23">
        <w:rPr>
          <w:bCs/>
          <w:sz w:val="24"/>
          <w:lang w:eastAsia="zh-CN"/>
        </w:rPr>
        <w:t>）担任或委托其他符合条件的机构担任基金登记机构办理基金登记业务并获得《基金合同》规定的费用；</w:t>
      </w:r>
      <w:r w:rsidRPr="002C2B23">
        <w:rPr>
          <w:bCs/>
          <w:sz w:val="24"/>
          <w:lang w:eastAsia="zh-CN"/>
        </w:rPr>
        <w:t xml:space="preserve"> </w:t>
      </w:r>
    </w:p>
    <w:p w14:paraId="6DAB46B0" w14:textId="77777777" w:rsidR="005039DD" w:rsidRPr="002C2B23" w:rsidRDefault="0040620F">
      <w:pPr>
        <w:spacing w:line="440" w:lineRule="atLeast"/>
        <w:ind w:firstLine="480"/>
        <w:rPr>
          <w:bCs/>
          <w:sz w:val="24"/>
          <w:lang w:eastAsia="zh-CN"/>
        </w:rPr>
      </w:pPr>
      <w:r w:rsidRPr="002C2B23">
        <w:rPr>
          <w:bCs/>
          <w:sz w:val="24"/>
          <w:lang w:eastAsia="zh-CN"/>
        </w:rPr>
        <w:t>（</w:t>
      </w:r>
      <w:r w:rsidRPr="002C2B23">
        <w:rPr>
          <w:bCs/>
          <w:sz w:val="24"/>
          <w:lang w:eastAsia="zh-CN"/>
        </w:rPr>
        <w:t>10</w:t>
      </w:r>
      <w:r w:rsidRPr="002C2B23">
        <w:rPr>
          <w:bCs/>
          <w:sz w:val="24"/>
          <w:lang w:eastAsia="zh-CN"/>
        </w:rPr>
        <w:t>）依据《基金合同》及有关法律规定决定基金收益的分配方案；</w:t>
      </w:r>
      <w:r w:rsidRPr="002C2B23">
        <w:rPr>
          <w:bCs/>
          <w:sz w:val="24"/>
          <w:lang w:eastAsia="zh-CN"/>
        </w:rPr>
        <w:tab/>
      </w:r>
    </w:p>
    <w:p w14:paraId="5EC3B21D" w14:textId="77777777" w:rsidR="005039DD" w:rsidRPr="002C2B23" w:rsidRDefault="0040620F">
      <w:pPr>
        <w:spacing w:line="440" w:lineRule="atLeast"/>
        <w:ind w:firstLine="480"/>
        <w:rPr>
          <w:bCs/>
          <w:sz w:val="24"/>
          <w:lang w:eastAsia="zh-CN"/>
        </w:rPr>
      </w:pPr>
      <w:r w:rsidRPr="002C2B23">
        <w:rPr>
          <w:bCs/>
          <w:sz w:val="24"/>
          <w:lang w:eastAsia="zh-CN"/>
        </w:rPr>
        <w:t>（</w:t>
      </w:r>
      <w:r w:rsidRPr="002C2B23">
        <w:rPr>
          <w:bCs/>
          <w:sz w:val="24"/>
          <w:lang w:eastAsia="zh-CN"/>
        </w:rPr>
        <w:t>11</w:t>
      </w:r>
      <w:r w:rsidRPr="002C2B23">
        <w:rPr>
          <w:bCs/>
          <w:sz w:val="24"/>
          <w:lang w:eastAsia="zh-CN"/>
        </w:rPr>
        <w:t>）在《基金合同》约定的范围内，拒绝或暂停受理申购、赎回与转换申请；</w:t>
      </w:r>
      <w:r w:rsidRPr="002C2B23">
        <w:rPr>
          <w:bCs/>
          <w:sz w:val="24"/>
          <w:lang w:eastAsia="zh-CN"/>
        </w:rPr>
        <w:t xml:space="preserve"> </w:t>
      </w:r>
    </w:p>
    <w:p w14:paraId="1494FD32" w14:textId="77777777" w:rsidR="005039DD" w:rsidRPr="002C2B23" w:rsidRDefault="0040620F">
      <w:pPr>
        <w:spacing w:line="440" w:lineRule="atLeast"/>
        <w:ind w:firstLine="480"/>
        <w:rPr>
          <w:bCs/>
          <w:sz w:val="24"/>
          <w:lang w:eastAsia="zh-CN"/>
        </w:rPr>
      </w:pPr>
      <w:r w:rsidRPr="002C2B23">
        <w:rPr>
          <w:bCs/>
          <w:sz w:val="24"/>
          <w:lang w:eastAsia="zh-CN"/>
        </w:rPr>
        <w:t>（</w:t>
      </w:r>
      <w:r w:rsidRPr="002C2B23">
        <w:rPr>
          <w:bCs/>
          <w:sz w:val="24"/>
          <w:lang w:eastAsia="zh-CN"/>
        </w:rPr>
        <w:t>12</w:t>
      </w:r>
      <w:r w:rsidRPr="002C2B23">
        <w:rPr>
          <w:bCs/>
          <w:sz w:val="24"/>
          <w:lang w:eastAsia="zh-CN"/>
        </w:rPr>
        <w:t>）依照法律法规为基金的利益对被投资公司行使股东权利，为基金的利益行使因基金财产投资于证券所产生的权利；</w:t>
      </w:r>
    </w:p>
    <w:p w14:paraId="32C227E7" w14:textId="77777777" w:rsidR="005039DD" w:rsidRPr="002C2B23" w:rsidRDefault="0040620F">
      <w:pPr>
        <w:spacing w:line="440" w:lineRule="atLeast"/>
        <w:ind w:firstLine="480"/>
        <w:rPr>
          <w:bCs/>
          <w:sz w:val="24"/>
          <w:lang w:eastAsia="zh-CN"/>
        </w:rPr>
      </w:pPr>
      <w:r w:rsidRPr="002C2B23">
        <w:rPr>
          <w:bCs/>
          <w:sz w:val="24"/>
          <w:lang w:eastAsia="zh-CN"/>
        </w:rPr>
        <w:t>（</w:t>
      </w:r>
      <w:r w:rsidRPr="002C2B23">
        <w:rPr>
          <w:bCs/>
          <w:sz w:val="24"/>
          <w:lang w:eastAsia="zh-CN"/>
        </w:rPr>
        <w:t>13</w:t>
      </w:r>
      <w:r w:rsidRPr="002C2B23">
        <w:rPr>
          <w:bCs/>
          <w:sz w:val="24"/>
          <w:lang w:eastAsia="zh-CN"/>
        </w:rPr>
        <w:t>）在法律法规允许的前提下，为基金的利益依法为基金进行融资；</w:t>
      </w:r>
      <w:r w:rsidRPr="002C2B23">
        <w:rPr>
          <w:bCs/>
          <w:sz w:val="24"/>
          <w:lang w:eastAsia="zh-CN"/>
        </w:rPr>
        <w:t xml:space="preserve"> </w:t>
      </w:r>
    </w:p>
    <w:p w14:paraId="5D81A05C" w14:textId="77777777" w:rsidR="005039DD" w:rsidRPr="002C2B23" w:rsidRDefault="0040620F">
      <w:pPr>
        <w:spacing w:line="440" w:lineRule="atLeast"/>
        <w:ind w:firstLine="480"/>
        <w:rPr>
          <w:bCs/>
          <w:sz w:val="24"/>
          <w:lang w:eastAsia="zh-CN"/>
        </w:rPr>
      </w:pPr>
      <w:r w:rsidRPr="002C2B23">
        <w:rPr>
          <w:bCs/>
          <w:sz w:val="24"/>
          <w:lang w:eastAsia="zh-CN"/>
        </w:rPr>
        <w:t>（</w:t>
      </w:r>
      <w:r w:rsidRPr="002C2B23">
        <w:rPr>
          <w:bCs/>
          <w:sz w:val="24"/>
          <w:lang w:eastAsia="zh-CN"/>
        </w:rPr>
        <w:t>14</w:t>
      </w:r>
      <w:r w:rsidRPr="002C2B23">
        <w:rPr>
          <w:bCs/>
          <w:sz w:val="24"/>
          <w:lang w:eastAsia="zh-CN"/>
        </w:rPr>
        <w:t>）以基金管理人的名义，代表基金份额持有人的利益行使诉讼权利或者实施其他法律行为；</w:t>
      </w:r>
    </w:p>
    <w:p w14:paraId="50F1C249" w14:textId="77777777" w:rsidR="005039DD" w:rsidRPr="002C2B23" w:rsidRDefault="0040620F">
      <w:pPr>
        <w:spacing w:line="440" w:lineRule="atLeast"/>
        <w:ind w:firstLine="480"/>
        <w:rPr>
          <w:bCs/>
          <w:sz w:val="24"/>
          <w:lang w:eastAsia="zh-CN"/>
        </w:rPr>
      </w:pPr>
      <w:r w:rsidRPr="002C2B23">
        <w:rPr>
          <w:bCs/>
          <w:sz w:val="24"/>
          <w:lang w:eastAsia="zh-CN"/>
        </w:rPr>
        <w:t>（</w:t>
      </w:r>
      <w:r w:rsidRPr="002C2B23">
        <w:rPr>
          <w:bCs/>
          <w:sz w:val="24"/>
          <w:lang w:eastAsia="zh-CN"/>
        </w:rPr>
        <w:t>15</w:t>
      </w:r>
      <w:r w:rsidRPr="002C2B23">
        <w:rPr>
          <w:bCs/>
          <w:sz w:val="24"/>
          <w:lang w:eastAsia="zh-CN"/>
        </w:rPr>
        <w:t>）选择、更换律师事务所、会计师事务所、证券、期货经纪商或其他为基金提供服务的外部机构；</w:t>
      </w:r>
    </w:p>
    <w:p w14:paraId="65B754B1" w14:textId="77777777" w:rsidR="005039DD" w:rsidRPr="002C2B23" w:rsidRDefault="0040620F">
      <w:pPr>
        <w:spacing w:line="440" w:lineRule="atLeast"/>
        <w:ind w:firstLine="480"/>
        <w:rPr>
          <w:bCs/>
          <w:sz w:val="24"/>
          <w:lang w:eastAsia="zh-CN"/>
        </w:rPr>
      </w:pPr>
      <w:r w:rsidRPr="002C2B23">
        <w:rPr>
          <w:bCs/>
          <w:sz w:val="24"/>
          <w:lang w:eastAsia="zh-CN"/>
        </w:rPr>
        <w:t>（</w:t>
      </w:r>
      <w:r w:rsidRPr="002C2B23">
        <w:rPr>
          <w:bCs/>
          <w:sz w:val="24"/>
          <w:lang w:eastAsia="zh-CN"/>
        </w:rPr>
        <w:t>16</w:t>
      </w:r>
      <w:r w:rsidRPr="002C2B23">
        <w:rPr>
          <w:bCs/>
          <w:sz w:val="24"/>
          <w:lang w:eastAsia="zh-CN"/>
        </w:rPr>
        <w:t>）在符合有关法律、法规的前提下，制订和调整有关基金认购、申购、赎回、转换、定期定额投资和</w:t>
      </w:r>
      <w:proofErr w:type="gramStart"/>
      <w:r w:rsidRPr="002C2B23">
        <w:rPr>
          <w:bCs/>
          <w:sz w:val="24"/>
          <w:lang w:eastAsia="zh-CN"/>
        </w:rPr>
        <w:t>非交易</w:t>
      </w:r>
      <w:proofErr w:type="gramEnd"/>
      <w:r w:rsidRPr="002C2B23">
        <w:rPr>
          <w:bCs/>
          <w:sz w:val="24"/>
          <w:lang w:eastAsia="zh-CN"/>
        </w:rPr>
        <w:t>过户等业务规则；</w:t>
      </w:r>
    </w:p>
    <w:p w14:paraId="4538F2E7" w14:textId="77777777" w:rsidR="005039DD" w:rsidRPr="002C2B23" w:rsidRDefault="0040620F">
      <w:pPr>
        <w:spacing w:line="440" w:lineRule="atLeast"/>
        <w:ind w:firstLine="480"/>
        <w:rPr>
          <w:bCs/>
          <w:sz w:val="24"/>
          <w:lang w:eastAsia="zh-CN"/>
        </w:rPr>
      </w:pPr>
      <w:r w:rsidRPr="002C2B23">
        <w:rPr>
          <w:bCs/>
          <w:sz w:val="24"/>
          <w:lang w:eastAsia="zh-CN"/>
        </w:rPr>
        <w:t>（</w:t>
      </w:r>
      <w:r w:rsidRPr="002C2B23">
        <w:rPr>
          <w:bCs/>
          <w:sz w:val="24"/>
          <w:lang w:eastAsia="zh-CN"/>
        </w:rPr>
        <w:t>17</w:t>
      </w:r>
      <w:r w:rsidRPr="002C2B23">
        <w:rPr>
          <w:bCs/>
          <w:sz w:val="24"/>
          <w:lang w:eastAsia="zh-CN"/>
        </w:rPr>
        <w:t>）法律法规及中国证监会规定的和《基金合同》约定的其他权利。</w:t>
      </w:r>
    </w:p>
    <w:p w14:paraId="34CB5146" w14:textId="77777777" w:rsidR="005039DD" w:rsidRPr="002C2B23" w:rsidRDefault="0040620F">
      <w:pPr>
        <w:spacing w:line="440" w:lineRule="atLeast"/>
        <w:ind w:firstLine="480"/>
        <w:rPr>
          <w:bCs/>
          <w:sz w:val="24"/>
          <w:lang w:eastAsia="zh-CN"/>
        </w:rPr>
      </w:pPr>
      <w:r w:rsidRPr="002C2B23">
        <w:rPr>
          <w:bCs/>
          <w:sz w:val="24"/>
          <w:lang w:eastAsia="zh-CN"/>
        </w:rPr>
        <w:t>2</w:t>
      </w:r>
      <w:r w:rsidRPr="002C2B23">
        <w:rPr>
          <w:bCs/>
          <w:sz w:val="24"/>
          <w:lang w:eastAsia="zh-CN"/>
        </w:rPr>
        <w:t>、根据《基金法》《运作办法》及其他有关规定，基金管理人的义务包括但不限于：</w:t>
      </w:r>
    </w:p>
    <w:p w14:paraId="76F9BD99" w14:textId="77777777" w:rsidR="005039DD" w:rsidRPr="002C2B23" w:rsidRDefault="0040620F">
      <w:pPr>
        <w:spacing w:line="440" w:lineRule="atLeast"/>
        <w:ind w:firstLine="480"/>
        <w:rPr>
          <w:bCs/>
          <w:sz w:val="24"/>
          <w:lang w:eastAsia="zh-CN"/>
        </w:rPr>
      </w:pPr>
      <w:bookmarkStart w:id="158" w:name="_Toc523711669"/>
      <w:r w:rsidRPr="002C2B23">
        <w:rPr>
          <w:bCs/>
          <w:sz w:val="24"/>
          <w:lang w:eastAsia="zh-CN"/>
        </w:rPr>
        <w:t>（</w:t>
      </w:r>
      <w:r w:rsidRPr="002C2B23">
        <w:rPr>
          <w:bCs/>
          <w:sz w:val="24"/>
          <w:lang w:eastAsia="zh-CN"/>
        </w:rPr>
        <w:t>1</w:t>
      </w:r>
      <w:r w:rsidRPr="002C2B23">
        <w:rPr>
          <w:bCs/>
          <w:sz w:val="24"/>
          <w:lang w:eastAsia="zh-CN"/>
        </w:rPr>
        <w:t>）依法募集资金，办理或者委托经中国证监会认定的其他机构代为办理基金份额的发售、申购、赎回和登记事宜；</w:t>
      </w:r>
    </w:p>
    <w:p w14:paraId="65EB883F" w14:textId="77777777" w:rsidR="005039DD" w:rsidRPr="002C2B23" w:rsidRDefault="0040620F">
      <w:pPr>
        <w:spacing w:line="440" w:lineRule="atLeast"/>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）办理基金备案手续；</w:t>
      </w:r>
    </w:p>
    <w:p w14:paraId="17D6C7DC" w14:textId="77777777" w:rsidR="005039DD" w:rsidRPr="002C2B23" w:rsidRDefault="0040620F">
      <w:pPr>
        <w:spacing w:line="440" w:lineRule="atLeast"/>
        <w:ind w:firstLine="480"/>
        <w:rPr>
          <w:bCs/>
          <w:sz w:val="24"/>
          <w:lang w:eastAsia="zh-CN"/>
        </w:rPr>
      </w:pPr>
      <w:r w:rsidRPr="002C2B23">
        <w:rPr>
          <w:bCs/>
          <w:sz w:val="24"/>
          <w:lang w:eastAsia="zh-CN"/>
        </w:rPr>
        <w:t>（</w:t>
      </w:r>
      <w:r w:rsidRPr="002C2B23">
        <w:rPr>
          <w:bCs/>
          <w:sz w:val="24"/>
          <w:lang w:eastAsia="zh-CN"/>
        </w:rPr>
        <w:t>3</w:t>
      </w:r>
      <w:r w:rsidRPr="002C2B23">
        <w:rPr>
          <w:bCs/>
          <w:sz w:val="24"/>
          <w:lang w:eastAsia="zh-CN"/>
        </w:rPr>
        <w:t>）自《基金合同》生效之日起，以诚实信用、谨慎勤勉的原则管理和运用基金财产；</w:t>
      </w:r>
    </w:p>
    <w:p w14:paraId="25BDF6C6"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4</w:t>
      </w:r>
      <w:r w:rsidRPr="002C2B23">
        <w:rPr>
          <w:bCs/>
          <w:sz w:val="24"/>
          <w:lang w:eastAsia="zh-CN"/>
        </w:rPr>
        <w:t>）配备足够的具有专业资格的人员进行基金投资分析、决策，以专业化的经营方式管理和运作基金财产；</w:t>
      </w:r>
    </w:p>
    <w:p w14:paraId="03B0D815"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5</w:t>
      </w:r>
      <w:r w:rsidRPr="002C2B23">
        <w:rPr>
          <w:bCs/>
          <w:sz w:val="24"/>
          <w:lang w:eastAsia="zh-CN"/>
        </w:rPr>
        <w:t>）建立健全内部风险控制、监察与稽核、财务管理及人事管理等制度，保证所管理的基金财产和基金管理人的财产相互独立，对所管理的不同基金分别管理，分别记账，进行证券投资；</w:t>
      </w:r>
    </w:p>
    <w:p w14:paraId="325E626A"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6</w:t>
      </w:r>
      <w:r w:rsidRPr="002C2B23">
        <w:rPr>
          <w:bCs/>
          <w:sz w:val="24"/>
          <w:lang w:eastAsia="zh-CN"/>
        </w:rPr>
        <w:t>）除依据《基金法》《基金合同》及其他有关规定外，不得利用基金财产为自己及任何第三人谋取利益，不得委托第三人运作基金财产；</w:t>
      </w:r>
      <w:bookmarkStart w:id="159" w:name="_Hlt88897298"/>
      <w:bookmarkEnd w:id="159"/>
    </w:p>
    <w:p w14:paraId="69F24C9B"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7</w:t>
      </w:r>
      <w:r w:rsidRPr="002C2B23">
        <w:rPr>
          <w:bCs/>
          <w:sz w:val="24"/>
          <w:lang w:eastAsia="zh-CN"/>
        </w:rPr>
        <w:t>）依法接受基金托管人的监督；</w:t>
      </w:r>
    </w:p>
    <w:p w14:paraId="0F71B6D2"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8</w:t>
      </w:r>
      <w:r w:rsidRPr="002C2B23">
        <w:rPr>
          <w:bCs/>
          <w:sz w:val="24"/>
          <w:lang w:eastAsia="zh-CN"/>
        </w:rPr>
        <w:t>）采取适当合理的措施使计算基金份额认购、申购、赎回和注销价格的方法符合《基金合同》等法律文件的规定，按有关规定计算并公告基金净值信息，确定基金份额申购、赎回的价格；</w:t>
      </w:r>
    </w:p>
    <w:p w14:paraId="187F47F8"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9</w:t>
      </w:r>
      <w:r w:rsidRPr="002C2B23">
        <w:rPr>
          <w:bCs/>
          <w:sz w:val="24"/>
          <w:lang w:eastAsia="zh-CN"/>
        </w:rPr>
        <w:t>）进行基金会计核算并编制基金财务会计报告；</w:t>
      </w:r>
    </w:p>
    <w:p w14:paraId="65F8B8FA"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10</w:t>
      </w:r>
      <w:r w:rsidRPr="002C2B23">
        <w:rPr>
          <w:bCs/>
          <w:sz w:val="24"/>
          <w:lang w:eastAsia="zh-CN"/>
        </w:rPr>
        <w:t>）编制季度报告、中期报告和年度报告；</w:t>
      </w:r>
    </w:p>
    <w:p w14:paraId="11DD3E64"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11</w:t>
      </w:r>
      <w:r w:rsidRPr="002C2B23">
        <w:rPr>
          <w:bCs/>
          <w:sz w:val="24"/>
          <w:lang w:eastAsia="zh-CN"/>
        </w:rPr>
        <w:t>）严格按照《基金法》《基金合同》及其他有关规定，履行信息披露及报告义务；</w:t>
      </w:r>
    </w:p>
    <w:p w14:paraId="6FAF478F"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12</w:t>
      </w:r>
      <w:r w:rsidRPr="002C2B23">
        <w:rPr>
          <w:bCs/>
          <w:sz w:val="24"/>
          <w:lang w:eastAsia="zh-CN"/>
        </w:rPr>
        <w:t>）保守基金商业秘密，不泄露基金投资计划、投资意向等。除《基金法》《基金合同》及其他有关规定另有规定外，在基金信息公开披露前应予保密，不向他人泄露，</w:t>
      </w:r>
      <w:bookmarkStart w:id="160" w:name="_Hlk39783966"/>
      <w:r w:rsidRPr="002C2B23">
        <w:rPr>
          <w:rFonts w:hint="eastAsia"/>
          <w:bCs/>
          <w:sz w:val="24"/>
          <w:lang w:eastAsia="zh-CN"/>
        </w:rPr>
        <w:t>但根据监管机构、司法机关等有权机关的要求，或</w:t>
      </w:r>
      <w:r w:rsidRPr="002C2B23">
        <w:rPr>
          <w:bCs/>
          <w:sz w:val="24"/>
          <w:lang w:eastAsia="zh-CN"/>
        </w:rPr>
        <w:t>向审计、法律等外部专业顾问提供的除外</w:t>
      </w:r>
      <w:bookmarkEnd w:id="160"/>
      <w:r w:rsidRPr="002C2B23">
        <w:rPr>
          <w:bCs/>
          <w:sz w:val="24"/>
          <w:lang w:eastAsia="zh-CN"/>
        </w:rPr>
        <w:t>；</w:t>
      </w:r>
    </w:p>
    <w:p w14:paraId="325932DC"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13</w:t>
      </w:r>
      <w:r w:rsidRPr="002C2B23">
        <w:rPr>
          <w:bCs/>
          <w:sz w:val="24"/>
          <w:lang w:eastAsia="zh-CN"/>
        </w:rPr>
        <w:t>）按《基金合同》的约定确定基金收益分配方案，及时向基金份额持有人分配基金收益；</w:t>
      </w:r>
    </w:p>
    <w:p w14:paraId="2300E9C8"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14</w:t>
      </w:r>
      <w:r w:rsidRPr="002C2B23">
        <w:rPr>
          <w:bCs/>
          <w:sz w:val="24"/>
          <w:lang w:eastAsia="zh-CN"/>
        </w:rPr>
        <w:t>）按规定受理申购与赎回申请，及时、足额支付赎回款项；</w:t>
      </w:r>
    </w:p>
    <w:p w14:paraId="7515588C"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15</w:t>
      </w:r>
      <w:r w:rsidRPr="002C2B23">
        <w:rPr>
          <w:bCs/>
          <w:sz w:val="24"/>
          <w:lang w:eastAsia="zh-CN"/>
        </w:rPr>
        <w:t>）依据《基金法》《基金合同》及其他有关规定召集基金份额持有人大会或配合基金托管人、基金份额持有人依法召集基金份额持有人大会；</w:t>
      </w:r>
    </w:p>
    <w:p w14:paraId="4EF2EA38"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16</w:t>
      </w:r>
      <w:r w:rsidRPr="002C2B23">
        <w:rPr>
          <w:bCs/>
          <w:sz w:val="24"/>
          <w:lang w:eastAsia="zh-CN"/>
        </w:rPr>
        <w:t>）按规定保存基金财产管理业务活动的会计账册、报表、记录和其他相关资料</w:t>
      </w:r>
      <w:r w:rsidRPr="002C2B23">
        <w:rPr>
          <w:rFonts w:hint="eastAsia"/>
          <w:bCs/>
          <w:sz w:val="24"/>
          <w:lang w:eastAsia="zh-CN"/>
        </w:rPr>
        <w:t>，保存期限</w:t>
      </w:r>
      <w:r w:rsidRPr="002C2B23">
        <w:rPr>
          <w:bCs/>
          <w:sz w:val="24"/>
          <w:lang w:eastAsia="zh-CN"/>
        </w:rPr>
        <w:t>不低于法律法规规定的最低年限；</w:t>
      </w:r>
    </w:p>
    <w:p w14:paraId="58104DD2"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17</w:t>
      </w:r>
      <w:r w:rsidRPr="002C2B23">
        <w:rPr>
          <w:bCs/>
          <w:sz w:val="24"/>
          <w:lang w:eastAsia="zh-CN"/>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04864536"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18</w:t>
      </w:r>
      <w:r w:rsidRPr="002C2B23">
        <w:rPr>
          <w:bCs/>
          <w:sz w:val="24"/>
          <w:lang w:eastAsia="zh-CN"/>
        </w:rPr>
        <w:t>）组织并参加基金财产清算小组，参与基金财产的保管、清理、估价、变现和分配；</w:t>
      </w:r>
    </w:p>
    <w:p w14:paraId="2E19ECE1"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19</w:t>
      </w:r>
      <w:r w:rsidRPr="002C2B23">
        <w:rPr>
          <w:bCs/>
          <w:sz w:val="24"/>
          <w:lang w:eastAsia="zh-CN"/>
        </w:rPr>
        <w:t>）面临解散、依法被撤销或者被依法宣告破产时，及时报告中国证监会并通知基金托管人；</w:t>
      </w:r>
    </w:p>
    <w:p w14:paraId="33A1396C"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20</w:t>
      </w:r>
      <w:r w:rsidRPr="002C2B23">
        <w:rPr>
          <w:bCs/>
          <w:sz w:val="24"/>
          <w:lang w:eastAsia="zh-CN"/>
        </w:rPr>
        <w:t>）因违反《基金合同》导致基金财产的损失或损害基金份额持有人合法权益时，应当承担赔偿责任，其赔偿责任不因其退任而免除；</w:t>
      </w:r>
    </w:p>
    <w:p w14:paraId="4B24BB3A"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21</w:t>
      </w:r>
      <w:r w:rsidRPr="002C2B23">
        <w:rPr>
          <w:bCs/>
          <w:sz w:val="24"/>
          <w:lang w:eastAsia="zh-CN"/>
        </w:rPr>
        <w:t>）监督基金托管人按法律法规和《基金合同》规定履行自己的义务，基金托管人违反《基金合同》造成基金财产损失时，基金管理人应为基金份额持有人利益向基金托管人追偿；</w:t>
      </w:r>
    </w:p>
    <w:p w14:paraId="5B2F757D"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22</w:t>
      </w:r>
      <w:r w:rsidRPr="002C2B23">
        <w:rPr>
          <w:bCs/>
          <w:sz w:val="24"/>
          <w:lang w:eastAsia="zh-CN"/>
        </w:rPr>
        <w:t>）当基金管理人将其义务委托第三方处理时，应当对第三方处理有关基金事务的行为承担责任；</w:t>
      </w:r>
    </w:p>
    <w:p w14:paraId="46BB18F2"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23</w:t>
      </w:r>
      <w:r w:rsidRPr="002C2B23">
        <w:rPr>
          <w:bCs/>
          <w:sz w:val="24"/>
          <w:lang w:eastAsia="zh-CN"/>
        </w:rPr>
        <w:t>）以基金管理人名义，代表基金份额持有人利益行使诉讼权利或实施其他法律行为</w:t>
      </w:r>
      <w:r w:rsidRPr="002C2B23">
        <w:rPr>
          <w:rFonts w:hint="eastAsia"/>
          <w:bCs/>
          <w:sz w:val="24"/>
          <w:lang w:eastAsia="zh-CN"/>
        </w:rPr>
        <w:t>；</w:t>
      </w:r>
    </w:p>
    <w:p w14:paraId="12B8E245"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24</w:t>
      </w:r>
      <w:r w:rsidRPr="002C2B23">
        <w:rPr>
          <w:bCs/>
          <w:sz w:val="24"/>
          <w:lang w:eastAsia="zh-CN"/>
        </w:rPr>
        <w:t>）基金管理人在募集期间未能达到基金</w:t>
      </w:r>
      <w:bookmarkStart w:id="161" w:name="_Hlt88823209"/>
      <w:bookmarkEnd w:id="161"/>
      <w:r w:rsidRPr="002C2B23">
        <w:rPr>
          <w:bCs/>
          <w:sz w:val="24"/>
          <w:lang w:eastAsia="zh-CN"/>
        </w:rPr>
        <w:t>的备案条件，《基金合同》不能生效，基金管理人承担全部募集费用，将已募集资金并加计银行同期活期存款利息在基金募集期结束后</w:t>
      </w:r>
      <w:r w:rsidRPr="002C2B23">
        <w:rPr>
          <w:bCs/>
          <w:sz w:val="24"/>
          <w:lang w:eastAsia="zh-CN"/>
        </w:rPr>
        <w:t>30</w:t>
      </w:r>
      <w:r w:rsidRPr="002C2B23">
        <w:rPr>
          <w:bCs/>
          <w:sz w:val="24"/>
          <w:lang w:eastAsia="zh-CN"/>
        </w:rPr>
        <w:t>日内退还基金认购人；</w:t>
      </w:r>
    </w:p>
    <w:p w14:paraId="59CD2930"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25</w:t>
      </w:r>
      <w:r w:rsidRPr="002C2B23">
        <w:rPr>
          <w:bCs/>
          <w:sz w:val="24"/>
          <w:lang w:eastAsia="zh-CN"/>
        </w:rPr>
        <w:t>）执行生效的基金份额持有人大会的决议；</w:t>
      </w:r>
    </w:p>
    <w:p w14:paraId="2EB1F227"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26</w:t>
      </w:r>
      <w:r w:rsidRPr="002C2B23">
        <w:rPr>
          <w:bCs/>
          <w:sz w:val="24"/>
          <w:lang w:eastAsia="zh-CN"/>
        </w:rPr>
        <w:t>）建立并保存基金份额持有人名册；</w:t>
      </w:r>
    </w:p>
    <w:p w14:paraId="7BA3823A"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27</w:t>
      </w:r>
      <w:r w:rsidRPr="002C2B23">
        <w:rPr>
          <w:bCs/>
          <w:sz w:val="24"/>
          <w:lang w:eastAsia="zh-CN"/>
        </w:rPr>
        <w:t>）法律法规及中国证监会规定的和《基金合同》约定的其他义务。</w:t>
      </w:r>
    </w:p>
    <w:p w14:paraId="4AC7F6E3" w14:textId="77777777" w:rsidR="005039DD" w:rsidRPr="002C2B23" w:rsidRDefault="005039DD">
      <w:pPr>
        <w:spacing w:line="360" w:lineRule="auto"/>
        <w:ind w:firstLine="480"/>
        <w:rPr>
          <w:bCs/>
          <w:sz w:val="24"/>
          <w:lang w:eastAsia="zh-CN"/>
        </w:rPr>
      </w:pPr>
    </w:p>
    <w:p w14:paraId="74573A34" w14:textId="77777777" w:rsidR="005039DD" w:rsidRPr="002C2B23" w:rsidRDefault="0040620F">
      <w:pPr>
        <w:spacing w:line="360" w:lineRule="auto"/>
        <w:ind w:firstLine="480"/>
        <w:rPr>
          <w:bCs/>
          <w:sz w:val="24"/>
          <w:lang w:eastAsia="zh-CN"/>
        </w:rPr>
      </w:pPr>
      <w:bookmarkStart w:id="162" w:name="_Toc15118238"/>
      <w:bookmarkStart w:id="163" w:name="_Toc79392581"/>
      <w:bookmarkStart w:id="164" w:name="_Toc57530240"/>
      <w:r w:rsidRPr="002C2B23">
        <w:rPr>
          <w:bCs/>
          <w:sz w:val="24"/>
          <w:lang w:eastAsia="zh-CN"/>
        </w:rPr>
        <w:t>二、基金托管人</w:t>
      </w:r>
      <w:bookmarkEnd w:id="158"/>
      <w:bookmarkEnd w:id="162"/>
      <w:bookmarkEnd w:id="163"/>
      <w:bookmarkEnd w:id="164"/>
    </w:p>
    <w:p w14:paraId="5160D1A1" w14:textId="77777777" w:rsidR="005039DD" w:rsidRPr="002C2B23" w:rsidRDefault="0040620F">
      <w:pPr>
        <w:spacing w:line="360" w:lineRule="auto"/>
        <w:ind w:firstLine="480"/>
        <w:rPr>
          <w:bCs/>
          <w:sz w:val="24"/>
          <w:lang w:eastAsia="zh-CN"/>
        </w:rPr>
      </w:pPr>
      <w:bookmarkStart w:id="165" w:name="_Toc15118239"/>
      <w:bookmarkStart w:id="166" w:name="_Hlk96416421"/>
      <w:r w:rsidRPr="002C2B23">
        <w:rPr>
          <w:bCs/>
          <w:sz w:val="24"/>
          <w:lang w:eastAsia="zh-CN"/>
        </w:rPr>
        <w:t>（一）</w:t>
      </w:r>
      <w:r w:rsidRPr="002C2B23">
        <w:rPr>
          <w:bCs/>
          <w:sz w:val="24"/>
          <w:lang w:eastAsia="zh-CN"/>
        </w:rPr>
        <w:tab/>
      </w:r>
      <w:r w:rsidRPr="002C2B23">
        <w:rPr>
          <w:bCs/>
          <w:sz w:val="24"/>
          <w:lang w:eastAsia="zh-CN"/>
        </w:rPr>
        <w:t>基金托管人简况</w:t>
      </w:r>
      <w:bookmarkEnd w:id="165"/>
    </w:p>
    <w:p w14:paraId="0A56E755" w14:textId="77777777" w:rsidR="005039DD" w:rsidRPr="002C2B23" w:rsidRDefault="0040620F">
      <w:pPr>
        <w:spacing w:line="360" w:lineRule="auto"/>
        <w:ind w:firstLine="480"/>
        <w:rPr>
          <w:bCs/>
          <w:sz w:val="24"/>
          <w:szCs w:val="24"/>
          <w:lang w:eastAsia="zh-CN"/>
        </w:rPr>
      </w:pPr>
      <w:bookmarkStart w:id="167" w:name="_Toc15118240"/>
      <w:r w:rsidRPr="002C2B23">
        <w:rPr>
          <w:rFonts w:hint="eastAsia"/>
          <w:bCs/>
          <w:sz w:val="24"/>
          <w:szCs w:val="24"/>
          <w:lang w:eastAsia="zh-CN"/>
        </w:rPr>
        <w:t>名称：中国建设银行股份有限公司</w:t>
      </w:r>
    </w:p>
    <w:p w14:paraId="42F55330" w14:textId="77777777" w:rsidR="005039DD" w:rsidRPr="002C2B23" w:rsidRDefault="0040620F">
      <w:pPr>
        <w:spacing w:line="360" w:lineRule="auto"/>
        <w:ind w:firstLine="480"/>
        <w:rPr>
          <w:bCs/>
          <w:sz w:val="24"/>
          <w:lang w:eastAsia="zh-CN"/>
        </w:rPr>
      </w:pPr>
      <w:r w:rsidRPr="002C2B23">
        <w:rPr>
          <w:rFonts w:hint="eastAsia"/>
          <w:bCs/>
          <w:sz w:val="24"/>
          <w:lang w:eastAsia="zh-CN"/>
        </w:rPr>
        <w:t>住所：北京市西城区金融大街</w:t>
      </w:r>
      <w:r w:rsidRPr="002C2B23">
        <w:rPr>
          <w:rFonts w:hint="eastAsia"/>
          <w:bCs/>
          <w:sz w:val="24"/>
          <w:lang w:eastAsia="zh-CN"/>
        </w:rPr>
        <w:t>25</w:t>
      </w:r>
      <w:r w:rsidRPr="002C2B23">
        <w:rPr>
          <w:rFonts w:hint="eastAsia"/>
          <w:bCs/>
          <w:sz w:val="24"/>
          <w:lang w:eastAsia="zh-CN"/>
        </w:rPr>
        <w:t>号</w:t>
      </w:r>
    </w:p>
    <w:p w14:paraId="588531D3" w14:textId="77777777" w:rsidR="005039DD" w:rsidRPr="002C2B23" w:rsidRDefault="0040620F">
      <w:pPr>
        <w:spacing w:line="360" w:lineRule="auto"/>
        <w:ind w:firstLine="480"/>
        <w:rPr>
          <w:bCs/>
          <w:sz w:val="24"/>
          <w:lang w:eastAsia="zh-CN"/>
        </w:rPr>
      </w:pPr>
      <w:r w:rsidRPr="002C2B23">
        <w:rPr>
          <w:rFonts w:hint="eastAsia"/>
          <w:bCs/>
          <w:sz w:val="24"/>
          <w:lang w:eastAsia="zh-CN"/>
        </w:rPr>
        <w:t>办公地址：北京市西城区闹市口大街</w:t>
      </w:r>
      <w:r w:rsidRPr="002C2B23">
        <w:rPr>
          <w:rFonts w:hint="eastAsia"/>
          <w:bCs/>
          <w:sz w:val="24"/>
          <w:lang w:eastAsia="zh-CN"/>
        </w:rPr>
        <w:t>1</w:t>
      </w:r>
      <w:r w:rsidRPr="002C2B23">
        <w:rPr>
          <w:rFonts w:hint="eastAsia"/>
          <w:bCs/>
          <w:sz w:val="24"/>
          <w:lang w:eastAsia="zh-CN"/>
        </w:rPr>
        <w:t>号院</w:t>
      </w:r>
      <w:r w:rsidRPr="002C2B23">
        <w:rPr>
          <w:rFonts w:hint="eastAsia"/>
          <w:bCs/>
          <w:sz w:val="24"/>
          <w:lang w:eastAsia="zh-CN"/>
        </w:rPr>
        <w:t>1</w:t>
      </w:r>
      <w:r w:rsidRPr="002C2B23">
        <w:rPr>
          <w:rFonts w:hint="eastAsia"/>
          <w:bCs/>
          <w:sz w:val="24"/>
          <w:lang w:eastAsia="zh-CN"/>
        </w:rPr>
        <w:t>号楼</w:t>
      </w:r>
    </w:p>
    <w:p w14:paraId="08D5603F" w14:textId="77777777" w:rsidR="005039DD" w:rsidRPr="002C2B23" w:rsidRDefault="0040620F">
      <w:pPr>
        <w:spacing w:line="360" w:lineRule="auto"/>
        <w:ind w:firstLine="480"/>
        <w:rPr>
          <w:bCs/>
          <w:sz w:val="24"/>
          <w:lang w:eastAsia="zh-CN"/>
        </w:rPr>
      </w:pPr>
      <w:r w:rsidRPr="002C2B23">
        <w:rPr>
          <w:rFonts w:hint="eastAsia"/>
          <w:bCs/>
          <w:sz w:val="24"/>
          <w:lang w:eastAsia="zh-CN"/>
        </w:rPr>
        <w:t>法定代表人：张金良</w:t>
      </w:r>
    </w:p>
    <w:p w14:paraId="7CD9F646" w14:textId="77777777" w:rsidR="005039DD" w:rsidRPr="002C2B23" w:rsidRDefault="0040620F">
      <w:pPr>
        <w:spacing w:line="360" w:lineRule="auto"/>
        <w:ind w:firstLine="480"/>
        <w:rPr>
          <w:bCs/>
          <w:sz w:val="24"/>
          <w:lang w:eastAsia="zh-CN"/>
        </w:rPr>
      </w:pPr>
      <w:r w:rsidRPr="002C2B23">
        <w:rPr>
          <w:rFonts w:hint="eastAsia"/>
          <w:bCs/>
          <w:sz w:val="24"/>
          <w:lang w:eastAsia="zh-CN"/>
        </w:rPr>
        <w:t>成立时间：</w:t>
      </w:r>
      <w:r w:rsidRPr="002C2B23">
        <w:rPr>
          <w:rFonts w:hint="eastAsia"/>
          <w:bCs/>
          <w:sz w:val="24"/>
          <w:lang w:eastAsia="zh-CN"/>
        </w:rPr>
        <w:t>2004</w:t>
      </w:r>
      <w:r w:rsidRPr="002C2B23">
        <w:rPr>
          <w:rFonts w:hint="eastAsia"/>
          <w:bCs/>
          <w:sz w:val="24"/>
          <w:lang w:eastAsia="zh-CN"/>
        </w:rPr>
        <w:t>年</w:t>
      </w:r>
      <w:r w:rsidRPr="002C2B23">
        <w:rPr>
          <w:rFonts w:hint="eastAsia"/>
          <w:bCs/>
          <w:sz w:val="24"/>
          <w:lang w:eastAsia="zh-CN"/>
        </w:rPr>
        <w:t>09</w:t>
      </w:r>
      <w:r w:rsidRPr="002C2B23">
        <w:rPr>
          <w:rFonts w:hint="eastAsia"/>
          <w:bCs/>
          <w:sz w:val="24"/>
          <w:lang w:eastAsia="zh-CN"/>
        </w:rPr>
        <w:t>月</w:t>
      </w:r>
      <w:r w:rsidRPr="002C2B23">
        <w:rPr>
          <w:rFonts w:hint="eastAsia"/>
          <w:bCs/>
          <w:sz w:val="24"/>
          <w:lang w:eastAsia="zh-CN"/>
        </w:rPr>
        <w:t>17</w:t>
      </w:r>
      <w:r w:rsidRPr="002C2B23">
        <w:rPr>
          <w:rFonts w:hint="eastAsia"/>
          <w:bCs/>
          <w:sz w:val="24"/>
          <w:lang w:eastAsia="zh-CN"/>
        </w:rPr>
        <w:t>日</w:t>
      </w:r>
    </w:p>
    <w:p w14:paraId="50C9CDC5" w14:textId="77777777" w:rsidR="005039DD" w:rsidRPr="002C2B23" w:rsidRDefault="0040620F">
      <w:pPr>
        <w:spacing w:line="360" w:lineRule="auto"/>
        <w:ind w:firstLine="480"/>
        <w:rPr>
          <w:bCs/>
          <w:sz w:val="24"/>
          <w:lang w:eastAsia="zh-CN"/>
        </w:rPr>
      </w:pPr>
      <w:r w:rsidRPr="002C2B23">
        <w:rPr>
          <w:rFonts w:hint="eastAsia"/>
          <w:bCs/>
          <w:sz w:val="24"/>
          <w:lang w:eastAsia="zh-CN"/>
        </w:rPr>
        <w:t>组织形式：股份有限公司</w:t>
      </w:r>
    </w:p>
    <w:p w14:paraId="68E7DF99" w14:textId="77777777" w:rsidR="005039DD" w:rsidRPr="002C2B23" w:rsidRDefault="0040620F">
      <w:pPr>
        <w:spacing w:line="360" w:lineRule="auto"/>
        <w:ind w:firstLine="480"/>
        <w:rPr>
          <w:bCs/>
          <w:sz w:val="24"/>
          <w:lang w:eastAsia="zh-CN"/>
        </w:rPr>
      </w:pPr>
      <w:r w:rsidRPr="002C2B23">
        <w:rPr>
          <w:rFonts w:hint="eastAsia"/>
          <w:bCs/>
          <w:sz w:val="24"/>
          <w:lang w:eastAsia="zh-CN"/>
        </w:rPr>
        <w:t>注册资本：</w:t>
      </w:r>
      <w:proofErr w:type="gramStart"/>
      <w:r w:rsidRPr="002C2B23">
        <w:rPr>
          <w:rFonts w:hint="eastAsia"/>
          <w:bCs/>
          <w:sz w:val="24"/>
          <w:lang w:eastAsia="zh-CN"/>
        </w:rPr>
        <w:t>贰仟陆佰壹拾陆亿零叁拾捌万壹仟肆佰伍拾玖</w:t>
      </w:r>
      <w:proofErr w:type="gramEnd"/>
      <w:r w:rsidRPr="002C2B23">
        <w:rPr>
          <w:rFonts w:hint="eastAsia"/>
          <w:bCs/>
          <w:sz w:val="24"/>
          <w:lang w:eastAsia="zh-CN"/>
        </w:rPr>
        <w:t>元整</w:t>
      </w:r>
    </w:p>
    <w:p w14:paraId="2279D30A" w14:textId="77777777" w:rsidR="005039DD" w:rsidRPr="002C2B23" w:rsidRDefault="0040620F">
      <w:pPr>
        <w:spacing w:line="360" w:lineRule="auto"/>
        <w:ind w:firstLine="480"/>
        <w:rPr>
          <w:bCs/>
          <w:sz w:val="24"/>
          <w:lang w:eastAsia="zh-CN"/>
        </w:rPr>
      </w:pPr>
      <w:r w:rsidRPr="002C2B23">
        <w:rPr>
          <w:rFonts w:hint="eastAsia"/>
          <w:bCs/>
          <w:sz w:val="24"/>
          <w:lang w:eastAsia="zh-CN"/>
        </w:rPr>
        <w:t>存续期间：持续经营</w:t>
      </w:r>
    </w:p>
    <w:p w14:paraId="36A1F409" w14:textId="77777777" w:rsidR="005039DD" w:rsidRPr="002C2B23" w:rsidRDefault="0040620F">
      <w:pPr>
        <w:spacing w:line="360" w:lineRule="auto"/>
        <w:ind w:firstLine="480"/>
        <w:rPr>
          <w:bCs/>
          <w:sz w:val="24"/>
          <w:szCs w:val="24"/>
          <w:lang w:eastAsia="zh-CN"/>
        </w:rPr>
      </w:pPr>
      <w:r w:rsidRPr="002C2B23">
        <w:rPr>
          <w:rFonts w:hint="eastAsia"/>
          <w:bCs/>
          <w:sz w:val="24"/>
          <w:lang w:eastAsia="zh-CN"/>
        </w:rPr>
        <w:t>基金托管业务批准文号：中国证监会</w:t>
      </w:r>
      <w:proofErr w:type="gramStart"/>
      <w:r w:rsidRPr="002C2B23">
        <w:rPr>
          <w:rFonts w:hint="eastAsia"/>
          <w:bCs/>
          <w:sz w:val="24"/>
          <w:lang w:eastAsia="zh-CN"/>
        </w:rPr>
        <w:t>证监基字</w:t>
      </w:r>
      <w:proofErr w:type="gramEnd"/>
      <w:r w:rsidRPr="002C2B23">
        <w:rPr>
          <w:rFonts w:hint="eastAsia"/>
          <w:bCs/>
          <w:sz w:val="24"/>
          <w:lang w:eastAsia="zh-CN"/>
        </w:rPr>
        <w:t>[1998]12</w:t>
      </w:r>
      <w:r w:rsidRPr="002C2B23">
        <w:rPr>
          <w:rFonts w:hint="eastAsia"/>
          <w:bCs/>
          <w:sz w:val="24"/>
          <w:lang w:eastAsia="zh-CN"/>
        </w:rPr>
        <w:t>号</w:t>
      </w:r>
    </w:p>
    <w:bookmarkEnd w:id="166"/>
    <w:p w14:paraId="7E1BC918" w14:textId="77777777" w:rsidR="005039DD" w:rsidRPr="002C2B23" w:rsidRDefault="0040620F">
      <w:pPr>
        <w:spacing w:line="360" w:lineRule="auto"/>
        <w:ind w:firstLine="480"/>
        <w:rPr>
          <w:bCs/>
          <w:sz w:val="24"/>
          <w:lang w:eastAsia="zh-CN"/>
        </w:rPr>
      </w:pPr>
      <w:r w:rsidRPr="002C2B23">
        <w:rPr>
          <w:bCs/>
          <w:sz w:val="24"/>
          <w:lang w:eastAsia="zh-CN"/>
        </w:rPr>
        <w:t>（二）</w:t>
      </w:r>
      <w:r w:rsidRPr="002C2B23">
        <w:rPr>
          <w:bCs/>
          <w:sz w:val="24"/>
          <w:lang w:eastAsia="zh-CN"/>
        </w:rPr>
        <w:tab/>
      </w:r>
      <w:r w:rsidRPr="002C2B23">
        <w:rPr>
          <w:bCs/>
          <w:sz w:val="24"/>
          <w:lang w:eastAsia="zh-CN"/>
        </w:rPr>
        <w:t>基金托管人的权利与义务</w:t>
      </w:r>
      <w:bookmarkEnd w:id="167"/>
    </w:p>
    <w:p w14:paraId="0AFE9708"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、根据《基金法》《运作办法》及其他有关规定，基金托管人的权利包括但不限于：</w:t>
      </w:r>
    </w:p>
    <w:p w14:paraId="63F4C461"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）自《基金合同》生效之日起，依法</w:t>
      </w:r>
      <w:proofErr w:type="gramStart"/>
      <w:r w:rsidRPr="002C2B23">
        <w:rPr>
          <w:bCs/>
          <w:sz w:val="24"/>
          <w:lang w:eastAsia="zh-CN"/>
        </w:rPr>
        <w:t>律法规</w:t>
      </w:r>
      <w:proofErr w:type="gramEnd"/>
      <w:r w:rsidRPr="002C2B23">
        <w:rPr>
          <w:bCs/>
          <w:sz w:val="24"/>
          <w:lang w:eastAsia="zh-CN"/>
        </w:rPr>
        <w:t>和《基金合同》的规定安全保管基金财产；</w:t>
      </w:r>
    </w:p>
    <w:p w14:paraId="401E991A"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）依《基金合同》约定获得基金托管费以及法律法规规定或监管部门批准的其他费用；</w:t>
      </w:r>
    </w:p>
    <w:p w14:paraId="70E44871"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3</w:t>
      </w:r>
      <w:r w:rsidRPr="002C2B23">
        <w:rPr>
          <w:bCs/>
          <w:sz w:val="24"/>
          <w:lang w:eastAsia="zh-CN"/>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00BC1AA1"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4</w:t>
      </w:r>
      <w:r w:rsidRPr="002C2B23">
        <w:rPr>
          <w:bCs/>
          <w:sz w:val="24"/>
          <w:lang w:eastAsia="zh-CN"/>
        </w:rPr>
        <w:t>）根据相关市场规则，为基金开设资金账户、证券账户等投资所需账户，为基金办理证券、期货交易资金清算；</w:t>
      </w:r>
    </w:p>
    <w:p w14:paraId="4B564477"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5</w:t>
      </w:r>
      <w:r w:rsidRPr="002C2B23">
        <w:rPr>
          <w:bCs/>
          <w:sz w:val="24"/>
          <w:lang w:eastAsia="zh-CN"/>
        </w:rPr>
        <w:t>）提议召开或召集基金份额持有人大会；</w:t>
      </w:r>
    </w:p>
    <w:p w14:paraId="478D68FD"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6</w:t>
      </w:r>
      <w:r w:rsidRPr="002C2B23">
        <w:rPr>
          <w:bCs/>
          <w:sz w:val="24"/>
          <w:lang w:eastAsia="zh-CN"/>
        </w:rPr>
        <w:t>）在基金管理人更换时，提名新的基金管理人；</w:t>
      </w:r>
    </w:p>
    <w:p w14:paraId="17019C76"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7</w:t>
      </w:r>
      <w:r w:rsidRPr="002C2B23">
        <w:rPr>
          <w:bCs/>
          <w:sz w:val="24"/>
          <w:lang w:eastAsia="zh-CN"/>
        </w:rPr>
        <w:t>）法律法规及中国证监会规定的和《基金合同》约定的其他权利。</w:t>
      </w:r>
    </w:p>
    <w:p w14:paraId="33DC1995"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、根据《基金法》《运作办法》及其他有关规定，基金托管人的义务包括但不限于：</w:t>
      </w:r>
    </w:p>
    <w:p w14:paraId="1DCE443E"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）以诚实信用、勤勉尽责的原则持有并安全保管基金财产；</w:t>
      </w:r>
    </w:p>
    <w:p w14:paraId="0D1CD392"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）设立专门的基金托管部门，具有符合要求的营业场所，配备足够的、合格的熟悉基金托管业务的专职人员，负责基金财产托管事宜；</w:t>
      </w:r>
    </w:p>
    <w:p w14:paraId="25ED41BC"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3</w:t>
      </w:r>
      <w:r w:rsidRPr="002C2B23">
        <w:rPr>
          <w:bCs/>
          <w:sz w:val="24"/>
          <w:lang w:eastAsia="zh-CN"/>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19FF9DE5"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4</w:t>
      </w:r>
      <w:r w:rsidRPr="002C2B23">
        <w:rPr>
          <w:bCs/>
          <w:sz w:val="24"/>
          <w:lang w:eastAsia="zh-CN"/>
        </w:rPr>
        <w:t>）除依据《基金法》《基金合同》及其他有关规定外，不得利用基金财产为自己及任何第三人谋取利益，不得委托第三人托管基金财产；</w:t>
      </w:r>
    </w:p>
    <w:p w14:paraId="7E591070"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5</w:t>
      </w:r>
      <w:r w:rsidRPr="002C2B23">
        <w:rPr>
          <w:bCs/>
          <w:sz w:val="24"/>
          <w:lang w:eastAsia="zh-CN"/>
        </w:rPr>
        <w:t>）保管由基金管理人代表基金签订的与基金有关的重大合同及有关凭证；</w:t>
      </w:r>
    </w:p>
    <w:p w14:paraId="39D88602"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6</w:t>
      </w:r>
      <w:r w:rsidRPr="002C2B23">
        <w:rPr>
          <w:bCs/>
          <w:sz w:val="24"/>
          <w:lang w:eastAsia="zh-CN"/>
        </w:rPr>
        <w:t>）按规定开设基金财产的资金账户、证券账户等投资所需账户，按照《基金合同》的约定，根据基金管理人的投资指令，及时办理清算、交割事宜；</w:t>
      </w:r>
    </w:p>
    <w:p w14:paraId="4299D52A"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7</w:t>
      </w:r>
      <w:r w:rsidRPr="002C2B23">
        <w:rPr>
          <w:bCs/>
          <w:sz w:val="24"/>
          <w:lang w:eastAsia="zh-CN"/>
        </w:rPr>
        <w:t>）保守基金商业秘密，除《基金法》《基金合同》及其他有关规定另有规定外，在基金信息公开披露前予以保密，不得向他人泄露，但</w:t>
      </w:r>
      <w:r w:rsidRPr="002C2B23">
        <w:rPr>
          <w:rFonts w:hint="eastAsia"/>
          <w:bCs/>
          <w:sz w:val="24"/>
          <w:lang w:eastAsia="zh-CN"/>
        </w:rPr>
        <w:t>根据监管机构、司法机关等有权机关的要求，或</w:t>
      </w:r>
      <w:r w:rsidRPr="002C2B23">
        <w:rPr>
          <w:bCs/>
          <w:sz w:val="24"/>
          <w:lang w:eastAsia="zh-CN"/>
        </w:rPr>
        <w:t>向审计、法律等外部专业顾问提供的除外；</w:t>
      </w:r>
    </w:p>
    <w:p w14:paraId="22938F51"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8</w:t>
      </w:r>
      <w:r w:rsidRPr="002C2B23">
        <w:rPr>
          <w:bCs/>
          <w:sz w:val="24"/>
          <w:lang w:eastAsia="zh-CN"/>
        </w:rPr>
        <w:t>）复核、审查基金管理人计算的基金资产净值、各类基金份额净值、基金份额申购、赎回价格；</w:t>
      </w:r>
    </w:p>
    <w:p w14:paraId="0C17EB08"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9</w:t>
      </w:r>
      <w:r w:rsidRPr="002C2B23">
        <w:rPr>
          <w:bCs/>
          <w:sz w:val="24"/>
          <w:lang w:eastAsia="zh-CN"/>
        </w:rPr>
        <w:t>）办理与基金托管业务活动有关的信息披露事项；</w:t>
      </w:r>
    </w:p>
    <w:p w14:paraId="0CA05293"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10</w:t>
      </w:r>
      <w:r w:rsidRPr="002C2B23">
        <w:rPr>
          <w:bCs/>
          <w:sz w:val="24"/>
          <w:lang w:eastAsia="zh-CN"/>
        </w:rPr>
        <w:t>）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14:paraId="7D8C7B82" w14:textId="5E3C4349"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11</w:t>
      </w:r>
      <w:r w:rsidRPr="002C2B23">
        <w:rPr>
          <w:bCs/>
          <w:sz w:val="24"/>
          <w:lang w:eastAsia="zh-CN"/>
        </w:rPr>
        <w:t>）保存基金托管业务活动的记录、账册、报表和其他相关资料</w:t>
      </w:r>
      <w:r w:rsidRPr="002C2B23">
        <w:rPr>
          <w:rFonts w:hint="eastAsia"/>
          <w:bCs/>
          <w:sz w:val="24"/>
          <w:lang w:eastAsia="zh-CN"/>
        </w:rPr>
        <w:t>，保存期限按照法律法规的规定执行</w:t>
      </w:r>
      <w:r w:rsidRPr="002C2B23">
        <w:rPr>
          <w:bCs/>
          <w:sz w:val="24"/>
          <w:lang w:eastAsia="zh-CN"/>
        </w:rPr>
        <w:t>；</w:t>
      </w:r>
    </w:p>
    <w:p w14:paraId="57C04A46"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12</w:t>
      </w:r>
      <w:r w:rsidRPr="002C2B23">
        <w:rPr>
          <w:bCs/>
          <w:sz w:val="24"/>
          <w:lang w:eastAsia="zh-CN"/>
        </w:rPr>
        <w:t>）从基金管理人或其委托的登记机构处接收并保存基金份额持有人名册；</w:t>
      </w:r>
    </w:p>
    <w:p w14:paraId="06EE5286"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13</w:t>
      </w:r>
      <w:r w:rsidRPr="002C2B23">
        <w:rPr>
          <w:bCs/>
          <w:sz w:val="24"/>
          <w:lang w:eastAsia="zh-CN"/>
        </w:rPr>
        <w:t>）按规定制作相关账册并与基金管理人核对；</w:t>
      </w:r>
    </w:p>
    <w:p w14:paraId="7FE09227"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14</w:t>
      </w:r>
      <w:r w:rsidRPr="002C2B23">
        <w:rPr>
          <w:bCs/>
          <w:sz w:val="24"/>
          <w:lang w:eastAsia="zh-CN"/>
        </w:rPr>
        <w:t>）依据基金管理人的指令或有关规定向基金份额持有人支付基金收益和赎回款项；</w:t>
      </w:r>
    </w:p>
    <w:p w14:paraId="6553DA33"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15</w:t>
      </w:r>
      <w:r w:rsidRPr="002C2B23">
        <w:rPr>
          <w:bCs/>
          <w:sz w:val="24"/>
          <w:lang w:eastAsia="zh-CN"/>
        </w:rPr>
        <w:t>）依据《基金法》《基金合同》及其他有关规定，召集基金份额持有人大会或配合基金管理人、基金份额持有人依法召集基金份额持有人大会；</w:t>
      </w:r>
    </w:p>
    <w:p w14:paraId="5CE6D66E"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16</w:t>
      </w:r>
      <w:r w:rsidRPr="002C2B23">
        <w:rPr>
          <w:bCs/>
          <w:sz w:val="24"/>
          <w:lang w:eastAsia="zh-CN"/>
        </w:rPr>
        <w:t>）按照法律法规和《基金合同》的规定监督基金管理人的投资运作；</w:t>
      </w:r>
    </w:p>
    <w:p w14:paraId="1EBD1620"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17</w:t>
      </w:r>
      <w:r w:rsidRPr="002C2B23">
        <w:rPr>
          <w:bCs/>
          <w:sz w:val="24"/>
          <w:lang w:eastAsia="zh-CN"/>
        </w:rPr>
        <w:t>）参加基金财产清算小组，参与基金财产的保管、清理、估价、变现和分配；</w:t>
      </w:r>
    </w:p>
    <w:p w14:paraId="57068D22"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18</w:t>
      </w:r>
      <w:r w:rsidRPr="002C2B23">
        <w:rPr>
          <w:bCs/>
          <w:sz w:val="24"/>
          <w:lang w:eastAsia="zh-CN"/>
        </w:rPr>
        <w:t>）面临解散、依法被撤销或者被依法宣告破产时，及时报告中国证监会和银行监管机构，并通知基金管理人；</w:t>
      </w:r>
    </w:p>
    <w:p w14:paraId="31614471"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19</w:t>
      </w:r>
      <w:r w:rsidRPr="002C2B23">
        <w:rPr>
          <w:bCs/>
          <w:sz w:val="24"/>
          <w:lang w:eastAsia="zh-CN"/>
        </w:rPr>
        <w:t>）因违反《基金合同》导致基金财产损失时，应承担赔偿责任，其赔偿责任不因其退任而免除；</w:t>
      </w:r>
    </w:p>
    <w:p w14:paraId="7B8B7CE3"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20</w:t>
      </w:r>
      <w:r w:rsidRPr="002C2B23">
        <w:rPr>
          <w:bCs/>
          <w:sz w:val="24"/>
          <w:lang w:eastAsia="zh-CN"/>
        </w:rPr>
        <w:t>）按规定监督基金管理人按法律法规和《基金合同》规定履行自己的义务，基金管理人因违反《基金合同》造成基金财产损失时，应为基金份额持有人利益向基金管理人追偿</w:t>
      </w:r>
      <w:bookmarkStart w:id="168" w:name="_Hlt88825668"/>
      <w:bookmarkEnd w:id="168"/>
      <w:r w:rsidRPr="002C2B23">
        <w:rPr>
          <w:bCs/>
          <w:sz w:val="24"/>
          <w:lang w:eastAsia="zh-CN"/>
        </w:rPr>
        <w:t>；</w:t>
      </w:r>
    </w:p>
    <w:p w14:paraId="31430880"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21</w:t>
      </w:r>
      <w:r w:rsidRPr="002C2B23">
        <w:rPr>
          <w:bCs/>
          <w:sz w:val="24"/>
          <w:lang w:eastAsia="zh-CN"/>
        </w:rPr>
        <w:t>）执行生效的基金份额持有人大会的决议；</w:t>
      </w:r>
    </w:p>
    <w:p w14:paraId="73A9F009"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22</w:t>
      </w:r>
      <w:r w:rsidRPr="002C2B23">
        <w:rPr>
          <w:bCs/>
          <w:sz w:val="24"/>
          <w:lang w:eastAsia="zh-CN"/>
        </w:rPr>
        <w:t>）</w:t>
      </w:r>
      <w:bookmarkStart w:id="169" w:name="_Toc523711670"/>
      <w:r w:rsidRPr="002C2B23">
        <w:rPr>
          <w:bCs/>
          <w:sz w:val="24"/>
          <w:lang w:eastAsia="zh-CN"/>
        </w:rPr>
        <w:t>法律法规及中国证监会规定的和《基金合同》约定的其他义务。</w:t>
      </w:r>
    </w:p>
    <w:p w14:paraId="596A8BCB" w14:textId="77777777" w:rsidR="005039DD" w:rsidRPr="002C2B23" w:rsidRDefault="005039DD">
      <w:pPr>
        <w:spacing w:line="360" w:lineRule="auto"/>
        <w:ind w:firstLine="480"/>
        <w:rPr>
          <w:bCs/>
          <w:sz w:val="24"/>
          <w:lang w:eastAsia="zh-CN"/>
        </w:rPr>
      </w:pPr>
    </w:p>
    <w:p w14:paraId="6781D4C4" w14:textId="77777777" w:rsidR="005039DD" w:rsidRPr="002C2B23" w:rsidRDefault="0040620F">
      <w:pPr>
        <w:spacing w:line="360" w:lineRule="auto"/>
        <w:ind w:firstLine="480"/>
        <w:rPr>
          <w:bCs/>
          <w:sz w:val="24"/>
          <w:lang w:eastAsia="zh-CN"/>
        </w:rPr>
      </w:pPr>
      <w:bookmarkStart w:id="170" w:name="_Toc79392582"/>
      <w:bookmarkStart w:id="171" w:name="_Hlk96415443"/>
      <w:bookmarkEnd w:id="169"/>
      <w:r w:rsidRPr="002C2B23">
        <w:rPr>
          <w:bCs/>
          <w:sz w:val="24"/>
          <w:lang w:eastAsia="zh-CN"/>
        </w:rPr>
        <w:t>三、基金份额持有人</w:t>
      </w:r>
      <w:bookmarkEnd w:id="170"/>
    </w:p>
    <w:p w14:paraId="7ACC643A" w14:textId="77777777" w:rsidR="005039DD" w:rsidRPr="002C2B23" w:rsidRDefault="0040620F">
      <w:pPr>
        <w:spacing w:line="360" w:lineRule="auto"/>
        <w:ind w:firstLine="480"/>
        <w:rPr>
          <w:bCs/>
          <w:sz w:val="24"/>
          <w:lang w:eastAsia="zh-CN"/>
        </w:rPr>
      </w:pPr>
      <w:r w:rsidRPr="002C2B23">
        <w:rPr>
          <w:bCs/>
          <w:sz w:val="24"/>
          <w:lang w:eastAsia="zh-CN"/>
        </w:rPr>
        <w:t>基金投资者持有本</w:t>
      </w:r>
      <w:proofErr w:type="gramStart"/>
      <w:r w:rsidRPr="002C2B23">
        <w:rPr>
          <w:bCs/>
          <w:sz w:val="24"/>
          <w:lang w:eastAsia="zh-CN"/>
        </w:rPr>
        <w:t>基金</w:t>
      </w:r>
      <w:bookmarkStart w:id="172" w:name="_Hlt88899909"/>
      <w:bookmarkEnd w:id="172"/>
      <w:r w:rsidRPr="002C2B23">
        <w:rPr>
          <w:bCs/>
          <w:sz w:val="24"/>
          <w:lang w:eastAsia="zh-CN"/>
        </w:rPr>
        <w:t>基金</w:t>
      </w:r>
      <w:proofErr w:type="gramEnd"/>
      <w:r w:rsidRPr="002C2B23">
        <w:rPr>
          <w:bCs/>
          <w:sz w:val="24"/>
          <w:lang w:eastAsia="zh-CN"/>
        </w:rPr>
        <w:t>份额的行为即视为对《基金合同》的承认和接受，基金投资者</w:t>
      </w:r>
      <w:proofErr w:type="gramStart"/>
      <w:r w:rsidRPr="002C2B23">
        <w:rPr>
          <w:bCs/>
          <w:sz w:val="24"/>
          <w:lang w:eastAsia="zh-CN"/>
        </w:rPr>
        <w:t>自依据</w:t>
      </w:r>
      <w:proofErr w:type="gramEnd"/>
      <w:r w:rsidRPr="002C2B23">
        <w:rPr>
          <w:bCs/>
          <w:sz w:val="24"/>
          <w:lang w:eastAsia="zh-CN"/>
        </w:rPr>
        <w:t>《基金合同》取得基金份额，即成为本基金份额持有人和《基金合同》的当事人，直至其不再持有本基金的基金份额。基金份额持有人作为《基金合同》当事人并不以在《基金合同》上书面签章或签字为必要条件。</w:t>
      </w:r>
    </w:p>
    <w:p w14:paraId="0E2DFD09" w14:textId="77777777" w:rsidR="005039DD" w:rsidRPr="002C2B23" w:rsidRDefault="0040620F">
      <w:pPr>
        <w:spacing w:line="360" w:lineRule="auto"/>
        <w:ind w:firstLine="480"/>
        <w:rPr>
          <w:bCs/>
          <w:sz w:val="24"/>
          <w:lang w:eastAsia="zh-CN"/>
        </w:rPr>
      </w:pPr>
      <w:r w:rsidRPr="002C2B23">
        <w:rPr>
          <w:bCs/>
          <w:sz w:val="24"/>
          <w:lang w:eastAsia="zh-CN"/>
        </w:rPr>
        <w:t>除法律法规另有规定或本基金合同另有约定外，同一类别每份基金份额具有同等的合法权益。</w:t>
      </w:r>
    </w:p>
    <w:p w14:paraId="1550EE68"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、根据《基金法》《运作办法》及其他有关规定，基金份额持有人的权利包括但不限于：</w:t>
      </w:r>
    </w:p>
    <w:p w14:paraId="5CD6BEBB"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）分享基金财产收益；</w:t>
      </w:r>
    </w:p>
    <w:p w14:paraId="355FF98E"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）参与分配清算后的剩余基金财产；</w:t>
      </w:r>
      <w:bookmarkStart w:id="173" w:name="_Hlt88825574"/>
      <w:bookmarkEnd w:id="173"/>
    </w:p>
    <w:p w14:paraId="3DF58C76"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3</w:t>
      </w:r>
      <w:r w:rsidRPr="002C2B23">
        <w:rPr>
          <w:bCs/>
          <w:sz w:val="24"/>
          <w:lang w:eastAsia="zh-CN"/>
        </w:rPr>
        <w:t>）依法转让或者申请赎回其持有的基金份额；</w:t>
      </w:r>
    </w:p>
    <w:p w14:paraId="101A5679"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4</w:t>
      </w:r>
      <w:r w:rsidRPr="002C2B23">
        <w:rPr>
          <w:bCs/>
          <w:sz w:val="24"/>
          <w:lang w:eastAsia="zh-CN"/>
        </w:rPr>
        <w:t>）按照规定要求召开基金份额持有人大会或者召集基金份额持有人大会；</w:t>
      </w:r>
    </w:p>
    <w:p w14:paraId="5D741DFF"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5</w:t>
      </w:r>
      <w:r w:rsidRPr="002C2B23">
        <w:rPr>
          <w:bCs/>
          <w:sz w:val="24"/>
          <w:lang w:eastAsia="zh-CN"/>
        </w:rPr>
        <w:t>）出席或者委派代表出席基金份额持有人大会，对基金份额持有人大会审议事项行使表决权；</w:t>
      </w:r>
    </w:p>
    <w:p w14:paraId="4AAFA8C3"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6</w:t>
      </w:r>
      <w:r w:rsidRPr="002C2B23">
        <w:rPr>
          <w:bCs/>
          <w:sz w:val="24"/>
          <w:lang w:eastAsia="zh-CN"/>
        </w:rPr>
        <w:t>）查阅或者复制公开披露的基金信息资料；</w:t>
      </w:r>
    </w:p>
    <w:p w14:paraId="4FEA149C"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7</w:t>
      </w:r>
      <w:r w:rsidRPr="002C2B23">
        <w:rPr>
          <w:bCs/>
          <w:sz w:val="24"/>
          <w:lang w:eastAsia="zh-CN"/>
        </w:rPr>
        <w:t>）监督基金管理人的投资运作；</w:t>
      </w:r>
    </w:p>
    <w:p w14:paraId="6225815B"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8</w:t>
      </w:r>
      <w:r w:rsidRPr="002C2B23">
        <w:rPr>
          <w:bCs/>
          <w:sz w:val="24"/>
          <w:lang w:eastAsia="zh-CN"/>
        </w:rPr>
        <w:t>）对基金管理人、基金托管人、基金服务机构损害其合法权益的行为依法提起诉讼或仲裁；</w:t>
      </w:r>
    </w:p>
    <w:p w14:paraId="53E07459"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9</w:t>
      </w:r>
      <w:r w:rsidRPr="002C2B23">
        <w:rPr>
          <w:bCs/>
          <w:sz w:val="24"/>
          <w:lang w:eastAsia="zh-CN"/>
        </w:rPr>
        <w:t>）法律法规及中国证监会规定的和《基金合同》约定的其他权利。</w:t>
      </w:r>
    </w:p>
    <w:p w14:paraId="64DC5093"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、根据《基金法》《运作办法》及其他有关规定，基金份额持有人的义务包括但不限于：</w:t>
      </w:r>
    </w:p>
    <w:p w14:paraId="730BF3DC"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）认真阅读并遵守《基金合同》、招募说明书等信息披露文件；</w:t>
      </w:r>
    </w:p>
    <w:p w14:paraId="2C9744AC"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）了解所投资基金产品，了解自身风险承受能力，自主判断基金的投资价值，自主做出投资决策，自行承担投资风险；</w:t>
      </w:r>
    </w:p>
    <w:p w14:paraId="423236CD"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3</w:t>
      </w:r>
      <w:r w:rsidRPr="002C2B23">
        <w:rPr>
          <w:bCs/>
          <w:sz w:val="24"/>
          <w:lang w:eastAsia="zh-CN"/>
        </w:rPr>
        <w:t>）关注基金信息披露，及时行使权利和履行义务；</w:t>
      </w:r>
    </w:p>
    <w:p w14:paraId="1B6D38C8"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4</w:t>
      </w:r>
      <w:r w:rsidRPr="002C2B23">
        <w:rPr>
          <w:bCs/>
          <w:sz w:val="24"/>
          <w:lang w:eastAsia="zh-CN"/>
        </w:rPr>
        <w:t>）交纳基金认购、申购款项及法律法规和《基金合同》所规定的费用；</w:t>
      </w:r>
    </w:p>
    <w:p w14:paraId="4828101F"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5</w:t>
      </w:r>
      <w:r w:rsidRPr="002C2B23">
        <w:rPr>
          <w:bCs/>
          <w:sz w:val="24"/>
          <w:lang w:eastAsia="zh-CN"/>
        </w:rPr>
        <w:t>）在其持有的基金份额范围内，承担基金亏损或者《基金合同》终止的有限责任；</w:t>
      </w:r>
    </w:p>
    <w:p w14:paraId="43FF4955"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6</w:t>
      </w:r>
      <w:r w:rsidRPr="002C2B23">
        <w:rPr>
          <w:bCs/>
          <w:sz w:val="24"/>
          <w:lang w:eastAsia="zh-CN"/>
        </w:rPr>
        <w:t>）不从事任何有损基金及其他《基金合同》当事人合法权益的活动；</w:t>
      </w:r>
    </w:p>
    <w:p w14:paraId="33AD1414"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7</w:t>
      </w:r>
      <w:r w:rsidRPr="002C2B23">
        <w:rPr>
          <w:bCs/>
          <w:sz w:val="24"/>
          <w:lang w:eastAsia="zh-CN"/>
        </w:rPr>
        <w:t>）执行生效的基金份额持有人大会的决议；</w:t>
      </w:r>
    </w:p>
    <w:p w14:paraId="11E800B6"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8</w:t>
      </w:r>
      <w:r w:rsidRPr="002C2B23">
        <w:rPr>
          <w:bCs/>
          <w:sz w:val="24"/>
          <w:lang w:eastAsia="zh-CN"/>
        </w:rPr>
        <w:t>）返还在基金交易过程中因任何原因获得的不当得利；</w:t>
      </w:r>
    </w:p>
    <w:p w14:paraId="65B92847" w14:textId="77777777" w:rsidR="005039DD" w:rsidRPr="002C2B23" w:rsidRDefault="0040620F">
      <w:pPr>
        <w:spacing w:line="360" w:lineRule="auto"/>
        <w:ind w:firstLine="480"/>
        <w:rPr>
          <w:bCs/>
          <w:sz w:val="24"/>
          <w:lang w:eastAsia="zh-CN"/>
        </w:rPr>
        <w:sectPr w:rsidR="005039DD" w:rsidRPr="002C2B23">
          <w:footerReference w:type="default" r:id="rId17"/>
          <w:pgSz w:w="12240" w:h="15840"/>
          <w:pgMar w:top="1440" w:right="1800" w:bottom="1440" w:left="1800" w:header="720" w:footer="720" w:gutter="0"/>
          <w:cols w:space="720"/>
          <w:docGrid w:linePitch="312"/>
        </w:sectPr>
      </w:pPr>
      <w:r w:rsidRPr="002C2B23">
        <w:rPr>
          <w:bCs/>
          <w:sz w:val="24"/>
          <w:lang w:eastAsia="zh-CN"/>
        </w:rPr>
        <w:t>（</w:t>
      </w:r>
      <w:r w:rsidRPr="002C2B23">
        <w:rPr>
          <w:bCs/>
          <w:sz w:val="24"/>
          <w:lang w:eastAsia="zh-CN"/>
        </w:rPr>
        <w:t>9</w:t>
      </w:r>
      <w:r w:rsidRPr="002C2B23">
        <w:rPr>
          <w:bCs/>
          <w:sz w:val="24"/>
          <w:lang w:eastAsia="zh-CN"/>
        </w:rPr>
        <w:t>）法律法规及中国证监会规定的和《基金合同》约定的其他义务。</w:t>
      </w:r>
    </w:p>
    <w:p w14:paraId="0B4B15E5" w14:textId="77777777" w:rsidR="005039DD" w:rsidRPr="002C2B23" w:rsidRDefault="0040620F">
      <w:pPr>
        <w:pStyle w:val="112"/>
        <w:spacing w:before="0" w:after="0"/>
        <w:jc w:val="center"/>
        <w:rPr>
          <w:rFonts w:ascii="Times New Roman"/>
          <w:sz w:val="30"/>
          <w:lang w:eastAsia="zh-CN"/>
        </w:rPr>
      </w:pPr>
      <w:bookmarkStart w:id="174" w:name="_Toc4559"/>
      <w:bookmarkStart w:id="175" w:name="_Toc25783"/>
      <w:bookmarkStart w:id="176" w:name="_Toc123102455"/>
      <w:bookmarkStart w:id="177" w:name="_Toc10650"/>
      <w:bookmarkStart w:id="178" w:name="_Toc123112236"/>
      <w:bookmarkStart w:id="179" w:name="_Toc139991738"/>
      <w:bookmarkStart w:id="180" w:name="_Toc20768"/>
      <w:bookmarkStart w:id="181" w:name="_Toc18567"/>
      <w:bookmarkStart w:id="182" w:name="_Toc79392583"/>
      <w:bookmarkStart w:id="183" w:name="_Toc11030"/>
      <w:bookmarkStart w:id="184" w:name="_Toc7058"/>
      <w:bookmarkStart w:id="185" w:name="_Toc3771"/>
      <w:bookmarkStart w:id="186" w:name="_Toc6447"/>
      <w:bookmarkStart w:id="187" w:name="_Toc141703888"/>
      <w:bookmarkStart w:id="188" w:name="_Toc98560354"/>
      <w:bookmarkStart w:id="189" w:name="_Toc9706"/>
      <w:bookmarkStart w:id="190" w:name="_Toc109141368"/>
      <w:bookmarkStart w:id="191" w:name="_Toc123051454"/>
      <w:bookmarkStart w:id="192" w:name="_Toc3321"/>
      <w:bookmarkEnd w:id="171"/>
      <w:r w:rsidRPr="002C2B23">
        <w:rPr>
          <w:rFonts w:ascii="Times New Roman"/>
          <w:sz w:val="30"/>
          <w:lang w:eastAsia="zh-CN"/>
        </w:rPr>
        <w:t>第八部分</w:t>
      </w:r>
      <w:r w:rsidRPr="002C2B23">
        <w:rPr>
          <w:rFonts w:ascii="Times New Roman"/>
          <w:sz w:val="30"/>
          <w:lang w:eastAsia="zh-CN"/>
        </w:rPr>
        <w:t xml:space="preserve">  </w:t>
      </w:r>
      <w:r w:rsidRPr="002C2B23">
        <w:rPr>
          <w:rFonts w:ascii="Times New Roman"/>
          <w:sz w:val="30"/>
          <w:lang w:eastAsia="zh-CN"/>
        </w:rPr>
        <w:t>基金份额持有人大会</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14:paraId="5A93AD75" w14:textId="77777777" w:rsidR="005039DD" w:rsidRPr="002C2B23" w:rsidRDefault="005039DD">
      <w:pPr>
        <w:tabs>
          <w:tab w:val="left" w:pos="1080"/>
        </w:tabs>
        <w:spacing w:line="360" w:lineRule="auto"/>
        <w:ind w:left="1076" w:hanging="658"/>
        <w:rPr>
          <w:bCs/>
          <w:sz w:val="24"/>
          <w:lang w:eastAsia="zh-CN"/>
        </w:rPr>
      </w:pPr>
    </w:p>
    <w:p w14:paraId="6E725557" w14:textId="77777777" w:rsidR="005039DD" w:rsidRPr="002C2B23" w:rsidRDefault="0040620F">
      <w:pPr>
        <w:spacing w:line="360" w:lineRule="auto"/>
        <w:ind w:firstLine="480"/>
        <w:rPr>
          <w:bCs/>
          <w:sz w:val="24"/>
          <w:lang w:eastAsia="zh-CN"/>
        </w:rPr>
      </w:pPr>
      <w:r w:rsidRPr="002C2B23">
        <w:rPr>
          <w:bCs/>
          <w:sz w:val="24"/>
          <w:lang w:eastAsia="zh-CN"/>
        </w:rPr>
        <w:t>基金份额持有人大会由基金份额持有人组成，基金份额持有人的合法授权代表有权代表基金份额持有人出席会议并表决。除法律法规另有规定或本基金合同另有约定外，基金份额持有人持有的同一类别每一基金份额拥有平等的投票权。</w:t>
      </w:r>
    </w:p>
    <w:p w14:paraId="3340E3C4" w14:textId="77777777" w:rsidR="005039DD" w:rsidRPr="002C2B23" w:rsidRDefault="0040620F">
      <w:pPr>
        <w:spacing w:line="360" w:lineRule="auto"/>
        <w:ind w:firstLine="480"/>
        <w:rPr>
          <w:bCs/>
          <w:sz w:val="24"/>
          <w:lang w:eastAsia="zh-CN"/>
        </w:rPr>
      </w:pPr>
      <w:r w:rsidRPr="002C2B23">
        <w:rPr>
          <w:bCs/>
          <w:sz w:val="24"/>
          <w:lang w:eastAsia="zh-CN"/>
        </w:rPr>
        <w:t>本基金份额持有人大会不设日常机构。</w:t>
      </w:r>
    </w:p>
    <w:p w14:paraId="5B6EA51A" w14:textId="77777777" w:rsidR="005039DD" w:rsidRPr="002C2B23" w:rsidRDefault="005039DD">
      <w:pPr>
        <w:spacing w:line="360" w:lineRule="auto"/>
        <w:ind w:firstLine="480"/>
        <w:rPr>
          <w:bCs/>
          <w:sz w:val="24"/>
          <w:lang w:eastAsia="zh-CN"/>
        </w:rPr>
      </w:pPr>
    </w:p>
    <w:p w14:paraId="3EC0BA8D" w14:textId="77777777" w:rsidR="005039DD" w:rsidRPr="002C2B23" w:rsidRDefault="0040620F">
      <w:pPr>
        <w:spacing w:line="360" w:lineRule="auto"/>
        <w:ind w:firstLine="480"/>
        <w:rPr>
          <w:bCs/>
          <w:sz w:val="24"/>
          <w:lang w:eastAsia="zh-CN"/>
        </w:rPr>
      </w:pPr>
      <w:bookmarkStart w:id="193" w:name="_Toc15641220"/>
      <w:bookmarkStart w:id="194" w:name="_Toc79392584"/>
      <w:bookmarkStart w:id="195" w:name="_Toc57530243"/>
      <w:r w:rsidRPr="002C2B23">
        <w:rPr>
          <w:bCs/>
          <w:sz w:val="24"/>
          <w:lang w:eastAsia="zh-CN"/>
        </w:rPr>
        <w:t>一、召开事由</w:t>
      </w:r>
      <w:bookmarkEnd w:id="193"/>
      <w:bookmarkEnd w:id="194"/>
      <w:bookmarkEnd w:id="195"/>
    </w:p>
    <w:p w14:paraId="02C1807A"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、除法律法规和中国证监会另有规定或《基金合同》另有约定外，当出现或需要决定下列事由之一的，应当召开基金份额持有人大会：</w:t>
      </w:r>
    </w:p>
    <w:p w14:paraId="546A8636" w14:textId="77777777" w:rsidR="005039DD" w:rsidRPr="002C2B23" w:rsidRDefault="0040620F">
      <w:pPr>
        <w:spacing w:line="440" w:lineRule="atLeast"/>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）终止《基金合同》；</w:t>
      </w:r>
    </w:p>
    <w:p w14:paraId="15ABA0CF" w14:textId="77777777" w:rsidR="005039DD" w:rsidRPr="002C2B23" w:rsidRDefault="0040620F">
      <w:pPr>
        <w:spacing w:line="440" w:lineRule="atLeast"/>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）更换基金管理人；</w:t>
      </w:r>
    </w:p>
    <w:p w14:paraId="7444F1D9" w14:textId="77777777" w:rsidR="005039DD" w:rsidRPr="002C2B23" w:rsidRDefault="0040620F">
      <w:pPr>
        <w:spacing w:line="440" w:lineRule="atLeast"/>
        <w:ind w:firstLine="480"/>
        <w:rPr>
          <w:bCs/>
          <w:sz w:val="24"/>
          <w:lang w:eastAsia="zh-CN"/>
        </w:rPr>
      </w:pPr>
      <w:r w:rsidRPr="002C2B23">
        <w:rPr>
          <w:bCs/>
          <w:sz w:val="24"/>
          <w:lang w:eastAsia="zh-CN"/>
        </w:rPr>
        <w:t>（</w:t>
      </w:r>
      <w:r w:rsidRPr="002C2B23">
        <w:rPr>
          <w:bCs/>
          <w:sz w:val="24"/>
          <w:lang w:eastAsia="zh-CN"/>
        </w:rPr>
        <w:t>3</w:t>
      </w:r>
      <w:r w:rsidRPr="002C2B23">
        <w:rPr>
          <w:bCs/>
          <w:sz w:val="24"/>
          <w:lang w:eastAsia="zh-CN"/>
        </w:rPr>
        <w:t>）更换基金托管人；</w:t>
      </w:r>
    </w:p>
    <w:p w14:paraId="13FF0B12" w14:textId="77777777" w:rsidR="005039DD" w:rsidRPr="002C2B23" w:rsidRDefault="0040620F">
      <w:pPr>
        <w:spacing w:line="440" w:lineRule="atLeast"/>
        <w:ind w:firstLine="480"/>
        <w:rPr>
          <w:bCs/>
          <w:sz w:val="24"/>
          <w:lang w:eastAsia="zh-CN"/>
        </w:rPr>
      </w:pPr>
      <w:r w:rsidRPr="002C2B23">
        <w:rPr>
          <w:bCs/>
          <w:sz w:val="24"/>
          <w:lang w:eastAsia="zh-CN"/>
        </w:rPr>
        <w:t>（</w:t>
      </w:r>
      <w:r w:rsidRPr="002C2B23">
        <w:rPr>
          <w:bCs/>
          <w:sz w:val="24"/>
          <w:lang w:eastAsia="zh-CN"/>
        </w:rPr>
        <w:t>4</w:t>
      </w:r>
      <w:r w:rsidRPr="002C2B23">
        <w:rPr>
          <w:bCs/>
          <w:sz w:val="24"/>
          <w:lang w:eastAsia="zh-CN"/>
        </w:rPr>
        <w:t>）转换基金运作方式；</w:t>
      </w:r>
    </w:p>
    <w:p w14:paraId="3A58611F" w14:textId="77777777" w:rsidR="005039DD" w:rsidRPr="002C2B23" w:rsidRDefault="0040620F">
      <w:pPr>
        <w:spacing w:line="440" w:lineRule="atLeast"/>
        <w:ind w:firstLine="480"/>
        <w:rPr>
          <w:bCs/>
          <w:sz w:val="24"/>
          <w:lang w:eastAsia="zh-CN"/>
        </w:rPr>
      </w:pPr>
      <w:r w:rsidRPr="002C2B23">
        <w:rPr>
          <w:bCs/>
          <w:sz w:val="24"/>
          <w:lang w:eastAsia="zh-CN"/>
        </w:rPr>
        <w:t>（</w:t>
      </w:r>
      <w:r w:rsidRPr="002C2B23">
        <w:rPr>
          <w:bCs/>
          <w:sz w:val="24"/>
          <w:lang w:eastAsia="zh-CN"/>
        </w:rPr>
        <w:t>5</w:t>
      </w:r>
      <w:r w:rsidRPr="002C2B23">
        <w:rPr>
          <w:bCs/>
          <w:sz w:val="24"/>
          <w:lang w:eastAsia="zh-CN"/>
        </w:rPr>
        <w:t>）调整基金管理人、基金托管人的报酬标准或提高销售服务费率；</w:t>
      </w:r>
    </w:p>
    <w:p w14:paraId="6B92A2D9" w14:textId="77777777" w:rsidR="005039DD" w:rsidRPr="002C2B23" w:rsidRDefault="0040620F">
      <w:pPr>
        <w:spacing w:line="440" w:lineRule="atLeast"/>
        <w:ind w:firstLine="480"/>
        <w:rPr>
          <w:bCs/>
          <w:sz w:val="24"/>
          <w:lang w:eastAsia="zh-CN"/>
        </w:rPr>
      </w:pPr>
      <w:r w:rsidRPr="002C2B23">
        <w:rPr>
          <w:bCs/>
          <w:sz w:val="24"/>
          <w:lang w:eastAsia="zh-CN"/>
        </w:rPr>
        <w:t>（</w:t>
      </w:r>
      <w:r w:rsidRPr="002C2B23">
        <w:rPr>
          <w:bCs/>
          <w:sz w:val="24"/>
          <w:lang w:eastAsia="zh-CN"/>
        </w:rPr>
        <w:t>6</w:t>
      </w:r>
      <w:r w:rsidRPr="002C2B23">
        <w:rPr>
          <w:bCs/>
          <w:sz w:val="24"/>
          <w:lang w:eastAsia="zh-CN"/>
        </w:rPr>
        <w:t>）变更基金类别；</w:t>
      </w:r>
    </w:p>
    <w:p w14:paraId="737E4EB2" w14:textId="77777777" w:rsidR="005039DD" w:rsidRPr="002C2B23" w:rsidRDefault="0040620F">
      <w:pPr>
        <w:spacing w:line="440" w:lineRule="atLeast"/>
        <w:ind w:firstLine="480"/>
        <w:rPr>
          <w:bCs/>
          <w:sz w:val="24"/>
          <w:lang w:eastAsia="zh-CN"/>
        </w:rPr>
      </w:pPr>
      <w:r w:rsidRPr="002C2B23">
        <w:rPr>
          <w:bCs/>
          <w:sz w:val="24"/>
          <w:lang w:eastAsia="zh-CN"/>
        </w:rPr>
        <w:t>（</w:t>
      </w:r>
      <w:r w:rsidRPr="002C2B23">
        <w:rPr>
          <w:bCs/>
          <w:sz w:val="24"/>
          <w:lang w:eastAsia="zh-CN"/>
        </w:rPr>
        <w:t>7</w:t>
      </w:r>
      <w:r w:rsidRPr="002C2B23">
        <w:rPr>
          <w:bCs/>
          <w:sz w:val="24"/>
          <w:lang w:eastAsia="zh-CN"/>
        </w:rPr>
        <w:t>）本基金与其他基金的合并；</w:t>
      </w:r>
    </w:p>
    <w:p w14:paraId="4F9E0A35" w14:textId="77777777" w:rsidR="005039DD" w:rsidRPr="002C2B23" w:rsidRDefault="0040620F">
      <w:pPr>
        <w:spacing w:line="440" w:lineRule="atLeast"/>
        <w:ind w:firstLine="480"/>
        <w:rPr>
          <w:bCs/>
          <w:sz w:val="24"/>
          <w:lang w:eastAsia="zh-CN"/>
        </w:rPr>
      </w:pPr>
      <w:r w:rsidRPr="002C2B23">
        <w:rPr>
          <w:bCs/>
          <w:sz w:val="24"/>
          <w:lang w:eastAsia="zh-CN"/>
        </w:rPr>
        <w:t>（</w:t>
      </w:r>
      <w:r w:rsidRPr="002C2B23">
        <w:rPr>
          <w:bCs/>
          <w:sz w:val="24"/>
          <w:lang w:eastAsia="zh-CN"/>
        </w:rPr>
        <w:t>8</w:t>
      </w:r>
      <w:r w:rsidRPr="002C2B23">
        <w:rPr>
          <w:bCs/>
          <w:sz w:val="24"/>
          <w:lang w:eastAsia="zh-CN"/>
        </w:rPr>
        <w:t>）变更基金投资目标、范围或策略；</w:t>
      </w:r>
    </w:p>
    <w:p w14:paraId="7CFA83B8" w14:textId="77777777" w:rsidR="005039DD" w:rsidRPr="002C2B23" w:rsidRDefault="0040620F">
      <w:pPr>
        <w:spacing w:line="440" w:lineRule="atLeast"/>
        <w:ind w:firstLine="480"/>
        <w:rPr>
          <w:bCs/>
          <w:sz w:val="24"/>
          <w:lang w:eastAsia="zh-CN"/>
        </w:rPr>
      </w:pPr>
      <w:r w:rsidRPr="002C2B23">
        <w:rPr>
          <w:bCs/>
          <w:sz w:val="24"/>
          <w:lang w:eastAsia="zh-CN"/>
        </w:rPr>
        <w:t>（</w:t>
      </w:r>
      <w:r w:rsidRPr="002C2B23">
        <w:rPr>
          <w:bCs/>
          <w:sz w:val="24"/>
          <w:lang w:eastAsia="zh-CN"/>
        </w:rPr>
        <w:t>9</w:t>
      </w:r>
      <w:r w:rsidRPr="002C2B23">
        <w:rPr>
          <w:bCs/>
          <w:sz w:val="24"/>
          <w:lang w:eastAsia="zh-CN"/>
        </w:rPr>
        <w:t>）变更基金份额持有人大会程序；</w:t>
      </w:r>
    </w:p>
    <w:p w14:paraId="319C1C56" w14:textId="77777777" w:rsidR="005039DD" w:rsidRPr="002C2B23" w:rsidRDefault="0040620F">
      <w:pPr>
        <w:spacing w:line="440" w:lineRule="atLeast"/>
        <w:ind w:firstLine="480"/>
        <w:rPr>
          <w:bCs/>
          <w:sz w:val="24"/>
          <w:lang w:eastAsia="zh-CN"/>
        </w:rPr>
      </w:pPr>
      <w:r w:rsidRPr="002C2B23">
        <w:rPr>
          <w:bCs/>
          <w:sz w:val="24"/>
          <w:lang w:eastAsia="zh-CN"/>
        </w:rPr>
        <w:t>（</w:t>
      </w:r>
      <w:r w:rsidRPr="002C2B23">
        <w:rPr>
          <w:bCs/>
          <w:sz w:val="24"/>
          <w:lang w:eastAsia="zh-CN"/>
        </w:rPr>
        <w:t>10</w:t>
      </w:r>
      <w:r w:rsidRPr="002C2B23">
        <w:rPr>
          <w:bCs/>
          <w:sz w:val="24"/>
          <w:lang w:eastAsia="zh-CN"/>
        </w:rPr>
        <w:t>）基金管理人或基金托管人要求召开基金份额持有人大会；</w:t>
      </w:r>
    </w:p>
    <w:p w14:paraId="4CF7D7B3" w14:textId="77777777" w:rsidR="005039DD" w:rsidRPr="002C2B23" w:rsidRDefault="0040620F">
      <w:pPr>
        <w:spacing w:line="440" w:lineRule="atLeast"/>
        <w:ind w:firstLine="480"/>
        <w:rPr>
          <w:bCs/>
          <w:sz w:val="24"/>
          <w:lang w:eastAsia="zh-CN"/>
        </w:rPr>
      </w:pPr>
      <w:r w:rsidRPr="002C2B23">
        <w:rPr>
          <w:bCs/>
          <w:sz w:val="24"/>
          <w:lang w:eastAsia="zh-CN"/>
        </w:rPr>
        <w:t>（</w:t>
      </w:r>
      <w:r w:rsidRPr="002C2B23">
        <w:rPr>
          <w:bCs/>
          <w:sz w:val="24"/>
          <w:lang w:eastAsia="zh-CN"/>
        </w:rPr>
        <w:t>11</w:t>
      </w:r>
      <w:r w:rsidRPr="002C2B23">
        <w:rPr>
          <w:bCs/>
          <w:sz w:val="24"/>
          <w:lang w:eastAsia="zh-CN"/>
        </w:rPr>
        <w:t>）单独或合计持有本基金总份额</w:t>
      </w:r>
      <w:r w:rsidRPr="002C2B23">
        <w:rPr>
          <w:bCs/>
          <w:sz w:val="24"/>
          <w:lang w:eastAsia="zh-CN"/>
        </w:rPr>
        <w:t>10%</w:t>
      </w:r>
      <w:r w:rsidRPr="002C2B23">
        <w:rPr>
          <w:bCs/>
          <w:sz w:val="24"/>
          <w:lang w:eastAsia="zh-CN"/>
        </w:rPr>
        <w:t>以上（含</w:t>
      </w:r>
      <w:r w:rsidRPr="002C2B23">
        <w:rPr>
          <w:bCs/>
          <w:sz w:val="24"/>
          <w:lang w:eastAsia="zh-CN"/>
        </w:rPr>
        <w:t>10%</w:t>
      </w:r>
      <w:r w:rsidRPr="002C2B23">
        <w:rPr>
          <w:bCs/>
          <w:sz w:val="24"/>
          <w:lang w:eastAsia="zh-CN"/>
        </w:rPr>
        <w:t>）基金份额的基金份额持有人（以基金管理人收到提议当日的基金份额计算，下同）就同一事项书面要求召开基金份额持有人大会；</w:t>
      </w:r>
    </w:p>
    <w:p w14:paraId="5B1ABA4E" w14:textId="77777777" w:rsidR="005039DD" w:rsidRPr="002C2B23" w:rsidRDefault="0040620F">
      <w:pPr>
        <w:spacing w:line="440" w:lineRule="atLeast"/>
        <w:ind w:firstLine="480"/>
        <w:rPr>
          <w:bCs/>
          <w:sz w:val="24"/>
          <w:lang w:eastAsia="zh-CN"/>
        </w:rPr>
      </w:pPr>
      <w:r w:rsidRPr="002C2B23">
        <w:rPr>
          <w:bCs/>
          <w:sz w:val="24"/>
          <w:lang w:eastAsia="zh-CN"/>
        </w:rPr>
        <w:t>（</w:t>
      </w:r>
      <w:r w:rsidRPr="002C2B23">
        <w:rPr>
          <w:bCs/>
          <w:sz w:val="24"/>
          <w:lang w:eastAsia="zh-CN"/>
        </w:rPr>
        <w:t>12</w:t>
      </w:r>
      <w:r w:rsidRPr="002C2B23">
        <w:rPr>
          <w:bCs/>
          <w:sz w:val="24"/>
          <w:lang w:eastAsia="zh-CN"/>
        </w:rPr>
        <w:t>）对基金合同当事人权利和义务产生重大影响的其他事项；</w:t>
      </w:r>
    </w:p>
    <w:p w14:paraId="2B6A18BB" w14:textId="77777777" w:rsidR="005039DD" w:rsidRPr="002C2B23" w:rsidRDefault="0040620F">
      <w:pPr>
        <w:spacing w:line="440" w:lineRule="atLeast"/>
        <w:ind w:firstLine="480"/>
        <w:rPr>
          <w:bCs/>
          <w:sz w:val="24"/>
          <w:lang w:eastAsia="zh-CN"/>
        </w:rPr>
      </w:pPr>
      <w:r w:rsidRPr="002C2B23">
        <w:rPr>
          <w:bCs/>
          <w:sz w:val="24"/>
          <w:lang w:eastAsia="zh-CN"/>
        </w:rPr>
        <w:t>（</w:t>
      </w:r>
      <w:r w:rsidRPr="002C2B23">
        <w:rPr>
          <w:bCs/>
          <w:sz w:val="24"/>
          <w:lang w:eastAsia="zh-CN"/>
        </w:rPr>
        <w:t>13</w:t>
      </w:r>
      <w:r w:rsidRPr="002C2B23">
        <w:rPr>
          <w:bCs/>
          <w:sz w:val="24"/>
          <w:lang w:eastAsia="zh-CN"/>
        </w:rPr>
        <w:t>）法律法规、《基金合同》或中国证监会规定的其他应当召开基金份额持有人大会的事项。</w:t>
      </w:r>
    </w:p>
    <w:p w14:paraId="204381F9"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、在法律法规规定和《基金合同》约定的范围内且对基金份额持有人利益无实质性不利影响的前提下，以下情况可由基金管理人和基金托管人协商后修改，不需召开基金份额持有人大会：</w:t>
      </w:r>
    </w:p>
    <w:p w14:paraId="58DDDE3C"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）法律法规要求增加的基金费用的收取；</w:t>
      </w:r>
    </w:p>
    <w:p w14:paraId="52A38727" w14:textId="48EE3391"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）调整本基金的申购费率、调低销售服务费率或变更收费方式，调整基金份额类别设置、对基金份额分类办法及规则进行调整；</w:t>
      </w:r>
    </w:p>
    <w:p w14:paraId="6684B776"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3</w:t>
      </w:r>
      <w:r w:rsidRPr="002C2B23">
        <w:rPr>
          <w:bCs/>
          <w:sz w:val="24"/>
          <w:lang w:eastAsia="zh-CN"/>
        </w:rPr>
        <w:t>）</w:t>
      </w:r>
      <w:proofErr w:type="gramStart"/>
      <w:r w:rsidRPr="002C2B23">
        <w:rPr>
          <w:bCs/>
          <w:sz w:val="24"/>
          <w:lang w:eastAsia="zh-CN"/>
        </w:rPr>
        <w:t>因相应</w:t>
      </w:r>
      <w:proofErr w:type="gramEnd"/>
      <w:r w:rsidRPr="002C2B23">
        <w:rPr>
          <w:bCs/>
          <w:sz w:val="24"/>
          <w:lang w:eastAsia="zh-CN"/>
        </w:rPr>
        <w:t>的法律法规发生变动而应当对《基金合同》进行修改；</w:t>
      </w:r>
    </w:p>
    <w:p w14:paraId="0C7F10F9"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4</w:t>
      </w:r>
      <w:r w:rsidRPr="002C2B23">
        <w:rPr>
          <w:bCs/>
          <w:sz w:val="24"/>
          <w:lang w:eastAsia="zh-CN"/>
        </w:rPr>
        <w:t>）对《基金合同》的修改对基金份额持有人利益无实质性不利影响或修改不涉及《基金合同》当事人权利义务关系发生重大变化；</w:t>
      </w:r>
    </w:p>
    <w:p w14:paraId="01BAD18A"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5</w:t>
      </w:r>
      <w:r w:rsidRPr="002C2B23">
        <w:rPr>
          <w:bCs/>
          <w:sz w:val="24"/>
          <w:lang w:eastAsia="zh-CN"/>
        </w:rPr>
        <w:t>）基金管理人、登记机构、基金销售机构调整有关申购、赎回、转换、基金交易、</w:t>
      </w:r>
      <w:proofErr w:type="gramStart"/>
      <w:r w:rsidRPr="002C2B23">
        <w:rPr>
          <w:bCs/>
          <w:sz w:val="24"/>
          <w:lang w:eastAsia="zh-CN"/>
        </w:rPr>
        <w:t>非交易</w:t>
      </w:r>
      <w:proofErr w:type="gramEnd"/>
      <w:r w:rsidRPr="002C2B23">
        <w:rPr>
          <w:bCs/>
          <w:sz w:val="24"/>
          <w:lang w:eastAsia="zh-CN"/>
        </w:rPr>
        <w:t>过户、转托管等业务规则；</w:t>
      </w:r>
    </w:p>
    <w:p w14:paraId="77054DA2"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6</w:t>
      </w:r>
      <w:r w:rsidRPr="002C2B23">
        <w:rPr>
          <w:bCs/>
          <w:sz w:val="24"/>
          <w:lang w:eastAsia="zh-CN"/>
        </w:rPr>
        <w:t>）履行相关程序后，基金推出新业务或服务；</w:t>
      </w:r>
    </w:p>
    <w:p w14:paraId="21802A08"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7</w:t>
      </w:r>
      <w:r w:rsidRPr="002C2B23">
        <w:rPr>
          <w:bCs/>
          <w:sz w:val="24"/>
          <w:lang w:eastAsia="zh-CN"/>
        </w:rPr>
        <w:t>）按照法律法规和《基金合同》规定不需召开基金份额持有人大会的其他情形。</w:t>
      </w:r>
    </w:p>
    <w:p w14:paraId="4CD927C8" w14:textId="77777777" w:rsidR="005039DD" w:rsidRPr="002C2B23" w:rsidRDefault="005039DD">
      <w:pPr>
        <w:spacing w:line="360" w:lineRule="auto"/>
        <w:ind w:firstLine="480"/>
        <w:rPr>
          <w:bCs/>
          <w:sz w:val="24"/>
          <w:lang w:eastAsia="zh-CN"/>
        </w:rPr>
      </w:pPr>
    </w:p>
    <w:p w14:paraId="41D80A4F" w14:textId="77777777" w:rsidR="005039DD" w:rsidRPr="002C2B23" w:rsidRDefault="0040620F">
      <w:pPr>
        <w:spacing w:line="360" w:lineRule="auto"/>
        <w:ind w:firstLine="480"/>
        <w:rPr>
          <w:bCs/>
          <w:sz w:val="24"/>
          <w:lang w:eastAsia="zh-CN"/>
        </w:rPr>
      </w:pPr>
      <w:bookmarkStart w:id="196" w:name="_Toc57530244"/>
      <w:bookmarkStart w:id="197" w:name="_Toc15641221"/>
      <w:bookmarkStart w:id="198" w:name="_Toc79392585"/>
      <w:bookmarkStart w:id="199" w:name="_Hlk96415543"/>
      <w:r w:rsidRPr="002C2B23">
        <w:rPr>
          <w:bCs/>
          <w:sz w:val="24"/>
          <w:lang w:eastAsia="zh-CN"/>
        </w:rPr>
        <w:t>二、会议召集人及召集方式</w:t>
      </w:r>
      <w:bookmarkEnd w:id="196"/>
      <w:bookmarkEnd w:id="197"/>
      <w:bookmarkEnd w:id="198"/>
    </w:p>
    <w:p w14:paraId="18104CB2" w14:textId="77777777" w:rsidR="005039DD" w:rsidRPr="002C2B23" w:rsidRDefault="0040620F">
      <w:pPr>
        <w:spacing w:line="360" w:lineRule="auto"/>
        <w:ind w:firstLine="480"/>
        <w:rPr>
          <w:bCs/>
          <w:sz w:val="24"/>
          <w:lang w:eastAsia="zh-CN"/>
        </w:rPr>
      </w:pPr>
      <w:bookmarkStart w:id="200" w:name="_Toc15641222"/>
      <w:bookmarkStart w:id="201" w:name="_Toc57530245"/>
      <w:r w:rsidRPr="002C2B23">
        <w:rPr>
          <w:bCs/>
          <w:sz w:val="24"/>
          <w:lang w:eastAsia="zh-CN"/>
        </w:rPr>
        <w:t>1</w:t>
      </w:r>
      <w:r w:rsidRPr="002C2B23">
        <w:rPr>
          <w:bCs/>
          <w:sz w:val="24"/>
          <w:lang w:eastAsia="zh-CN"/>
        </w:rPr>
        <w:t>、除法律法规规定或《基金合同》另有约定外，基金份额持有人大会由基金管理人召集。</w:t>
      </w:r>
    </w:p>
    <w:p w14:paraId="445B13E4"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、基金管理人未按规定召集或不能召集时，由基金托管人召集。</w:t>
      </w:r>
    </w:p>
    <w:p w14:paraId="7516F9C0"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、基金托管人认为有必要召开基金份额持有人大会的，应当向基金管理人提出书面提议。基金管理人应当自收到书面提议之日起</w:t>
      </w:r>
      <w:r w:rsidRPr="002C2B23">
        <w:rPr>
          <w:bCs/>
          <w:sz w:val="24"/>
          <w:lang w:eastAsia="zh-CN"/>
        </w:rPr>
        <w:t>10</w:t>
      </w:r>
      <w:r w:rsidRPr="002C2B23">
        <w:rPr>
          <w:bCs/>
          <w:sz w:val="24"/>
          <w:lang w:eastAsia="zh-CN"/>
        </w:rPr>
        <w:t>日内决定是否召集，并书面告知基金托管人。基金管理人决定召集的，应当自出具书面决定之日起</w:t>
      </w:r>
      <w:r w:rsidRPr="002C2B23">
        <w:rPr>
          <w:bCs/>
          <w:sz w:val="24"/>
          <w:lang w:eastAsia="zh-CN"/>
        </w:rPr>
        <w:t>60</w:t>
      </w:r>
      <w:r w:rsidRPr="002C2B23">
        <w:rPr>
          <w:bCs/>
          <w:sz w:val="24"/>
          <w:lang w:eastAsia="zh-CN"/>
        </w:rPr>
        <w:t>日内召开；基金管理人决定不召集，基金托管人仍认为有必要召开的，应当由基金托管人自行召集，并自出具书面决定之日起</w:t>
      </w:r>
      <w:r w:rsidRPr="002C2B23">
        <w:rPr>
          <w:bCs/>
          <w:sz w:val="24"/>
          <w:lang w:eastAsia="zh-CN"/>
        </w:rPr>
        <w:t>60</w:t>
      </w:r>
      <w:r w:rsidRPr="002C2B23">
        <w:rPr>
          <w:bCs/>
          <w:sz w:val="24"/>
          <w:lang w:eastAsia="zh-CN"/>
        </w:rPr>
        <w:t>日内召开并告知基金管理人，基金管理人应当配合。</w:t>
      </w:r>
    </w:p>
    <w:p w14:paraId="0D78387C" w14:textId="77777777" w:rsidR="005039DD" w:rsidRPr="002C2B23" w:rsidRDefault="0040620F">
      <w:pPr>
        <w:spacing w:line="360" w:lineRule="auto"/>
        <w:ind w:firstLine="480"/>
        <w:rPr>
          <w:bCs/>
          <w:sz w:val="24"/>
          <w:lang w:eastAsia="zh-CN"/>
        </w:rPr>
      </w:pPr>
      <w:r w:rsidRPr="002C2B23">
        <w:rPr>
          <w:bCs/>
          <w:sz w:val="24"/>
          <w:lang w:eastAsia="zh-CN"/>
        </w:rPr>
        <w:t>4</w:t>
      </w:r>
      <w:r w:rsidRPr="002C2B23">
        <w:rPr>
          <w:bCs/>
          <w:sz w:val="24"/>
          <w:lang w:eastAsia="zh-CN"/>
        </w:rPr>
        <w:t>、代表基金份额</w:t>
      </w:r>
      <w:r w:rsidRPr="002C2B23">
        <w:rPr>
          <w:bCs/>
          <w:sz w:val="24"/>
          <w:lang w:eastAsia="zh-CN"/>
        </w:rPr>
        <w:t>10%</w:t>
      </w:r>
      <w:r w:rsidRPr="002C2B23">
        <w:rPr>
          <w:bCs/>
          <w:sz w:val="24"/>
          <w:lang w:eastAsia="zh-CN"/>
        </w:rPr>
        <w:t>以上（含</w:t>
      </w:r>
      <w:r w:rsidRPr="002C2B23">
        <w:rPr>
          <w:bCs/>
          <w:sz w:val="24"/>
          <w:lang w:eastAsia="zh-CN"/>
        </w:rPr>
        <w:t>10%</w:t>
      </w:r>
      <w:r w:rsidRPr="002C2B23">
        <w:rPr>
          <w:bCs/>
          <w:sz w:val="24"/>
          <w:lang w:eastAsia="zh-CN"/>
        </w:rPr>
        <w:t>）的基金份额持有人就同一事项书面要求召开基金份额持有人大会，应当向基金管理人提出书面提议。基金管理人应当自收到书面提议之日起</w:t>
      </w:r>
      <w:r w:rsidRPr="002C2B23">
        <w:rPr>
          <w:bCs/>
          <w:sz w:val="24"/>
          <w:lang w:eastAsia="zh-CN"/>
        </w:rPr>
        <w:t>10</w:t>
      </w:r>
      <w:r w:rsidRPr="002C2B23">
        <w:rPr>
          <w:bCs/>
          <w:sz w:val="24"/>
          <w:lang w:eastAsia="zh-CN"/>
        </w:rPr>
        <w:t>日内决定是否召集，并书面告知提出提议的基金份额持有人代表和基金托管人。基金管理人决定召集的，应当自出具书面决定之日起</w:t>
      </w:r>
      <w:r w:rsidRPr="002C2B23">
        <w:rPr>
          <w:bCs/>
          <w:sz w:val="24"/>
          <w:lang w:eastAsia="zh-CN"/>
        </w:rPr>
        <w:t>60</w:t>
      </w:r>
      <w:r w:rsidRPr="002C2B23">
        <w:rPr>
          <w:bCs/>
          <w:sz w:val="24"/>
          <w:lang w:eastAsia="zh-CN"/>
        </w:rPr>
        <w:t>日内召开；基金管理人决定不召集，代表基金份额</w:t>
      </w:r>
      <w:r w:rsidRPr="002C2B23">
        <w:rPr>
          <w:bCs/>
          <w:sz w:val="24"/>
          <w:lang w:eastAsia="zh-CN"/>
        </w:rPr>
        <w:t>10%</w:t>
      </w:r>
      <w:r w:rsidRPr="002C2B23">
        <w:rPr>
          <w:bCs/>
          <w:sz w:val="24"/>
          <w:lang w:eastAsia="zh-CN"/>
        </w:rPr>
        <w:t>以上（含</w:t>
      </w:r>
      <w:r w:rsidRPr="002C2B23">
        <w:rPr>
          <w:bCs/>
          <w:sz w:val="24"/>
          <w:lang w:eastAsia="zh-CN"/>
        </w:rPr>
        <w:t>10%</w:t>
      </w:r>
      <w:r w:rsidRPr="002C2B23">
        <w:rPr>
          <w:bCs/>
          <w:sz w:val="24"/>
          <w:lang w:eastAsia="zh-CN"/>
        </w:rPr>
        <w:t>）的基金份额持有人仍认为有必要召开的，应当向基金托管人提出书面提议。基金托管人应当自收到书面提议之日起</w:t>
      </w:r>
      <w:r w:rsidRPr="002C2B23">
        <w:rPr>
          <w:bCs/>
          <w:sz w:val="24"/>
          <w:lang w:eastAsia="zh-CN"/>
        </w:rPr>
        <w:t>10</w:t>
      </w:r>
      <w:r w:rsidRPr="002C2B23">
        <w:rPr>
          <w:bCs/>
          <w:sz w:val="24"/>
          <w:lang w:eastAsia="zh-CN"/>
        </w:rPr>
        <w:t>日内决定是否召集，并书面告知提出提议的基金份额持有人代表和基金管理人；基金托管人决定召集的，应当自出具书面决定之日起</w:t>
      </w:r>
      <w:r w:rsidRPr="002C2B23">
        <w:rPr>
          <w:bCs/>
          <w:sz w:val="24"/>
          <w:lang w:eastAsia="zh-CN"/>
        </w:rPr>
        <w:t>60</w:t>
      </w:r>
      <w:r w:rsidRPr="002C2B23">
        <w:rPr>
          <w:bCs/>
          <w:sz w:val="24"/>
          <w:lang w:eastAsia="zh-CN"/>
        </w:rPr>
        <w:t>日内召开并告知基金管理人，基金管理人应当配合。</w:t>
      </w:r>
    </w:p>
    <w:p w14:paraId="581B98BB" w14:textId="77777777" w:rsidR="005039DD" w:rsidRPr="002C2B23" w:rsidRDefault="0040620F">
      <w:pPr>
        <w:spacing w:line="360" w:lineRule="auto"/>
        <w:ind w:firstLine="480"/>
        <w:rPr>
          <w:bCs/>
          <w:sz w:val="24"/>
          <w:lang w:eastAsia="zh-CN"/>
        </w:rPr>
      </w:pPr>
      <w:r w:rsidRPr="002C2B23">
        <w:rPr>
          <w:bCs/>
          <w:sz w:val="24"/>
          <w:lang w:eastAsia="zh-CN"/>
        </w:rPr>
        <w:t>5</w:t>
      </w:r>
      <w:r w:rsidRPr="002C2B23">
        <w:rPr>
          <w:bCs/>
          <w:sz w:val="24"/>
          <w:lang w:eastAsia="zh-CN"/>
        </w:rPr>
        <w:t>、代表基金份额</w:t>
      </w:r>
      <w:r w:rsidRPr="002C2B23">
        <w:rPr>
          <w:bCs/>
          <w:sz w:val="24"/>
          <w:lang w:eastAsia="zh-CN"/>
        </w:rPr>
        <w:t>10%</w:t>
      </w:r>
      <w:r w:rsidRPr="002C2B23">
        <w:rPr>
          <w:bCs/>
          <w:sz w:val="24"/>
          <w:lang w:eastAsia="zh-CN"/>
        </w:rPr>
        <w:t>以上（含</w:t>
      </w:r>
      <w:r w:rsidRPr="002C2B23">
        <w:rPr>
          <w:bCs/>
          <w:sz w:val="24"/>
          <w:lang w:eastAsia="zh-CN"/>
        </w:rPr>
        <w:t>10%</w:t>
      </w:r>
      <w:r w:rsidRPr="002C2B23">
        <w:rPr>
          <w:bCs/>
          <w:sz w:val="24"/>
          <w:lang w:eastAsia="zh-CN"/>
        </w:rPr>
        <w:t>）的基金份额持有人就同一事项要求召开基金份额持有人大会，而基金管理人、基金托管人都不召集的，单独或合计代表基金份额</w:t>
      </w:r>
      <w:r w:rsidRPr="002C2B23">
        <w:rPr>
          <w:bCs/>
          <w:sz w:val="24"/>
          <w:lang w:eastAsia="zh-CN"/>
        </w:rPr>
        <w:t>10%</w:t>
      </w:r>
      <w:r w:rsidRPr="002C2B23">
        <w:rPr>
          <w:bCs/>
          <w:sz w:val="24"/>
          <w:lang w:eastAsia="zh-CN"/>
        </w:rPr>
        <w:t>以上（含</w:t>
      </w:r>
      <w:r w:rsidRPr="002C2B23">
        <w:rPr>
          <w:bCs/>
          <w:sz w:val="24"/>
          <w:lang w:eastAsia="zh-CN"/>
        </w:rPr>
        <w:t>10%</w:t>
      </w:r>
      <w:r w:rsidRPr="002C2B23">
        <w:rPr>
          <w:bCs/>
          <w:sz w:val="24"/>
          <w:lang w:eastAsia="zh-CN"/>
        </w:rPr>
        <w:t>）的基金份额持有人有权自行召集，并至少提前</w:t>
      </w:r>
      <w:r w:rsidRPr="002C2B23">
        <w:rPr>
          <w:bCs/>
          <w:sz w:val="24"/>
          <w:lang w:eastAsia="zh-CN"/>
        </w:rPr>
        <w:t>30</w:t>
      </w:r>
      <w:r w:rsidRPr="002C2B23">
        <w:rPr>
          <w:bCs/>
          <w:sz w:val="24"/>
          <w:lang w:eastAsia="zh-CN"/>
        </w:rPr>
        <w:t>日报中国证监会备案。基金份额持有人依法自行召集基金份额持有人大会的，基金管理人、基金托管人应当配合，不得阻碍、干扰。</w:t>
      </w:r>
    </w:p>
    <w:p w14:paraId="35BF13CD" w14:textId="77777777" w:rsidR="005039DD" w:rsidRPr="002C2B23" w:rsidRDefault="0040620F">
      <w:pPr>
        <w:spacing w:line="360" w:lineRule="auto"/>
        <w:ind w:firstLine="480"/>
        <w:rPr>
          <w:bCs/>
          <w:sz w:val="24"/>
          <w:lang w:eastAsia="zh-CN"/>
        </w:rPr>
      </w:pPr>
      <w:r w:rsidRPr="002C2B23">
        <w:rPr>
          <w:bCs/>
          <w:sz w:val="24"/>
          <w:lang w:eastAsia="zh-CN"/>
        </w:rPr>
        <w:t>6</w:t>
      </w:r>
      <w:r w:rsidRPr="002C2B23">
        <w:rPr>
          <w:bCs/>
          <w:sz w:val="24"/>
          <w:lang w:eastAsia="zh-CN"/>
        </w:rPr>
        <w:t>、基金份额持有人会议的召集人负责选择确定开会时间、地点、方式和权益登记日。</w:t>
      </w:r>
    </w:p>
    <w:p w14:paraId="7E677F74" w14:textId="77777777" w:rsidR="005039DD" w:rsidRPr="002C2B23" w:rsidRDefault="005039DD">
      <w:pPr>
        <w:spacing w:line="360" w:lineRule="auto"/>
        <w:ind w:firstLine="480"/>
        <w:rPr>
          <w:bCs/>
          <w:sz w:val="24"/>
          <w:lang w:eastAsia="zh-CN"/>
        </w:rPr>
      </w:pPr>
    </w:p>
    <w:p w14:paraId="63917921" w14:textId="77777777" w:rsidR="005039DD" w:rsidRPr="002C2B23" w:rsidRDefault="0040620F">
      <w:pPr>
        <w:spacing w:line="360" w:lineRule="auto"/>
        <w:ind w:firstLine="480"/>
        <w:rPr>
          <w:bCs/>
          <w:sz w:val="24"/>
          <w:lang w:eastAsia="zh-CN"/>
        </w:rPr>
      </w:pPr>
      <w:bookmarkStart w:id="202" w:name="_Toc79392586"/>
      <w:r w:rsidRPr="002C2B23">
        <w:rPr>
          <w:bCs/>
          <w:sz w:val="24"/>
          <w:lang w:eastAsia="zh-CN"/>
        </w:rPr>
        <w:t>三、召开基金份额持有人大会的通知时间、通知内容、通知方式</w:t>
      </w:r>
      <w:bookmarkEnd w:id="200"/>
      <w:bookmarkEnd w:id="201"/>
      <w:bookmarkEnd w:id="202"/>
    </w:p>
    <w:p w14:paraId="5EE0C7B8"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、召开基金份额持有人大会，召集人应于会议召开前</w:t>
      </w:r>
      <w:r w:rsidRPr="002C2B23">
        <w:rPr>
          <w:bCs/>
          <w:sz w:val="24"/>
          <w:lang w:eastAsia="zh-CN"/>
        </w:rPr>
        <w:t>30</w:t>
      </w:r>
      <w:r w:rsidRPr="002C2B23">
        <w:rPr>
          <w:bCs/>
          <w:sz w:val="24"/>
          <w:lang w:eastAsia="zh-CN"/>
        </w:rPr>
        <w:t>日，在规定媒介公告。基金份额持有人大会通知应至少载明以下内容：</w:t>
      </w:r>
    </w:p>
    <w:p w14:paraId="705ACAC9"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）会议召开的时间、地点和会议形式；</w:t>
      </w:r>
    </w:p>
    <w:p w14:paraId="66228544"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）会议</w:t>
      </w:r>
      <w:proofErr w:type="gramStart"/>
      <w:r w:rsidRPr="002C2B23">
        <w:rPr>
          <w:bCs/>
          <w:sz w:val="24"/>
          <w:lang w:eastAsia="zh-CN"/>
        </w:rPr>
        <w:t>拟审议</w:t>
      </w:r>
      <w:proofErr w:type="gramEnd"/>
      <w:r w:rsidRPr="002C2B23">
        <w:rPr>
          <w:bCs/>
          <w:sz w:val="24"/>
          <w:lang w:eastAsia="zh-CN"/>
        </w:rPr>
        <w:t>的事项、议事程序和表决方式；</w:t>
      </w:r>
    </w:p>
    <w:p w14:paraId="555F7278"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3</w:t>
      </w:r>
      <w:r w:rsidRPr="002C2B23">
        <w:rPr>
          <w:bCs/>
          <w:sz w:val="24"/>
          <w:lang w:eastAsia="zh-CN"/>
        </w:rPr>
        <w:t>）有权出席基金份额持有人大会的基金份额持有人的权益登记日；</w:t>
      </w:r>
    </w:p>
    <w:p w14:paraId="49B74D98"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4</w:t>
      </w:r>
      <w:r w:rsidRPr="002C2B23">
        <w:rPr>
          <w:bCs/>
          <w:sz w:val="24"/>
          <w:lang w:eastAsia="zh-CN"/>
        </w:rPr>
        <w:t>）授权委托证明的内容要求（包括但不限于代理人身份，代理权限和代理有效期限等）、送达时间和地点；</w:t>
      </w:r>
    </w:p>
    <w:p w14:paraId="18289E8E"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5</w:t>
      </w:r>
      <w:r w:rsidRPr="002C2B23">
        <w:rPr>
          <w:bCs/>
          <w:sz w:val="24"/>
          <w:lang w:eastAsia="zh-CN"/>
        </w:rPr>
        <w:t>）会务常设联系人姓名及联系电话；</w:t>
      </w:r>
    </w:p>
    <w:p w14:paraId="69577B5C"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6</w:t>
      </w:r>
      <w:r w:rsidRPr="002C2B23">
        <w:rPr>
          <w:bCs/>
          <w:sz w:val="24"/>
          <w:lang w:eastAsia="zh-CN"/>
        </w:rPr>
        <w:t>）出席会议者必须准备的文件和必须履行的手续；</w:t>
      </w:r>
    </w:p>
    <w:p w14:paraId="5C246717"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7</w:t>
      </w:r>
      <w:r w:rsidRPr="002C2B23">
        <w:rPr>
          <w:bCs/>
          <w:sz w:val="24"/>
          <w:lang w:eastAsia="zh-CN"/>
        </w:rPr>
        <w:t>）召集人需要通知的其他事项。</w:t>
      </w:r>
    </w:p>
    <w:p w14:paraId="7B93C20E"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6E889815"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w:t>
      </w:r>
      <w:proofErr w:type="gramStart"/>
      <w:r w:rsidRPr="002C2B23">
        <w:rPr>
          <w:bCs/>
          <w:sz w:val="24"/>
          <w:lang w:eastAsia="zh-CN"/>
        </w:rPr>
        <w:t>拒不派</w:t>
      </w:r>
      <w:proofErr w:type="gramEnd"/>
      <w:r w:rsidRPr="002C2B23">
        <w:rPr>
          <w:bCs/>
          <w:sz w:val="24"/>
          <w:lang w:eastAsia="zh-CN"/>
        </w:rPr>
        <w:t>代表对表决意见的计票进行监督的，不影响表决意见的计票效力。</w:t>
      </w:r>
    </w:p>
    <w:p w14:paraId="093F475B" w14:textId="77777777" w:rsidR="005039DD" w:rsidRPr="002C2B23" w:rsidRDefault="005039DD">
      <w:pPr>
        <w:spacing w:line="360" w:lineRule="auto"/>
        <w:ind w:firstLine="480"/>
        <w:rPr>
          <w:bCs/>
          <w:sz w:val="24"/>
          <w:lang w:eastAsia="zh-CN"/>
        </w:rPr>
      </w:pPr>
    </w:p>
    <w:p w14:paraId="5BA12CEC" w14:textId="77777777" w:rsidR="005039DD" w:rsidRPr="002C2B23" w:rsidRDefault="0040620F">
      <w:pPr>
        <w:spacing w:line="360" w:lineRule="auto"/>
        <w:ind w:firstLine="480"/>
        <w:rPr>
          <w:bCs/>
          <w:sz w:val="24"/>
          <w:lang w:eastAsia="zh-CN"/>
        </w:rPr>
      </w:pPr>
      <w:bookmarkStart w:id="203" w:name="_Toc79392587"/>
      <w:bookmarkStart w:id="204" w:name="_Toc57530246"/>
      <w:bookmarkStart w:id="205" w:name="_Toc15641223"/>
      <w:r w:rsidRPr="002C2B23">
        <w:rPr>
          <w:bCs/>
          <w:sz w:val="24"/>
          <w:lang w:eastAsia="zh-CN"/>
        </w:rPr>
        <w:t>四、基金份额持有人出席会议的方式</w:t>
      </w:r>
      <w:bookmarkEnd w:id="203"/>
      <w:bookmarkEnd w:id="204"/>
      <w:bookmarkEnd w:id="205"/>
    </w:p>
    <w:p w14:paraId="514542C8" w14:textId="77777777" w:rsidR="005039DD" w:rsidRPr="002C2B23" w:rsidRDefault="0040620F">
      <w:pPr>
        <w:spacing w:line="360" w:lineRule="auto"/>
        <w:ind w:firstLine="480"/>
        <w:rPr>
          <w:bCs/>
          <w:sz w:val="24"/>
          <w:lang w:eastAsia="zh-CN"/>
        </w:rPr>
      </w:pPr>
      <w:r w:rsidRPr="002C2B23">
        <w:rPr>
          <w:bCs/>
          <w:sz w:val="24"/>
          <w:lang w:eastAsia="zh-CN"/>
        </w:rPr>
        <w:t>基金份额持有人大会可通过现场开会方式、通讯开会方式或法律法规、监管机构允许的其他方式召开，会议的召开方式由会议召集人确定。</w:t>
      </w:r>
    </w:p>
    <w:p w14:paraId="691FE5D2"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07C08A1A"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007EAEA3"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w:t>
      </w:r>
      <w:r w:rsidRPr="002C2B23">
        <w:rPr>
          <w:bCs/>
          <w:sz w:val="24"/>
          <w:lang w:eastAsia="zh-CN"/>
        </w:rPr>
        <w:t>3</w:t>
      </w:r>
      <w:r w:rsidRPr="002C2B23">
        <w:rPr>
          <w:bCs/>
          <w:sz w:val="24"/>
          <w:lang w:eastAsia="zh-CN"/>
        </w:rPr>
        <w:t>个月以后、</w:t>
      </w:r>
      <w:r w:rsidRPr="002C2B23">
        <w:rPr>
          <w:bCs/>
          <w:sz w:val="24"/>
          <w:lang w:eastAsia="zh-CN"/>
        </w:rPr>
        <w:t>6</w:t>
      </w:r>
      <w:r w:rsidRPr="002C2B23">
        <w:rPr>
          <w:bCs/>
          <w:sz w:val="24"/>
          <w:lang w:eastAsia="zh-CN"/>
        </w:rPr>
        <w:t>个月以内，就原定审议事项重新召集基金份额持有人大会。重新召集的基金份额持有人大会到会者在权益登记日代表的有效的基金份额应不少于本基金在权益登记日基金总份额的三分之一（含三分之一）。</w:t>
      </w:r>
    </w:p>
    <w:p w14:paraId="16FE569E"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、通讯开会。通讯开会系指基金份额持有人将其对表决事项的投票以书面形式</w:t>
      </w:r>
      <w:proofErr w:type="gramStart"/>
      <w:r w:rsidRPr="002C2B23">
        <w:rPr>
          <w:bCs/>
          <w:sz w:val="24"/>
          <w:lang w:eastAsia="zh-CN"/>
        </w:rPr>
        <w:t>或大会</w:t>
      </w:r>
      <w:proofErr w:type="gramEnd"/>
      <w:r w:rsidRPr="002C2B23">
        <w:rPr>
          <w:bCs/>
          <w:sz w:val="24"/>
          <w:lang w:eastAsia="zh-CN"/>
        </w:rPr>
        <w:t>公告载明的其他方式在表决截止日以前送达至召集人指定的地址。通讯开会应以书面方式</w:t>
      </w:r>
      <w:proofErr w:type="gramStart"/>
      <w:r w:rsidRPr="002C2B23">
        <w:rPr>
          <w:bCs/>
          <w:sz w:val="24"/>
          <w:lang w:eastAsia="zh-CN"/>
        </w:rPr>
        <w:t>或大会</w:t>
      </w:r>
      <w:proofErr w:type="gramEnd"/>
      <w:r w:rsidRPr="002C2B23">
        <w:rPr>
          <w:bCs/>
          <w:sz w:val="24"/>
          <w:lang w:eastAsia="zh-CN"/>
        </w:rPr>
        <w:t>公告载明的其他方式进行表决。</w:t>
      </w:r>
    </w:p>
    <w:p w14:paraId="364DB61B" w14:textId="77777777" w:rsidR="005039DD" w:rsidRPr="002C2B23" w:rsidRDefault="0040620F">
      <w:pPr>
        <w:spacing w:line="360" w:lineRule="auto"/>
        <w:ind w:firstLine="480"/>
        <w:rPr>
          <w:bCs/>
          <w:sz w:val="24"/>
          <w:lang w:eastAsia="zh-CN"/>
        </w:rPr>
      </w:pPr>
      <w:r w:rsidRPr="002C2B23">
        <w:rPr>
          <w:bCs/>
          <w:sz w:val="24"/>
          <w:lang w:eastAsia="zh-CN"/>
        </w:rPr>
        <w:t>在同时符合以下条件时，通讯开会的方式视为有效：</w:t>
      </w:r>
    </w:p>
    <w:p w14:paraId="5E4FEC75"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）会议召集人按《基金合同》约定公布会议通知后，在</w:t>
      </w:r>
      <w:r w:rsidRPr="002C2B23">
        <w:rPr>
          <w:bCs/>
          <w:sz w:val="24"/>
          <w:lang w:eastAsia="zh-CN"/>
        </w:rPr>
        <w:t>2</w:t>
      </w:r>
      <w:r w:rsidRPr="002C2B23">
        <w:rPr>
          <w:bCs/>
          <w:sz w:val="24"/>
          <w:lang w:eastAsia="zh-CN"/>
        </w:rPr>
        <w:t>个工作日内连续公布相关提示性公告；</w:t>
      </w:r>
    </w:p>
    <w:p w14:paraId="3B2F20F7"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1A10831E" w14:textId="77777777" w:rsidR="005039DD" w:rsidRPr="002C2B23" w:rsidRDefault="0040620F">
      <w:pPr>
        <w:spacing w:line="360" w:lineRule="auto"/>
        <w:ind w:firstLine="540"/>
        <w:rPr>
          <w:bCs/>
          <w:sz w:val="24"/>
          <w:lang w:eastAsia="zh-CN"/>
        </w:rPr>
      </w:pPr>
      <w:r w:rsidRPr="002C2B23">
        <w:rPr>
          <w:bCs/>
          <w:sz w:val="24"/>
          <w:lang w:eastAsia="zh-CN"/>
        </w:rPr>
        <w:t>（</w:t>
      </w:r>
      <w:r w:rsidRPr="002C2B23">
        <w:rPr>
          <w:bCs/>
          <w:sz w:val="24"/>
          <w:lang w:eastAsia="zh-CN"/>
        </w:rPr>
        <w:t>3</w:t>
      </w:r>
      <w:r w:rsidRPr="002C2B23">
        <w:rPr>
          <w:bCs/>
          <w:sz w:val="24"/>
          <w:lang w:eastAsia="zh-CN"/>
        </w:rPr>
        <w:t>）本人直接出具表决意见或授权他人代表出具表决意见的，基金份额持有人所持有的基金份额不小于在权益登记日基金总份额的二分之一（含二分之一）；若本人直接出具表决意见或授权他人代表出具表决意见基金份额持有人所持有的基金份额小于在权益登记日基金总份额的二分之一，召集人可以在原公告的基金份额持有人大会召开时间的</w:t>
      </w:r>
      <w:r w:rsidRPr="002C2B23">
        <w:rPr>
          <w:bCs/>
          <w:sz w:val="24"/>
          <w:lang w:eastAsia="zh-CN"/>
        </w:rPr>
        <w:t>3</w:t>
      </w:r>
      <w:r w:rsidRPr="002C2B23">
        <w:rPr>
          <w:bCs/>
          <w:sz w:val="24"/>
          <w:lang w:eastAsia="zh-CN"/>
        </w:rPr>
        <w:t>个月以后、</w:t>
      </w:r>
      <w:r w:rsidRPr="002C2B23">
        <w:rPr>
          <w:bCs/>
          <w:sz w:val="24"/>
          <w:lang w:eastAsia="zh-CN"/>
        </w:rPr>
        <w:t>6</w:t>
      </w:r>
      <w:r w:rsidRPr="002C2B23">
        <w:rPr>
          <w:bCs/>
          <w:sz w:val="24"/>
          <w:lang w:eastAsia="zh-CN"/>
        </w:rPr>
        <w:t>个月以内，就原定审议事项重新召集基金份额持有人大会。重新召集的基金份额持有人大会应当有代表三分之一以上（含三分之一）基金份额的持有人直接出具表决意见或授权他人代表出具表决意见；</w:t>
      </w:r>
    </w:p>
    <w:p w14:paraId="0682D225"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4</w:t>
      </w:r>
      <w:r w:rsidRPr="002C2B23">
        <w:rPr>
          <w:bCs/>
          <w:sz w:val="24"/>
          <w:lang w:eastAsia="zh-CN"/>
        </w:rPr>
        <w:t>）上述第（</w:t>
      </w:r>
      <w:r w:rsidRPr="002C2B23">
        <w:rPr>
          <w:bCs/>
          <w:sz w:val="24"/>
          <w:lang w:eastAsia="zh-CN"/>
        </w:rPr>
        <w:t>3</w:t>
      </w:r>
      <w:r w:rsidRPr="002C2B23">
        <w:rPr>
          <w:bCs/>
          <w:sz w:val="24"/>
          <w:lang w:eastAsia="zh-CN"/>
        </w:rPr>
        <w:t>）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63C48A6A"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在法律法规和监管机关允许的情况下，本基金的基金份额持有人亦可采用其他非书面方式授权其代理人出席基金份额持有人大会，授权方式可以采用书面、网络、电话、短信或其他方式，具体方式由会议召集人确定并在会议通知中列明。</w:t>
      </w:r>
    </w:p>
    <w:p w14:paraId="05FEEE76" w14:textId="77777777" w:rsidR="005039DD" w:rsidRPr="002C2B23" w:rsidRDefault="0040620F">
      <w:pPr>
        <w:spacing w:line="360" w:lineRule="auto"/>
        <w:ind w:firstLine="480"/>
        <w:rPr>
          <w:bCs/>
          <w:sz w:val="24"/>
          <w:lang w:eastAsia="zh-CN"/>
        </w:rPr>
      </w:pPr>
      <w:r w:rsidRPr="002C2B23">
        <w:rPr>
          <w:bCs/>
          <w:sz w:val="24"/>
          <w:lang w:eastAsia="zh-CN"/>
        </w:rPr>
        <w:t>4</w:t>
      </w:r>
      <w:r w:rsidRPr="002C2B23">
        <w:rPr>
          <w:bCs/>
          <w:sz w:val="24"/>
          <w:lang w:eastAsia="zh-CN"/>
        </w:rPr>
        <w:t>、在会议召开方式上，本基金亦可采用其他非现场方式或者以现场方式与非现场方式相结合的方式召开基金份额持有人大会，会议程序比照现场开会和通讯方式开会的程序进行。基金份额持有人可以采用书面、网络、电话、短信或其他方式进行表决，具体方式由会议召集人确定并在会议通知中列明。</w:t>
      </w:r>
    </w:p>
    <w:p w14:paraId="200ED233" w14:textId="77777777" w:rsidR="005039DD" w:rsidRPr="002C2B23" w:rsidRDefault="005039DD">
      <w:pPr>
        <w:spacing w:line="360" w:lineRule="auto"/>
        <w:ind w:firstLine="480"/>
        <w:rPr>
          <w:bCs/>
          <w:sz w:val="24"/>
          <w:lang w:eastAsia="zh-CN"/>
        </w:rPr>
      </w:pPr>
    </w:p>
    <w:p w14:paraId="73A2C43E" w14:textId="77777777" w:rsidR="005039DD" w:rsidRPr="002C2B23" w:rsidRDefault="0040620F">
      <w:pPr>
        <w:spacing w:line="360" w:lineRule="auto"/>
        <w:ind w:firstLine="480"/>
        <w:rPr>
          <w:bCs/>
          <w:sz w:val="24"/>
          <w:lang w:eastAsia="zh-CN"/>
        </w:rPr>
      </w:pPr>
      <w:bookmarkStart w:id="206" w:name="_Toc15641224"/>
      <w:bookmarkStart w:id="207" w:name="_Toc79392588"/>
      <w:bookmarkStart w:id="208" w:name="_Toc57530247"/>
      <w:r w:rsidRPr="002C2B23">
        <w:rPr>
          <w:bCs/>
          <w:sz w:val="24"/>
          <w:lang w:eastAsia="zh-CN"/>
        </w:rPr>
        <w:t>五、议事内容与程序</w:t>
      </w:r>
      <w:bookmarkEnd w:id="206"/>
      <w:bookmarkEnd w:id="207"/>
      <w:bookmarkEnd w:id="208"/>
    </w:p>
    <w:p w14:paraId="464F76EF"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、议事内容及提案权</w:t>
      </w:r>
    </w:p>
    <w:p w14:paraId="719284C4" w14:textId="77777777" w:rsidR="005039DD" w:rsidRPr="002C2B23" w:rsidRDefault="0040620F">
      <w:pPr>
        <w:spacing w:line="360" w:lineRule="auto"/>
        <w:ind w:firstLine="480"/>
        <w:rPr>
          <w:bCs/>
          <w:sz w:val="24"/>
          <w:lang w:eastAsia="zh-CN"/>
        </w:rPr>
      </w:pPr>
      <w:r w:rsidRPr="002C2B23">
        <w:rPr>
          <w:bCs/>
          <w:sz w:val="24"/>
          <w:lang w:eastAsia="zh-CN"/>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1CFC3A28" w14:textId="77777777" w:rsidR="005039DD" w:rsidRPr="002C2B23" w:rsidRDefault="0040620F">
      <w:pPr>
        <w:spacing w:line="360" w:lineRule="auto"/>
        <w:ind w:firstLine="480"/>
        <w:rPr>
          <w:bCs/>
          <w:sz w:val="24"/>
          <w:lang w:eastAsia="zh-CN"/>
        </w:rPr>
      </w:pPr>
      <w:r w:rsidRPr="002C2B23">
        <w:rPr>
          <w:bCs/>
          <w:sz w:val="24"/>
          <w:lang w:eastAsia="zh-CN"/>
        </w:rPr>
        <w:t>基金份额持有人大会的召集人发出召集会议的通知后，对原有提案的修改应当在基金份额持有人大会召开前及时公告。</w:t>
      </w:r>
    </w:p>
    <w:p w14:paraId="134FDA30" w14:textId="77777777" w:rsidR="005039DD" w:rsidRPr="002C2B23" w:rsidRDefault="0040620F">
      <w:pPr>
        <w:spacing w:line="360" w:lineRule="auto"/>
        <w:ind w:firstLine="480"/>
        <w:rPr>
          <w:bCs/>
          <w:sz w:val="24"/>
          <w:lang w:eastAsia="zh-CN"/>
        </w:rPr>
      </w:pPr>
      <w:r w:rsidRPr="002C2B23">
        <w:rPr>
          <w:bCs/>
          <w:sz w:val="24"/>
          <w:lang w:eastAsia="zh-CN"/>
        </w:rPr>
        <w:t>基金份额持有人大会不得对未事先公告的议事内容进行表决。</w:t>
      </w:r>
    </w:p>
    <w:p w14:paraId="79722C1D"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、议事程序</w:t>
      </w:r>
    </w:p>
    <w:p w14:paraId="2C135C15"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）现场开会</w:t>
      </w:r>
    </w:p>
    <w:p w14:paraId="7DC05BBB" w14:textId="77777777" w:rsidR="005039DD" w:rsidRPr="002C2B23" w:rsidRDefault="0040620F">
      <w:pPr>
        <w:spacing w:line="360" w:lineRule="auto"/>
        <w:ind w:firstLine="480"/>
        <w:rPr>
          <w:bCs/>
          <w:sz w:val="24"/>
          <w:lang w:eastAsia="zh-CN"/>
        </w:rPr>
      </w:pPr>
      <w:r w:rsidRPr="002C2B23">
        <w:rPr>
          <w:bCs/>
          <w:sz w:val="24"/>
          <w:lang w:eastAsia="zh-CN"/>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二分之一以上（含二分之一）选举产生一名基金份额持有人作为该次基金份额持有人大会的主持人。基金管理人和基金托管人拒不出席或主持基金份额持有人大会，不影响基金份额持有人大会</w:t>
      </w:r>
      <w:proofErr w:type="gramStart"/>
      <w:r w:rsidRPr="002C2B23">
        <w:rPr>
          <w:bCs/>
          <w:sz w:val="24"/>
          <w:lang w:eastAsia="zh-CN"/>
        </w:rPr>
        <w:t>作出</w:t>
      </w:r>
      <w:proofErr w:type="gramEnd"/>
      <w:r w:rsidRPr="002C2B23">
        <w:rPr>
          <w:bCs/>
          <w:sz w:val="24"/>
          <w:lang w:eastAsia="zh-CN"/>
        </w:rPr>
        <w:t>的决议的效力。</w:t>
      </w:r>
    </w:p>
    <w:p w14:paraId="578C076C" w14:textId="77777777" w:rsidR="005039DD" w:rsidRPr="002C2B23" w:rsidRDefault="0040620F">
      <w:pPr>
        <w:spacing w:line="360" w:lineRule="auto"/>
        <w:ind w:firstLine="480"/>
        <w:rPr>
          <w:bCs/>
          <w:sz w:val="24"/>
          <w:lang w:eastAsia="zh-CN"/>
        </w:rPr>
      </w:pPr>
      <w:r w:rsidRPr="002C2B23">
        <w:rPr>
          <w:bCs/>
          <w:sz w:val="24"/>
          <w:lang w:eastAsia="zh-CN"/>
        </w:rPr>
        <w:t>会议召集人应当制作出席会议人员的签名册。签名</w:t>
      </w:r>
      <w:proofErr w:type="gramStart"/>
      <w:r w:rsidRPr="002C2B23">
        <w:rPr>
          <w:bCs/>
          <w:sz w:val="24"/>
          <w:lang w:eastAsia="zh-CN"/>
        </w:rPr>
        <w:t>册</w:t>
      </w:r>
      <w:proofErr w:type="gramEnd"/>
      <w:r w:rsidRPr="002C2B23">
        <w:rPr>
          <w:bCs/>
          <w:sz w:val="24"/>
          <w:lang w:eastAsia="zh-CN"/>
        </w:rPr>
        <w:t>载明参加会议人员姓名（或单位名称）、身份证明文件号码、持有或代表有表决权的基金份额、委托人姓名（或单位名称）和联系方式等事项。</w:t>
      </w:r>
    </w:p>
    <w:p w14:paraId="3205A90E"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）通讯开会</w:t>
      </w:r>
    </w:p>
    <w:p w14:paraId="1E334A5E" w14:textId="77777777" w:rsidR="005039DD" w:rsidRPr="002C2B23" w:rsidRDefault="0040620F">
      <w:pPr>
        <w:spacing w:line="360" w:lineRule="auto"/>
        <w:ind w:firstLine="480"/>
        <w:rPr>
          <w:bCs/>
          <w:sz w:val="24"/>
          <w:lang w:eastAsia="zh-CN"/>
        </w:rPr>
      </w:pPr>
      <w:r w:rsidRPr="002C2B23">
        <w:rPr>
          <w:bCs/>
          <w:sz w:val="24"/>
          <w:lang w:eastAsia="zh-CN"/>
        </w:rPr>
        <w:t>在通讯开会的情况下，首先由召集人提前</w:t>
      </w:r>
      <w:r w:rsidRPr="002C2B23">
        <w:rPr>
          <w:bCs/>
          <w:sz w:val="24"/>
          <w:lang w:eastAsia="zh-CN"/>
        </w:rPr>
        <w:t>30</w:t>
      </w:r>
      <w:r w:rsidRPr="002C2B23">
        <w:rPr>
          <w:bCs/>
          <w:sz w:val="24"/>
          <w:lang w:eastAsia="zh-CN"/>
        </w:rPr>
        <w:t>日公布提案，在所通知的表决截止日期后</w:t>
      </w:r>
      <w:r w:rsidRPr="002C2B23">
        <w:rPr>
          <w:bCs/>
          <w:sz w:val="24"/>
          <w:lang w:eastAsia="zh-CN"/>
        </w:rPr>
        <w:t>2</w:t>
      </w:r>
      <w:r w:rsidRPr="002C2B23">
        <w:rPr>
          <w:bCs/>
          <w:sz w:val="24"/>
          <w:lang w:eastAsia="zh-CN"/>
        </w:rPr>
        <w:t>个工作日内在公证机关监督下由召集人统计全部有效表决，在公证机关监督下形成决议。</w:t>
      </w:r>
    </w:p>
    <w:p w14:paraId="30B8A82E" w14:textId="77777777" w:rsidR="005039DD" w:rsidRPr="002C2B23" w:rsidRDefault="005039DD">
      <w:pPr>
        <w:spacing w:line="360" w:lineRule="auto"/>
        <w:ind w:firstLine="480"/>
        <w:rPr>
          <w:bCs/>
          <w:sz w:val="24"/>
          <w:lang w:eastAsia="zh-CN"/>
        </w:rPr>
      </w:pPr>
    </w:p>
    <w:p w14:paraId="3718B0BF" w14:textId="77777777" w:rsidR="005039DD" w:rsidRPr="002C2B23" w:rsidRDefault="0040620F">
      <w:pPr>
        <w:spacing w:line="360" w:lineRule="auto"/>
        <w:ind w:firstLine="480"/>
        <w:rPr>
          <w:bCs/>
          <w:sz w:val="24"/>
          <w:lang w:eastAsia="zh-CN"/>
        </w:rPr>
      </w:pPr>
      <w:bookmarkStart w:id="209" w:name="_Toc79392589"/>
      <w:bookmarkStart w:id="210" w:name="_Toc15641225"/>
      <w:bookmarkStart w:id="211" w:name="_Toc57530248"/>
      <w:r w:rsidRPr="002C2B23">
        <w:rPr>
          <w:bCs/>
          <w:sz w:val="24"/>
          <w:lang w:eastAsia="zh-CN"/>
        </w:rPr>
        <w:t>六、表决</w:t>
      </w:r>
      <w:bookmarkEnd w:id="209"/>
      <w:bookmarkEnd w:id="210"/>
      <w:bookmarkEnd w:id="211"/>
    </w:p>
    <w:p w14:paraId="49416687" w14:textId="77777777" w:rsidR="005039DD" w:rsidRPr="002C2B23" w:rsidRDefault="0040620F">
      <w:pPr>
        <w:spacing w:line="360" w:lineRule="auto"/>
        <w:ind w:firstLine="480"/>
        <w:rPr>
          <w:bCs/>
          <w:sz w:val="24"/>
          <w:lang w:eastAsia="zh-CN"/>
        </w:rPr>
      </w:pPr>
      <w:r w:rsidRPr="002C2B23">
        <w:rPr>
          <w:bCs/>
          <w:sz w:val="24"/>
          <w:lang w:eastAsia="zh-CN"/>
        </w:rPr>
        <w:t>基金份额持有人所持每份基金份额有一票表决权。</w:t>
      </w:r>
    </w:p>
    <w:p w14:paraId="6D072C65" w14:textId="77777777" w:rsidR="005039DD" w:rsidRPr="002C2B23" w:rsidRDefault="0040620F">
      <w:pPr>
        <w:spacing w:line="360" w:lineRule="auto"/>
        <w:ind w:firstLine="480"/>
        <w:rPr>
          <w:bCs/>
          <w:sz w:val="24"/>
          <w:lang w:eastAsia="zh-CN"/>
        </w:rPr>
      </w:pPr>
      <w:r w:rsidRPr="002C2B23">
        <w:rPr>
          <w:bCs/>
          <w:sz w:val="24"/>
          <w:lang w:eastAsia="zh-CN"/>
        </w:rPr>
        <w:t>基金份额持有人大会决议分为一般决议和特别决议：</w:t>
      </w:r>
    </w:p>
    <w:p w14:paraId="473F1959"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、一般决议，一般决议须经参加大会的基金份额持有人或其代理人所持表决权的二分之一以上（含二分之一）通过方为有效；除下列第</w:t>
      </w:r>
      <w:r w:rsidRPr="002C2B23">
        <w:rPr>
          <w:bCs/>
          <w:sz w:val="24"/>
          <w:lang w:eastAsia="zh-CN"/>
        </w:rPr>
        <w:t>2</w:t>
      </w:r>
      <w:r w:rsidRPr="002C2B23">
        <w:rPr>
          <w:bCs/>
          <w:sz w:val="24"/>
          <w:lang w:eastAsia="zh-CN"/>
        </w:rPr>
        <w:t>项所规定的须以特别决议通过事项以外的其他事项均以一般决议的方式通过。</w:t>
      </w:r>
    </w:p>
    <w:p w14:paraId="5ABC5282"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特别决议，特别决议应当经参加大会的基金份额持有人或其代理人所持表决权的三分之二以上（含三分之二）通过方可做出。除法律法规、监管机构另有规定或基金合同另有约定外，转换基金运作方式、更换基金管理人或者基金托管人、终止《基金合同》、本基金与其他基金合并以特别决议通过方为有效。</w:t>
      </w:r>
    </w:p>
    <w:p w14:paraId="05B623A4" w14:textId="77777777" w:rsidR="005039DD" w:rsidRPr="002C2B23" w:rsidRDefault="0040620F">
      <w:pPr>
        <w:spacing w:line="360" w:lineRule="auto"/>
        <w:ind w:firstLine="480"/>
        <w:rPr>
          <w:bCs/>
          <w:sz w:val="24"/>
          <w:lang w:eastAsia="zh-CN"/>
        </w:rPr>
      </w:pPr>
      <w:r w:rsidRPr="002C2B23">
        <w:rPr>
          <w:bCs/>
          <w:sz w:val="24"/>
          <w:lang w:eastAsia="zh-CN"/>
        </w:rPr>
        <w:t>基金份额持有人大会采取记名方式进行投票表决。</w:t>
      </w:r>
    </w:p>
    <w:p w14:paraId="3781F8F6" w14:textId="77777777" w:rsidR="005039DD" w:rsidRPr="002C2B23" w:rsidRDefault="0040620F">
      <w:pPr>
        <w:spacing w:line="360" w:lineRule="auto"/>
        <w:ind w:firstLine="480"/>
        <w:rPr>
          <w:bCs/>
          <w:sz w:val="24"/>
          <w:lang w:eastAsia="zh-CN"/>
        </w:rPr>
      </w:pPr>
      <w:r w:rsidRPr="002C2B23">
        <w:rPr>
          <w:bCs/>
          <w:sz w:val="24"/>
          <w:lang w:eastAsia="zh-CN"/>
        </w:rPr>
        <w:t>采取通讯方式进行表决时，除非在计票时监督员及公证机关均认为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14:paraId="1038B98E" w14:textId="77777777" w:rsidR="005039DD" w:rsidRPr="002C2B23" w:rsidRDefault="0040620F">
      <w:pPr>
        <w:spacing w:line="360" w:lineRule="auto"/>
        <w:ind w:firstLine="480"/>
        <w:rPr>
          <w:bCs/>
          <w:sz w:val="24"/>
          <w:lang w:eastAsia="zh-CN"/>
        </w:rPr>
      </w:pPr>
      <w:r w:rsidRPr="002C2B23">
        <w:rPr>
          <w:bCs/>
          <w:sz w:val="24"/>
          <w:lang w:eastAsia="zh-CN"/>
        </w:rPr>
        <w:t>基金份额持有人大会的各项提案或同一项提案内并列的各项议题应当分开审议、逐项表决。</w:t>
      </w:r>
    </w:p>
    <w:p w14:paraId="6B333B4C" w14:textId="77777777" w:rsidR="005039DD" w:rsidRPr="002C2B23" w:rsidRDefault="005039DD">
      <w:pPr>
        <w:spacing w:line="360" w:lineRule="auto"/>
        <w:ind w:firstLine="480"/>
        <w:rPr>
          <w:bCs/>
          <w:sz w:val="24"/>
          <w:lang w:eastAsia="zh-CN"/>
        </w:rPr>
      </w:pPr>
    </w:p>
    <w:p w14:paraId="2776D416" w14:textId="77777777" w:rsidR="005039DD" w:rsidRPr="002C2B23" w:rsidRDefault="0040620F">
      <w:pPr>
        <w:spacing w:line="360" w:lineRule="auto"/>
        <w:ind w:firstLine="480"/>
        <w:rPr>
          <w:bCs/>
          <w:sz w:val="24"/>
          <w:lang w:eastAsia="zh-CN"/>
        </w:rPr>
      </w:pPr>
      <w:bookmarkStart w:id="212" w:name="_Toc15641226"/>
      <w:bookmarkStart w:id="213" w:name="_Toc57530249"/>
      <w:bookmarkStart w:id="214" w:name="_Toc79392590"/>
      <w:r w:rsidRPr="002C2B23">
        <w:rPr>
          <w:bCs/>
          <w:sz w:val="24"/>
          <w:lang w:eastAsia="zh-CN"/>
        </w:rPr>
        <w:t>七、计票</w:t>
      </w:r>
      <w:bookmarkEnd w:id="212"/>
      <w:bookmarkEnd w:id="213"/>
      <w:bookmarkEnd w:id="214"/>
    </w:p>
    <w:p w14:paraId="14B3250A"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、现场开会</w:t>
      </w:r>
    </w:p>
    <w:p w14:paraId="37A0AA54"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w:t>
      </w:r>
      <w:proofErr w:type="gramStart"/>
      <w:r w:rsidRPr="002C2B23">
        <w:rPr>
          <w:bCs/>
          <w:sz w:val="24"/>
          <w:lang w:eastAsia="zh-CN"/>
        </w:rPr>
        <w:t>或大会</w:t>
      </w:r>
      <w:proofErr w:type="gramEnd"/>
      <w:r w:rsidRPr="002C2B23">
        <w:rPr>
          <w:bCs/>
          <w:sz w:val="24"/>
          <w:lang w:eastAsia="zh-CN"/>
        </w:rPr>
        <w:t>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29B32D1D"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）监票人应当在基金份额持有人表决后立即进行清点并由大会主持人当场公布计票结果。</w:t>
      </w:r>
    </w:p>
    <w:p w14:paraId="59D667C8"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3</w:t>
      </w:r>
      <w:r w:rsidRPr="002C2B23">
        <w:rPr>
          <w:bCs/>
          <w:sz w:val="24"/>
          <w:lang w:eastAsia="zh-CN"/>
        </w:rPr>
        <w:t>）如果会议主持人或基金份额持有人或代理人对于提交的表决结果有怀疑，可以在宣布表决结果后立即对所投票</w:t>
      </w:r>
      <w:proofErr w:type="gramStart"/>
      <w:r w:rsidRPr="002C2B23">
        <w:rPr>
          <w:bCs/>
          <w:sz w:val="24"/>
          <w:lang w:eastAsia="zh-CN"/>
        </w:rPr>
        <w:t>数要求</w:t>
      </w:r>
      <w:proofErr w:type="gramEnd"/>
      <w:r w:rsidRPr="002C2B23">
        <w:rPr>
          <w:bCs/>
          <w:sz w:val="24"/>
          <w:lang w:eastAsia="zh-CN"/>
        </w:rPr>
        <w:t>进行重新清点。监票人应当进行重新清点，重新清点以一次为限。重新清点后，大会主持人应当当场公布重新清点结果。</w:t>
      </w:r>
    </w:p>
    <w:p w14:paraId="115850FB"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4</w:t>
      </w:r>
      <w:r w:rsidRPr="002C2B23">
        <w:rPr>
          <w:bCs/>
          <w:sz w:val="24"/>
          <w:lang w:eastAsia="zh-CN"/>
        </w:rPr>
        <w:t>）计票过程应由公证机关予以公证，基金管理人或基金托管人拒不出席大会的，不影响计票的效力。</w:t>
      </w:r>
    </w:p>
    <w:p w14:paraId="04276130"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、通讯开会</w:t>
      </w:r>
    </w:p>
    <w:p w14:paraId="75C82428" w14:textId="77777777" w:rsidR="005039DD" w:rsidRPr="002C2B23" w:rsidRDefault="0040620F">
      <w:pPr>
        <w:spacing w:line="360" w:lineRule="auto"/>
        <w:ind w:firstLine="480"/>
        <w:rPr>
          <w:bCs/>
          <w:sz w:val="24"/>
          <w:lang w:eastAsia="zh-CN"/>
        </w:rPr>
      </w:pPr>
      <w:r w:rsidRPr="002C2B23">
        <w:rPr>
          <w:bCs/>
          <w:sz w:val="24"/>
          <w:lang w:eastAsia="zh-CN"/>
        </w:rPr>
        <w:t>在通讯开会的情况下，计票方式为：由大会召集人授权的两名监督员在基金托管人授权代表（若由基金托管人召集，则为基金管理人授权代表）的监督下进行计票，并由公证机关对其计票过程予以公证</w:t>
      </w:r>
      <w:bookmarkStart w:id="215" w:name="_Toc79392591"/>
      <w:bookmarkStart w:id="216" w:name="_Toc57530250"/>
      <w:bookmarkStart w:id="217" w:name="_Toc15641227"/>
      <w:r w:rsidRPr="002C2B23">
        <w:rPr>
          <w:bCs/>
          <w:sz w:val="24"/>
          <w:lang w:eastAsia="zh-CN"/>
        </w:rPr>
        <w:t>。基金管理人或基金托管</w:t>
      </w:r>
      <w:proofErr w:type="gramStart"/>
      <w:r w:rsidRPr="002C2B23">
        <w:rPr>
          <w:bCs/>
          <w:sz w:val="24"/>
          <w:lang w:eastAsia="zh-CN"/>
        </w:rPr>
        <w:t>人拒派</w:t>
      </w:r>
      <w:proofErr w:type="gramEnd"/>
      <w:r w:rsidRPr="002C2B23">
        <w:rPr>
          <w:bCs/>
          <w:sz w:val="24"/>
          <w:lang w:eastAsia="zh-CN"/>
        </w:rPr>
        <w:t>代表对表决意见的计票进行监督的，不影响计票和表决结果。</w:t>
      </w:r>
    </w:p>
    <w:p w14:paraId="1A201BCD" w14:textId="77777777" w:rsidR="005039DD" w:rsidRPr="002C2B23" w:rsidRDefault="005039DD">
      <w:pPr>
        <w:spacing w:line="360" w:lineRule="auto"/>
        <w:ind w:firstLine="480"/>
        <w:rPr>
          <w:bCs/>
          <w:sz w:val="24"/>
          <w:lang w:eastAsia="zh-CN"/>
        </w:rPr>
      </w:pPr>
    </w:p>
    <w:p w14:paraId="5CD75852" w14:textId="77777777" w:rsidR="005039DD" w:rsidRPr="002C2B23" w:rsidRDefault="0040620F">
      <w:pPr>
        <w:spacing w:line="360" w:lineRule="auto"/>
        <w:ind w:firstLine="480"/>
        <w:rPr>
          <w:bCs/>
          <w:sz w:val="24"/>
          <w:lang w:eastAsia="zh-CN"/>
        </w:rPr>
      </w:pPr>
      <w:r w:rsidRPr="002C2B23">
        <w:rPr>
          <w:bCs/>
          <w:sz w:val="24"/>
          <w:lang w:eastAsia="zh-CN"/>
        </w:rPr>
        <w:t>八、生效与公告</w:t>
      </w:r>
      <w:bookmarkEnd w:id="215"/>
      <w:bookmarkEnd w:id="216"/>
      <w:bookmarkEnd w:id="217"/>
    </w:p>
    <w:p w14:paraId="4C641B41" w14:textId="77777777" w:rsidR="005039DD" w:rsidRPr="002C2B23" w:rsidRDefault="0040620F">
      <w:pPr>
        <w:spacing w:line="360" w:lineRule="auto"/>
        <w:ind w:firstLine="480"/>
        <w:rPr>
          <w:bCs/>
          <w:sz w:val="24"/>
          <w:lang w:eastAsia="zh-CN"/>
        </w:rPr>
      </w:pPr>
      <w:r w:rsidRPr="002C2B23">
        <w:rPr>
          <w:bCs/>
          <w:sz w:val="24"/>
          <w:lang w:eastAsia="zh-CN"/>
        </w:rPr>
        <w:t>基金份额持有人大会的决议，召集人应当自通过之日起</w:t>
      </w:r>
      <w:r w:rsidRPr="002C2B23">
        <w:rPr>
          <w:bCs/>
          <w:sz w:val="24"/>
          <w:lang w:eastAsia="zh-CN"/>
        </w:rPr>
        <w:t>5</w:t>
      </w:r>
      <w:r w:rsidRPr="002C2B23">
        <w:rPr>
          <w:bCs/>
          <w:sz w:val="24"/>
          <w:lang w:eastAsia="zh-CN"/>
        </w:rPr>
        <w:t>日内报中国证监会备案。</w:t>
      </w:r>
    </w:p>
    <w:p w14:paraId="377661CF" w14:textId="77777777" w:rsidR="005039DD" w:rsidRPr="002C2B23" w:rsidRDefault="0040620F">
      <w:pPr>
        <w:spacing w:line="360" w:lineRule="auto"/>
        <w:ind w:firstLine="480"/>
        <w:rPr>
          <w:bCs/>
          <w:sz w:val="24"/>
          <w:lang w:eastAsia="zh-CN"/>
        </w:rPr>
      </w:pPr>
      <w:r w:rsidRPr="002C2B23">
        <w:rPr>
          <w:bCs/>
          <w:sz w:val="24"/>
          <w:lang w:eastAsia="zh-CN"/>
        </w:rPr>
        <w:t>基金份额持有人大会的决议自表决通过之日起生效。</w:t>
      </w:r>
    </w:p>
    <w:p w14:paraId="539309D4" w14:textId="77777777" w:rsidR="005039DD" w:rsidRPr="002C2B23" w:rsidRDefault="0040620F">
      <w:pPr>
        <w:spacing w:line="360" w:lineRule="auto"/>
        <w:ind w:firstLine="480"/>
        <w:rPr>
          <w:bCs/>
          <w:sz w:val="24"/>
          <w:lang w:eastAsia="zh-CN"/>
        </w:rPr>
      </w:pPr>
      <w:r w:rsidRPr="002C2B23">
        <w:rPr>
          <w:bCs/>
          <w:sz w:val="24"/>
          <w:lang w:eastAsia="zh-CN"/>
        </w:rPr>
        <w:t>基金份额持有人大会决议自生效之日起按规定在规定媒介上公告。</w:t>
      </w:r>
      <w:bookmarkStart w:id="218" w:name="_Hlt88820702"/>
      <w:bookmarkEnd w:id="218"/>
      <w:r w:rsidRPr="002C2B23">
        <w:rPr>
          <w:bCs/>
          <w:sz w:val="24"/>
          <w:lang w:eastAsia="zh-CN"/>
        </w:rPr>
        <w:t>如果采用通讯方式进行表决，在公告基金份额持有人大会决议时，必须将公证书全文、公证机构、公证员姓名等一同公告。</w:t>
      </w:r>
    </w:p>
    <w:p w14:paraId="4AECFCBB" w14:textId="77777777" w:rsidR="005039DD" w:rsidRPr="002C2B23" w:rsidRDefault="0040620F">
      <w:pPr>
        <w:spacing w:line="360" w:lineRule="auto"/>
        <w:ind w:firstLine="480"/>
        <w:rPr>
          <w:bCs/>
          <w:sz w:val="24"/>
          <w:lang w:eastAsia="zh-CN"/>
        </w:rPr>
      </w:pPr>
      <w:r w:rsidRPr="002C2B23">
        <w:rPr>
          <w:bCs/>
          <w:sz w:val="24"/>
          <w:lang w:eastAsia="zh-CN"/>
        </w:rPr>
        <w:t>基金管理人、基金托管人和基金份额持有人应当执行生效的基金份额持有人大会的决议。生效的基金份额持有人大会决议对全体基金份额持有人、基金管理人、基金托管人均有约束力。</w:t>
      </w:r>
    </w:p>
    <w:p w14:paraId="00A86F4C" w14:textId="77777777" w:rsidR="005039DD" w:rsidRPr="002C2B23" w:rsidRDefault="005039DD">
      <w:pPr>
        <w:spacing w:line="360" w:lineRule="auto"/>
        <w:ind w:firstLine="480"/>
        <w:rPr>
          <w:bCs/>
          <w:sz w:val="24"/>
          <w:lang w:eastAsia="zh-CN"/>
        </w:rPr>
      </w:pPr>
    </w:p>
    <w:p w14:paraId="58C27686" w14:textId="77777777" w:rsidR="005039DD" w:rsidRPr="002C2B23" w:rsidRDefault="0040620F">
      <w:pPr>
        <w:spacing w:line="360" w:lineRule="auto"/>
        <w:ind w:firstLine="480"/>
        <w:rPr>
          <w:bCs/>
          <w:sz w:val="24"/>
          <w:lang w:eastAsia="zh-CN"/>
        </w:rPr>
      </w:pPr>
      <w:r w:rsidRPr="002C2B23">
        <w:rPr>
          <w:bCs/>
          <w:sz w:val="24"/>
          <w:lang w:eastAsia="zh-CN"/>
        </w:rPr>
        <w:t>九、实施</w:t>
      </w:r>
      <w:proofErr w:type="gramStart"/>
      <w:r w:rsidRPr="002C2B23">
        <w:rPr>
          <w:bCs/>
          <w:sz w:val="24"/>
          <w:lang w:eastAsia="zh-CN"/>
        </w:rPr>
        <w:t>侧袋机制</w:t>
      </w:r>
      <w:proofErr w:type="gramEnd"/>
      <w:r w:rsidRPr="002C2B23">
        <w:rPr>
          <w:bCs/>
          <w:sz w:val="24"/>
          <w:lang w:eastAsia="zh-CN"/>
        </w:rPr>
        <w:t>期间基金份额持有人大会的特殊约定</w:t>
      </w:r>
    </w:p>
    <w:p w14:paraId="3749CA33" w14:textId="77777777" w:rsidR="005039DD" w:rsidRPr="002C2B23" w:rsidRDefault="0040620F">
      <w:pPr>
        <w:spacing w:line="360" w:lineRule="auto"/>
        <w:ind w:firstLine="480"/>
        <w:rPr>
          <w:bCs/>
          <w:sz w:val="24"/>
          <w:lang w:eastAsia="zh-CN"/>
        </w:rPr>
      </w:pPr>
      <w:r w:rsidRPr="002C2B23">
        <w:rPr>
          <w:bCs/>
          <w:sz w:val="24"/>
          <w:lang w:eastAsia="zh-CN"/>
        </w:rPr>
        <w:t>若本基金</w:t>
      </w:r>
      <w:proofErr w:type="gramStart"/>
      <w:r w:rsidRPr="002C2B23">
        <w:rPr>
          <w:bCs/>
          <w:sz w:val="24"/>
          <w:lang w:eastAsia="zh-CN"/>
        </w:rPr>
        <w:t>实施侧袋机制</w:t>
      </w:r>
      <w:proofErr w:type="gramEnd"/>
      <w:r w:rsidRPr="002C2B23">
        <w:rPr>
          <w:bCs/>
          <w:sz w:val="24"/>
          <w:lang w:eastAsia="zh-CN"/>
        </w:rPr>
        <w:t>，</w:t>
      </w:r>
      <w:proofErr w:type="gramStart"/>
      <w:r w:rsidRPr="002C2B23">
        <w:rPr>
          <w:bCs/>
          <w:sz w:val="24"/>
          <w:lang w:eastAsia="zh-CN"/>
        </w:rPr>
        <w:t>则相关</w:t>
      </w:r>
      <w:proofErr w:type="gramEnd"/>
      <w:r w:rsidRPr="002C2B23">
        <w:rPr>
          <w:bCs/>
          <w:sz w:val="24"/>
          <w:lang w:eastAsia="zh-CN"/>
        </w:rPr>
        <w:t>基金份额或表决权的比例</w:t>
      </w:r>
      <w:proofErr w:type="gramStart"/>
      <w:r w:rsidRPr="002C2B23">
        <w:rPr>
          <w:bCs/>
          <w:sz w:val="24"/>
          <w:lang w:eastAsia="zh-CN"/>
        </w:rPr>
        <w:t>指主袋份额</w:t>
      </w:r>
      <w:proofErr w:type="gramEnd"/>
      <w:r w:rsidRPr="002C2B23">
        <w:rPr>
          <w:bCs/>
          <w:sz w:val="24"/>
          <w:lang w:eastAsia="zh-CN"/>
        </w:rPr>
        <w:t>持有</w:t>
      </w:r>
      <w:proofErr w:type="gramStart"/>
      <w:r w:rsidRPr="002C2B23">
        <w:rPr>
          <w:bCs/>
          <w:sz w:val="24"/>
          <w:lang w:eastAsia="zh-CN"/>
        </w:rPr>
        <w:t>人和侧袋份额</w:t>
      </w:r>
      <w:proofErr w:type="gramEnd"/>
      <w:r w:rsidRPr="002C2B23">
        <w:rPr>
          <w:bCs/>
          <w:sz w:val="24"/>
          <w:lang w:eastAsia="zh-CN"/>
        </w:rPr>
        <w:t>持有人分别持有或代表的基金份额或表决权符合该等比例，但</w:t>
      </w:r>
      <w:proofErr w:type="gramStart"/>
      <w:r w:rsidRPr="002C2B23">
        <w:rPr>
          <w:bCs/>
          <w:sz w:val="24"/>
          <w:lang w:eastAsia="zh-CN"/>
        </w:rPr>
        <w:t>若相关</w:t>
      </w:r>
      <w:proofErr w:type="gramEnd"/>
      <w:r w:rsidRPr="002C2B23">
        <w:rPr>
          <w:bCs/>
          <w:sz w:val="24"/>
          <w:lang w:eastAsia="zh-CN"/>
        </w:rPr>
        <w:t>基金份额持有人大会召集和审议事项不</w:t>
      </w:r>
      <w:proofErr w:type="gramStart"/>
      <w:r w:rsidRPr="002C2B23">
        <w:rPr>
          <w:bCs/>
          <w:sz w:val="24"/>
          <w:lang w:eastAsia="zh-CN"/>
        </w:rPr>
        <w:t>涉及侧袋账户</w:t>
      </w:r>
      <w:proofErr w:type="gramEnd"/>
      <w:r w:rsidRPr="002C2B23">
        <w:rPr>
          <w:bCs/>
          <w:sz w:val="24"/>
          <w:lang w:eastAsia="zh-CN"/>
        </w:rPr>
        <w:t>的，则仅</w:t>
      </w:r>
      <w:proofErr w:type="gramStart"/>
      <w:r w:rsidRPr="002C2B23">
        <w:rPr>
          <w:bCs/>
          <w:sz w:val="24"/>
          <w:lang w:eastAsia="zh-CN"/>
        </w:rPr>
        <w:t>指主袋份额</w:t>
      </w:r>
      <w:proofErr w:type="gramEnd"/>
      <w:r w:rsidRPr="002C2B23">
        <w:rPr>
          <w:bCs/>
          <w:sz w:val="24"/>
          <w:lang w:eastAsia="zh-CN"/>
        </w:rPr>
        <w:t>持有人持有或代表的基金份额或表决权符合该等比例：</w:t>
      </w:r>
    </w:p>
    <w:p w14:paraId="24DECB77"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、基金份额持有人行使提议权、召集权、提名权所需单独或合计代表相关基金份额</w:t>
      </w:r>
      <w:r w:rsidRPr="002C2B23">
        <w:rPr>
          <w:bCs/>
          <w:sz w:val="24"/>
          <w:lang w:eastAsia="zh-CN"/>
        </w:rPr>
        <w:t>10%</w:t>
      </w:r>
      <w:r w:rsidRPr="002C2B23">
        <w:rPr>
          <w:bCs/>
          <w:sz w:val="24"/>
          <w:lang w:eastAsia="zh-CN"/>
        </w:rPr>
        <w:t>以上（含</w:t>
      </w:r>
      <w:r w:rsidRPr="002C2B23">
        <w:rPr>
          <w:bCs/>
          <w:sz w:val="24"/>
          <w:lang w:eastAsia="zh-CN"/>
        </w:rPr>
        <w:t>10%</w:t>
      </w:r>
      <w:r w:rsidRPr="002C2B23">
        <w:rPr>
          <w:bCs/>
          <w:sz w:val="24"/>
          <w:lang w:eastAsia="zh-CN"/>
        </w:rPr>
        <w:t>）；</w:t>
      </w:r>
    </w:p>
    <w:p w14:paraId="12304BE8"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、现场开会的到会者在权益登记日代表的基金份额不少于本基金在权益登记</w:t>
      </w:r>
      <w:proofErr w:type="gramStart"/>
      <w:r w:rsidRPr="002C2B23">
        <w:rPr>
          <w:bCs/>
          <w:sz w:val="24"/>
          <w:lang w:eastAsia="zh-CN"/>
        </w:rPr>
        <w:t>日相关</w:t>
      </w:r>
      <w:proofErr w:type="gramEnd"/>
      <w:r w:rsidRPr="002C2B23">
        <w:rPr>
          <w:bCs/>
          <w:sz w:val="24"/>
          <w:lang w:eastAsia="zh-CN"/>
        </w:rPr>
        <w:t>基金份额的二分之一（含二分之一）；</w:t>
      </w:r>
    </w:p>
    <w:p w14:paraId="61DCB52F"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、通讯开会的直接出具表决意见或授权他人代表出具表决意见的基金份额持有人所持有的基金份额不小于在权益登记</w:t>
      </w:r>
      <w:proofErr w:type="gramStart"/>
      <w:r w:rsidRPr="002C2B23">
        <w:rPr>
          <w:bCs/>
          <w:sz w:val="24"/>
          <w:lang w:eastAsia="zh-CN"/>
        </w:rPr>
        <w:t>日相关</w:t>
      </w:r>
      <w:proofErr w:type="gramEnd"/>
      <w:r w:rsidRPr="002C2B23">
        <w:rPr>
          <w:bCs/>
          <w:sz w:val="24"/>
          <w:lang w:eastAsia="zh-CN"/>
        </w:rPr>
        <w:t>基金份额的二分之一（含二分之一）；</w:t>
      </w:r>
    </w:p>
    <w:p w14:paraId="6B1FA4DD" w14:textId="77777777" w:rsidR="005039DD" w:rsidRPr="002C2B23" w:rsidRDefault="0040620F">
      <w:pPr>
        <w:spacing w:line="360" w:lineRule="auto"/>
        <w:ind w:firstLine="480"/>
        <w:rPr>
          <w:bCs/>
          <w:sz w:val="24"/>
          <w:lang w:eastAsia="zh-CN"/>
        </w:rPr>
      </w:pPr>
      <w:r w:rsidRPr="002C2B23">
        <w:rPr>
          <w:bCs/>
          <w:sz w:val="24"/>
          <w:lang w:eastAsia="zh-CN"/>
        </w:rPr>
        <w:t>4</w:t>
      </w:r>
      <w:r w:rsidRPr="002C2B23">
        <w:rPr>
          <w:bCs/>
          <w:sz w:val="24"/>
          <w:lang w:eastAsia="zh-CN"/>
        </w:rPr>
        <w:t>、当参与基金份额持有人大会投票的基金份额持有人所持有的基金份额小于在权益登记</w:t>
      </w:r>
      <w:proofErr w:type="gramStart"/>
      <w:r w:rsidRPr="002C2B23">
        <w:rPr>
          <w:bCs/>
          <w:sz w:val="24"/>
          <w:lang w:eastAsia="zh-CN"/>
        </w:rPr>
        <w:t>日相关</w:t>
      </w:r>
      <w:proofErr w:type="gramEnd"/>
      <w:r w:rsidRPr="002C2B23">
        <w:rPr>
          <w:bCs/>
          <w:sz w:val="24"/>
          <w:lang w:eastAsia="zh-CN"/>
        </w:rPr>
        <w:t>基金份额的二分之一，召集人在原公告的基金份额持有人大会召开时间的</w:t>
      </w:r>
      <w:r w:rsidRPr="002C2B23">
        <w:rPr>
          <w:bCs/>
          <w:sz w:val="24"/>
          <w:lang w:eastAsia="zh-CN"/>
        </w:rPr>
        <w:t>3</w:t>
      </w:r>
      <w:r w:rsidRPr="002C2B23">
        <w:rPr>
          <w:bCs/>
          <w:sz w:val="24"/>
          <w:lang w:eastAsia="zh-CN"/>
        </w:rPr>
        <w:t>个月以后、</w:t>
      </w:r>
      <w:r w:rsidRPr="002C2B23">
        <w:rPr>
          <w:bCs/>
          <w:sz w:val="24"/>
          <w:lang w:eastAsia="zh-CN"/>
        </w:rPr>
        <w:t>6</w:t>
      </w:r>
      <w:r w:rsidRPr="002C2B23">
        <w:rPr>
          <w:bCs/>
          <w:sz w:val="24"/>
          <w:lang w:eastAsia="zh-CN"/>
        </w:rPr>
        <w:t>个月以内就原定审议事项重新召集的基金份额持有人大会应当有代表三分之一以上（含三分之一）相关基金份额的持有人参与或授权他人参与基金份额持有人大会投票；</w:t>
      </w:r>
    </w:p>
    <w:p w14:paraId="3804957E" w14:textId="77777777" w:rsidR="005039DD" w:rsidRPr="002C2B23" w:rsidRDefault="0040620F">
      <w:pPr>
        <w:spacing w:line="360" w:lineRule="auto"/>
        <w:ind w:firstLine="480"/>
        <w:rPr>
          <w:bCs/>
          <w:sz w:val="24"/>
          <w:lang w:eastAsia="zh-CN"/>
        </w:rPr>
      </w:pPr>
      <w:r w:rsidRPr="002C2B23">
        <w:rPr>
          <w:bCs/>
          <w:sz w:val="24"/>
          <w:lang w:eastAsia="zh-CN"/>
        </w:rPr>
        <w:t>5</w:t>
      </w:r>
      <w:r w:rsidRPr="002C2B23">
        <w:rPr>
          <w:bCs/>
          <w:sz w:val="24"/>
          <w:lang w:eastAsia="zh-CN"/>
        </w:rPr>
        <w:t>、现场开会由出席大会的基金份额持有人和代理人所持表决权的</w:t>
      </w:r>
      <w:r w:rsidRPr="002C2B23">
        <w:rPr>
          <w:bCs/>
          <w:sz w:val="24"/>
          <w:lang w:eastAsia="zh-CN"/>
        </w:rPr>
        <w:t>50%</w:t>
      </w:r>
      <w:r w:rsidRPr="002C2B23">
        <w:rPr>
          <w:bCs/>
          <w:sz w:val="24"/>
          <w:lang w:eastAsia="zh-CN"/>
        </w:rPr>
        <w:t>以上（含</w:t>
      </w:r>
      <w:r w:rsidRPr="002C2B23">
        <w:rPr>
          <w:bCs/>
          <w:sz w:val="24"/>
          <w:lang w:eastAsia="zh-CN"/>
        </w:rPr>
        <w:t>50%</w:t>
      </w:r>
      <w:r w:rsidRPr="002C2B23">
        <w:rPr>
          <w:bCs/>
          <w:sz w:val="24"/>
          <w:lang w:eastAsia="zh-CN"/>
        </w:rPr>
        <w:t>）选举产生一名基金份额持有人作为该次基金份额持有人大会的主持人；</w:t>
      </w:r>
    </w:p>
    <w:p w14:paraId="22E7C922" w14:textId="77777777" w:rsidR="005039DD" w:rsidRPr="002C2B23" w:rsidRDefault="0040620F">
      <w:pPr>
        <w:spacing w:line="360" w:lineRule="auto"/>
        <w:ind w:firstLine="480"/>
        <w:rPr>
          <w:bCs/>
          <w:sz w:val="24"/>
          <w:lang w:eastAsia="zh-CN"/>
        </w:rPr>
      </w:pPr>
      <w:r w:rsidRPr="002C2B23">
        <w:rPr>
          <w:bCs/>
          <w:sz w:val="24"/>
          <w:lang w:eastAsia="zh-CN"/>
        </w:rPr>
        <w:t>6</w:t>
      </w:r>
      <w:r w:rsidRPr="002C2B23">
        <w:rPr>
          <w:bCs/>
          <w:sz w:val="24"/>
          <w:lang w:eastAsia="zh-CN"/>
        </w:rPr>
        <w:t>、一般决议须经参加大会的基金份额持有人或其代理人所持表决权的二分之一以上（含二分之一）通过；</w:t>
      </w:r>
    </w:p>
    <w:p w14:paraId="311BE655" w14:textId="77777777" w:rsidR="005039DD" w:rsidRPr="002C2B23" w:rsidRDefault="0040620F">
      <w:pPr>
        <w:spacing w:line="360" w:lineRule="auto"/>
        <w:ind w:firstLine="480"/>
        <w:rPr>
          <w:bCs/>
          <w:sz w:val="24"/>
          <w:lang w:eastAsia="zh-CN"/>
        </w:rPr>
      </w:pPr>
      <w:r w:rsidRPr="002C2B23">
        <w:rPr>
          <w:bCs/>
          <w:sz w:val="24"/>
          <w:lang w:eastAsia="zh-CN"/>
        </w:rPr>
        <w:t>7</w:t>
      </w:r>
      <w:r w:rsidRPr="002C2B23">
        <w:rPr>
          <w:bCs/>
          <w:sz w:val="24"/>
          <w:lang w:eastAsia="zh-CN"/>
        </w:rPr>
        <w:t>、特别决议应当经参加大会的基金份额持有人或其代理人所持表决权的三分之二以上（含三分之二）通过。</w:t>
      </w:r>
    </w:p>
    <w:p w14:paraId="16602193" w14:textId="77777777" w:rsidR="005039DD" w:rsidRPr="002C2B23" w:rsidRDefault="0040620F">
      <w:pPr>
        <w:spacing w:line="360" w:lineRule="auto"/>
        <w:ind w:firstLine="480"/>
        <w:rPr>
          <w:bCs/>
          <w:sz w:val="24"/>
          <w:lang w:eastAsia="zh-CN"/>
        </w:rPr>
      </w:pPr>
      <w:proofErr w:type="gramStart"/>
      <w:r w:rsidRPr="002C2B23">
        <w:rPr>
          <w:bCs/>
          <w:sz w:val="24"/>
          <w:lang w:eastAsia="zh-CN"/>
        </w:rPr>
        <w:t>侧袋机制</w:t>
      </w:r>
      <w:proofErr w:type="gramEnd"/>
      <w:r w:rsidRPr="002C2B23">
        <w:rPr>
          <w:bCs/>
          <w:sz w:val="24"/>
          <w:lang w:eastAsia="zh-CN"/>
        </w:rPr>
        <w:t>实施期间，基金份额持有人大会审议事项</w:t>
      </w:r>
      <w:proofErr w:type="gramStart"/>
      <w:r w:rsidRPr="002C2B23">
        <w:rPr>
          <w:bCs/>
          <w:sz w:val="24"/>
          <w:lang w:eastAsia="zh-CN"/>
        </w:rPr>
        <w:t>涉及主袋账户</w:t>
      </w:r>
      <w:proofErr w:type="gramEnd"/>
      <w:r w:rsidRPr="002C2B23">
        <w:rPr>
          <w:bCs/>
          <w:sz w:val="24"/>
          <w:lang w:eastAsia="zh-CN"/>
        </w:rPr>
        <w:t>和</w:t>
      </w:r>
      <w:proofErr w:type="gramStart"/>
      <w:r w:rsidRPr="002C2B23">
        <w:rPr>
          <w:bCs/>
          <w:sz w:val="24"/>
          <w:lang w:eastAsia="zh-CN"/>
        </w:rPr>
        <w:t>侧袋</w:t>
      </w:r>
      <w:proofErr w:type="gramEnd"/>
      <w:r w:rsidRPr="002C2B23">
        <w:rPr>
          <w:bCs/>
          <w:sz w:val="24"/>
          <w:lang w:eastAsia="zh-CN"/>
        </w:rPr>
        <w:t>账户的，应分别</w:t>
      </w:r>
      <w:proofErr w:type="gramStart"/>
      <w:r w:rsidRPr="002C2B23">
        <w:rPr>
          <w:bCs/>
          <w:sz w:val="24"/>
          <w:lang w:eastAsia="zh-CN"/>
        </w:rPr>
        <w:t>由主袋账户</w:t>
      </w:r>
      <w:proofErr w:type="gramEnd"/>
      <w:r w:rsidRPr="002C2B23">
        <w:rPr>
          <w:bCs/>
          <w:sz w:val="24"/>
          <w:lang w:eastAsia="zh-CN"/>
        </w:rPr>
        <w:t>、</w:t>
      </w:r>
      <w:proofErr w:type="gramStart"/>
      <w:r w:rsidRPr="002C2B23">
        <w:rPr>
          <w:bCs/>
          <w:sz w:val="24"/>
          <w:lang w:eastAsia="zh-CN"/>
        </w:rPr>
        <w:t>侧袋账户</w:t>
      </w:r>
      <w:proofErr w:type="gramEnd"/>
      <w:r w:rsidRPr="002C2B23">
        <w:rPr>
          <w:bCs/>
          <w:sz w:val="24"/>
          <w:lang w:eastAsia="zh-CN"/>
        </w:rPr>
        <w:t>的基金份额持有人进行表决，同</w:t>
      </w:r>
      <w:proofErr w:type="gramStart"/>
      <w:r w:rsidRPr="002C2B23">
        <w:rPr>
          <w:bCs/>
          <w:sz w:val="24"/>
          <w:lang w:eastAsia="zh-CN"/>
        </w:rPr>
        <w:t>一主侧袋账户</w:t>
      </w:r>
      <w:proofErr w:type="gramEnd"/>
      <w:r w:rsidRPr="002C2B23">
        <w:rPr>
          <w:bCs/>
          <w:sz w:val="24"/>
          <w:lang w:eastAsia="zh-CN"/>
        </w:rPr>
        <w:t>内同一类别的每份基金份额具有平等的表决权。表决事项未</w:t>
      </w:r>
      <w:proofErr w:type="gramStart"/>
      <w:r w:rsidRPr="002C2B23">
        <w:rPr>
          <w:bCs/>
          <w:sz w:val="24"/>
          <w:lang w:eastAsia="zh-CN"/>
        </w:rPr>
        <w:t>涉及侧袋账户</w:t>
      </w:r>
      <w:proofErr w:type="gramEnd"/>
      <w:r w:rsidRPr="002C2B23">
        <w:rPr>
          <w:bCs/>
          <w:sz w:val="24"/>
          <w:lang w:eastAsia="zh-CN"/>
        </w:rPr>
        <w:t>的，</w:t>
      </w:r>
      <w:proofErr w:type="gramStart"/>
      <w:r w:rsidRPr="002C2B23">
        <w:rPr>
          <w:bCs/>
          <w:sz w:val="24"/>
          <w:lang w:eastAsia="zh-CN"/>
        </w:rPr>
        <w:t>侧袋账户</w:t>
      </w:r>
      <w:proofErr w:type="gramEnd"/>
      <w:r w:rsidRPr="002C2B23">
        <w:rPr>
          <w:bCs/>
          <w:sz w:val="24"/>
          <w:lang w:eastAsia="zh-CN"/>
        </w:rPr>
        <w:t>份额无表决权。</w:t>
      </w:r>
    </w:p>
    <w:p w14:paraId="00F4BDF4" w14:textId="77777777" w:rsidR="005039DD" w:rsidRPr="002C2B23" w:rsidRDefault="0040620F">
      <w:pPr>
        <w:spacing w:line="360" w:lineRule="auto"/>
        <w:ind w:firstLine="480"/>
        <w:rPr>
          <w:bCs/>
          <w:sz w:val="24"/>
          <w:lang w:eastAsia="zh-CN"/>
        </w:rPr>
      </w:pPr>
      <w:proofErr w:type="gramStart"/>
      <w:r w:rsidRPr="002C2B23">
        <w:rPr>
          <w:bCs/>
          <w:sz w:val="24"/>
          <w:lang w:eastAsia="zh-CN"/>
        </w:rPr>
        <w:t>侧袋机制</w:t>
      </w:r>
      <w:proofErr w:type="gramEnd"/>
      <w:r w:rsidRPr="002C2B23">
        <w:rPr>
          <w:bCs/>
          <w:sz w:val="24"/>
          <w:lang w:eastAsia="zh-CN"/>
        </w:rPr>
        <w:t>实施期间，关于基金份额持有人大会的相关规定以本节特殊约定内容为准，本节没有规定的适用上文相关约定。</w:t>
      </w:r>
    </w:p>
    <w:p w14:paraId="4827D9EF" w14:textId="77777777" w:rsidR="005039DD" w:rsidRPr="002C2B23" w:rsidRDefault="005039DD">
      <w:pPr>
        <w:spacing w:line="360" w:lineRule="auto"/>
        <w:ind w:firstLine="480"/>
        <w:rPr>
          <w:bCs/>
          <w:sz w:val="24"/>
          <w:lang w:eastAsia="zh-CN"/>
        </w:rPr>
      </w:pPr>
    </w:p>
    <w:p w14:paraId="7D55E57D" w14:textId="77777777" w:rsidR="005039DD" w:rsidRPr="002C2B23" w:rsidRDefault="0040620F">
      <w:pPr>
        <w:spacing w:line="360" w:lineRule="auto"/>
        <w:ind w:firstLine="480"/>
        <w:rPr>
          <w:bCs/>
          <w:sz w:val="24"/>
          <w:lang w:eastAsia="zh-CN"/>
        </w:rPr>
        <w:sectPr w:rsidR="005039DD" w:rsidRPr="002C2B23">
          <w:footerReference w:type="default" r:id="rId18"/>
          <w:pgSz w:w="12240" w:h="15840"/>
          <w:pgMar w:top="1440" w:right="1800" w:bottom="1440" w:left="1800" w:header="720" w:footer="720" w:gutter="0"/>
          <w:cols w:space="720"/>
          <w:docGrid w:linePitch="312"/>
        </w:sectPr>
      </w:pPr>
      <w:bookmarkStart w:id="219" w:name="_Toc410197823"/>
      <w:bookmarkStart w:id="220" w:name="_Toc410197689"/>
      <w:bookmarkStart w:id="221" w:name="_Toc3963"/>
      <w:bookmarkStart w:id="222" w:name="_Toc18769"/>
      <w:bookmarkStart w:id="223" w:name="_Toc1745"/>
      <w:r w:rsidRPr="002C2B23">
        <w:rPr>
          <w:bCs/>
          <w:sz w:val="24"/>
          <w:lang w:eastAsia="zh-CN"/>
        </w:rPr>
        <w:t>十、本部</w:t>
      </w:r>
      <w:proofErr w:type="gramStart"/>
      <w:r w:rsidRPr="002C2B23">
        <w:rPr>
          <w:bCs/>
          <w:sz w:val="24"/>
          <w:lang w:eastAsia="zh-CN"/>
        </w:rPr>
        <w:t>分关于</w:t>
      </w:r>
      <w:proofErr w:type="gramEnd"/>
      <w:r w:rsidRPr="002C2B23">
        <w:rPr>
          <w:bCs/>
          <w:sz w:val="24"/>
          <w:lang w:eastAsia="zh-CN"/>
        </w:rPr>
        <w:t>基金份额持有人大会召开事由、召开条件、议事程序、表决条件等规定，凡是直接引用法律法规或监管规则的部分，如将来法律法规或监管规则修改导致相关内容被取消或变更的，基金管理人提前公告后，可直接对本部分内容进行修改和调整，无需召开基金份额持有人大会审议。</w:t>
      </w:r>
      <w:bookmarkEnd w:id="219"/>
      <w:bookmarkEnd w:id="220"/>
    </w:p>
    <w:p w14:paraId="6351E0FF" w14:textId="77777777" w:rsidR="005039DD" w:rsidRPr="002C2B23" w:rsidRDefault="0040620F">
      <w:pPr>
        <w:pStyle w:val="112"/>
        <w:jc w:val="center"/>
        <w:rPr>
          <w:rFonts w:ascii="Times New Roman"/>
          <w:lang w:eastAsia="zh-CN"/>
        </w:rPr>
      </w:pPr>
      <w:bookmarkStart w:id="224" w:name="_Toc123102456"/>
      <w:bookmarkStart w:id="225" w:name="_Toc16164"/>
      <w:bookmarkStart w:id="226" w:name="_Toc18206"/>
      <w:bookmarkStart w:id="227" w:name="_Toc725"/>
      <w:bookmarkStart w:id="228" w:name="_Toc98560355"/>
      <w:bookmarkStart w:id="229" w:name="_Toc3080"/>
      <w:bookmarkStart w:id="230" w:name="_Toc109141369"/>
      <w:bookmarkStart w:id="231" w:name="_Toc139991739"/>
      <w:bookmarkStart w:id="232" w:name="_Toc21735"/>
      <w:bookmarkStart w:id="233" w:name="_Toc3572"/>
      <w:bookmarkStart w:id="234" w:name="_Toc141703889"/>
      <w:bookmarkStart w:id="235" w:name="_Toc10398"/>
      <w:bookmarkStart w:id="236" w:name="_Toc123112237"/>
      <w:bookmarkStart w:id="237" w:name="_Toc123051455"/>
      <w:bookmarkStart w:id="238" w:name="_Toc31821"/>
      <w:bookmarkEnd w:id="199"/>
      <w:r w:rsidRPr="002C2B23">
        <w:rPr>
          <w:rFonts w:ascii="Times New Roman"/>
          <w:sz w:val="30"/>
          <w:lang w:eastAsia="zh-CN"/>
        </w:rPr>
        <w:t>第九部分</w:t>
      </w:r>
      <w:r w:rsidRPr="002C2B23">
        <w:rPr>
          <w:rFonts w:ascii="Times New Roman"/>
          <w:sz w:val="30"/>
          <w:lang w:eastAsia="zh-CN"/>
        </w:rPr>
        <w:t xml:space="preserve">  </w:t>
      </w:r>
      <w:r w:rsidRPr="002C2B23">
        <w:rPr>
          <w:rFonts w:ascii="Times New Roman"/>
          <w:sz w:val="30"/>
          <w:lang w:eastAsia="zh-CN"/>
        </w:rPr>
        <w:t>基金管理人、基金托管人的更换条件和程序</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14:paraId="573188C0" w14:textId="77777777" w:rsidR="005039DD" w:rsidRPr="002C2B23" w:rsidRDefault="005039DD">
      <w:pPr>
        <w:spacing w:line="360" w:lineRule="auto"/>
        <w:rPr>
          <w:bCs/>
          <w:sz w:val="24"/>
          <w:lang w:eastAsia="zh-CN"/>
        </w:rPr>
      </w:pPr>
      <w:bookmarkStart w:id="239" w:name="_Toc15118245"/>
      <w:bookmarkStart w:id="240" w:name="_Toc79392593"/>
      <w:bookmarkStart w:id="241" w:name="_Toc57530252"/>
    </w:p>
    <w:p w14:paraId="22582018" w14:textId="77777777" w:rsidR="005039DD" w:rsidRPr="002C2B23" w:rsidRDefault="0040620F">
      <w:pPr>
        <w:spacing w:line="360" w:lineRule="auto"/>
        <w:ind w:firstLine="480"/>
        <w:rPr>
          <w:bCs/>
          <w:sz w:val="24"/>
          <w:lang w:eastAsia="zh-CN"/>
        </w:rPr>
      </w:pPr>
      <w:r w:rsidRPr="002C2B23">
        <w:rPr>
          <w:bCs/>
          <w:sz w:val="24"/>
          <w:lang w:eastAsia="zh-CN"/>
        </w:rPr>
        <w:t>一、基金管理人和基金托管人职责终止的情形</w:t>
      </w:r>
      <w:bookmarkEnd w:id="239"/>
      <w:bookmarkEnd w:id="240"/>
      <w:bookmarkEnd w:id="241"/>
    </w:p>
    <w:p w14:paraId="29D3F33D" w14:textId="77777777" w:rsidR="005039DD" w:rsidRPr="002C2B23" w:rsidRDefault="0040620F">
      <w:pPr>
        <w:spacing w:line="360" w:lineRule="auto"/>
        <w:ind w:firstLine="480"/>
        <w:rPr>
          <w:bCs/>
          <w:sz w:val="24"/>
          <w:lang w:eastAsia="zh-CN"/>
        </w:rPr>
      </w:pPr>
      <w:bookmarkStart w:id="242" w:name="_Toc22005971"/>
      <w:r w:rsidRPr="002C2B23">
        <w:rPr>
          <w:bCs/>
          <w:sz w:val="24"/>
          <w:lang w:eastAsia="zh-CN"/>
        </w:rPr>
        <w:t>（一）</w:t>
      </w:r>
      <w:r w:rsidRPr="002C2B23">
        <w:rPr>
          <w:bCs/>
          <w:sz w:val="24"/>
          <w:lang w:eastAsia="zh-CN"/>
        </w:rPr>
        <w:tab/>
      </w:r>
      <w:r w:rsidRPr="002C2B23">
        <w:rPr>
          <w:bCs/>
          <w:sz w:val="24"/>
          <w:lang w:eastAsia="zh-CN"/>
        </w:rPr>
        <w:t>基金管理人职责终止的情形</w:t>
      </w:r>
      <w:bookmarkEnd w:id="242"/>
    </w:p>
    <w:p w14:paraId="43273FAE" w14:textId="77777777" w:rsidR="005039DD" w:rsidRPr="002C2B23" w:rsidRDefault="0040620F">
      <w:pPr>
        <w:spacing w:line="360" w:lineRule="auto"/>
        <w:ind w:firstLine="480"/>
        <w:rPr>
          <w:bCs/>
          <w:sz w:val="24"/>
          <w:lang w:eastAsia="zh-CN"/>
        </w:rPr>
      </w:pPr>
      <w:r w:rsidRPr="002C2B23">
        <w:rPr>
          <w:bCs/>
          <w:sz w:val="24"/>
          <w:lang w:eastAsia="zh-CN"/>
        </w:rPr>
        <w:t>有下列情形之一的，基金管理人职责终止：</w:t>
      </w:r>
    </w:p>
    <w:p w14:paraId="53C2CBDA"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、被依法取消基金管理资格；</w:t>
      </w:r>
    </w:p>
    <w:p w14:paraId="73135BA2"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、被基金份额持有人大会解任；</w:t>
      </w:r>
    </w:p>
    <w:p w14:paraId="48AF5634"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、依法解散、被依法撤销或被依法宣告破产；</w:t>
      </w:r>
    </w:p>
    <w:p w14:paraId="098AE894" w14:textId="77777777" w:rsidR="005039DD" w:rsidRPr="002C2B23" w:rsidRDefault="0040620F">
      <w:pPr>
        <w:spacing w:line="360" w:lineRule="auto"/>
        <w:ind w:firstLine="480"/>
        <w:rPr>
          <w:bCs/>
          <w:sz w:val="24"/>
          <w:lang w:eastAsia="zh-CN"/>
        </w:rPr>
      </w:pPr>
      <w:r w:rsidRPr="002C2B23">
        <w:rPr>
          <w:bCs/>
          <w:sz w:val="24"/>
          <w:lang w:eastAsia="zh-CN"/>
        </w:rPr>
        <w:t>4</w:t>
      </w:r>
      <w:r w:rsidRPr="002C2B23">
        <w:rPr>
          <w:bCs/>
          <w:sz w:val="24"/>
          <w:lang w:eastAsia="zh-CN"/>
        </w:rPr>
        <w:t>、法律法规及中国证监会规定的和《基金合同》约定的其他情形。</w:t>
      </w:r>
    </w:p>
    <w:p w14:paraId="31092785" w14:textId="77777777" w:rsidR="005039DD" w:rsidRPr="002C2B23" w:rsidRDefault="0040620F">
      <w:pPr>
        <w:spacing w:line="360" w:lineRule="auto"/>
        <w:ind w:firstLine="480"/>
        <w:rPr>
          <w:bCs/>
          <w:sz w:val="24"/>
          <w:lang w:eastAsia="zh-CN"/>
        </w:rPr>
      </w:pPr>
      <w:bookmarkStart w:id="243" w:name="_Toc22005972"/>
      <w:r w:rsidRPr="002C2B23">
        <w:rPr>
          <w:bCs/>
          <w:sz w:val="24"/>
          <w:lang w:eastAsia="zh-CN"/>
        </w:rPr>
        <w:t>（二）</w:t>
      </w:r>
      <w:r w:rsidRPr="002C2B23">
        <w:rPr>
          <w:bCs/>
          <w:sz w:val="24"/>
          <w:lang w:eastAsia="zh-CN"/>
        </w:rPr>
        <w:tab/>
      </w:r>
      <w:r w:rsidRPr="002C2B23">
        <w:rPr>
          <w:bCs/>
          <w:sz w:val="24"/>
          <w:lang w:eastAsia="zh-CN"/>
        </w:rPr>
        <w:t>基金托管人职责终止的情形</w:t>
      </w:r>
      <w:bookmarkEnd w:id="243"/>
    </w:p>
    <w:p w14:paraId="473DE42B" w14:textId="77777777" w:rsidR="005039DD" w:rsidRPr="002C2B23" w:rsidRDefault="0040620F">
      <w:pPr>
        <w:spacing w:line="360" w:lineRule="auto"/>
        <w:ind w:firstLine="480"/>
        <w:rPr>
          <w:bCs/>
          <w:sz w:val="24"/>
          <w:lang w:eastAsia="zh-CN"/>
        </w:rPr>
      </w:pPr>
      <w:r w:rsidRPr="002C2B23">
        <w:rPr>
          <w:bCs/>
          <w:sz w:val="24"/>
          <w:lang w:eastAsia="zh-CN"/>
        </w:rPr>
        <w:t>有下列情形之一的，基金托管人职责终止：</w:t>
      </w:r>
    </w:p>
    <w:p w14:paraId="2C673112"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、被依法取消基金托管资格；</w:t>
      </w:r>
    </w:p>
    <w:p w14:paraId="0DD24527"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、被基金份额持有人大会解任；</w:t>
      </w:r>
    </w:p>
    <w:p w14:paraId="56B392D4"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、依法解散、被依法撤销或被依法宣告破产；</w:t>
      </w:r>
    </w:p>
    <w:p w14:paraId="4214A88E" w14:textId="77777777" w:rsidR="005039DD" w:rsidRPr="002C2B23" w:rsidRDefault="0040620F">
      <w:pPr>
        <w:spacing w:line="360" w:lineRule="auto"/>
        <w:ind w:firstLine="480"/>
        <w:rPr>
          <w:bCs/>
          <w:sz w:val="24"/>
          <w:lang w:eastAsia="zh-CN"/>
        </w:rPr>
      </w:pPr>
      <w:r w:rsidRPr="002C2B23">
        <w:rPr>
          <w:bCs/>
          <w:sz w:val="24"/>
          <w:lang w:eastAsia="zh-CN"/>
        </w:rPr>
        <w:t>4</w:t>
      </w:r>
      <w:r w:rsidRPr="002C2B23">
        <w:rPr>
          <w:bCs/>
          <w:sz w:val="24"/>
          <w:lang w:eastAsia="zh-CN"/>
        </w:rPr>
        <w:t>、法律法规及中国证监会规定的和《基金合同》约定的其他情形。</w:t>
      </w:r>
    </w:p>
    <w:p w14:paraId="2D932BC0" w14:textId="77777777" w:rsidR="005039DD" w:rsidRPr="002C2B23" w:rsidRDefault="005039DD">
      <w:pPr>
        <w:spacing w:line="360" w:lineRule="auto"/>
        <w:ind w:firstLine="480"/>
        <w:rPr>
          <w:bCs/>
          <w:sz w:val="24"/>
          <w:lang w:eastAsia="zh-CN"/>
        </w:rPr>
      </w:pPr>
    </w:p>
    <w:p w14:paraId="02022844" w14:textId="77777777" w:rsidR="005039DD" w:rsidRPr="002C2B23" w:rsidRDefault="0040620F">
      <w:pPr>
        <w:spacing w:line="360" w:lineRule="auto"/>
        <w:ind w:firstLine="480"/>
        <w:rPr>
          <w:bCs/>
          <w:sz w:val="24"/>
          <w:lang w:eastAsia="zh-CN"/>
        </w:rPr>
      </w:pPr>
      <w:bookmarkStart w:id="244" w:name="_Toc79392594"/>
      <w:bookmarkStart w:id="245" w:name="_Toc57530253"/>
      <w:bookmarkStart w:id="246" w:name="_Toc15118246"/>
      <w:r w:rsidRPr="002C2B23">
        <w:rPr>
          <w:bCs/>
          <w:sz w:val="24"/>
          <w:lang w:eastAsia="zh-CN"/>
        </w:rPr>
        <w:t>二、基金管理人和基金托管人的更换程序</w:t>
      </w:r>
      <w:bookmarkEnd w:id="244"/>
      <w:bookmarkEnd w:id="245"/>
      <w:bookmarkEnd w:id="246"/>
    </w:p>
    <w:p w14:paraId="27CF5F11" w14:textId="77777777" w:rsidR="005039DD" w:rsidRPr="002C2B23" w:rsidRDefault="0040620F">
      <w:pPr>
        <w:spacing w:line="360" w:lineRule="auto"/>
        <w:ind w:firstLine="480"/>
        <w:rPr>
          <w:bCs/>
          <w:sz w:val="24"/>
          <w:lang w:eastAsia="zh-CN"/>
        </w:rPr>
      </w:pPr>
      <w:bookmarkStart w:id="247" w:name="_Toc22005974"/>
      <w:r w:rsidRPr="002C2B23">
        <w:rPr>
          <w:bCs/>
          <w:sz w:val="24"/>
          <w:lang w:eastAsia="zh-CN"/>
        </w:rPr>
        <w:t>（一）</w:t>
      </w:r>
      <w:r w:rsidRPr="002C2B23">
        <w:rPr>
          <w:bCs/>
          <w:sz w:val="24"/>
          <w:lang w:eastAsia="zh-CN"/>
        </w:rPr>
        <w:tab/>
      </w:r>
      <w:r w:rsidRPr="002C2B23">
        <w:rPr>
          <w:bCs/>
          <w:sz w:val="24"/>
          <w:lang w:eastAsia="zh-CN"/>
        </w:rPr>
        <w:t>基金管理人的更换程序</w:t>
      </w:r>
      <w:bookmarkEnd w:id="247"/>
    </w:p>
    <w:p w14:paraId="597EE904"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、提名：</w:t>
      </w:r>
      <w:r w:rsidRPr="002C2B23">
        <w:rPr>
          <w:rFonts w:ascii="等线" w:hAnsi="等线"/>
          <w:sz w:val="24"/>
          <w:szCs w:val="24"/>
          <w:lang w:eastAsia="zh-CN"/>
        </w:rPr>
        <w:t>临时</w:t>
      </w:r>
      <w:r w:rsidRPr="002C2B23">
        <w:rPr>
          <w:rFonts w:ascii="宋体" w:hAnsi="宋体"/>
          <w:bCs/>
          <w:sz w:val="24"/>
          <w:lang w:eastAsia="zh-CN"/>
        </w:rPr>
        <w:t>基金管理人</w:t>
      </w:r>
      <w:r w:rsidRPr="002C2B23">
        <w:rPr>
          <w:rFonts w:ascii="等线" w:hAnsi="等线"/>
          <w:sz w:val="24"/>
          <w:szCs w:val="24"/>
          <w:lang w:eastAsia="zh-CN"/>
        </w:rPr>
        <w:t>应向</w:t>
      </w:r>
      <w:r w:rsidRPr="002C2B23">
        <w:rPr>
          <w:rFonts w:ascii="宋体" w:hAnsi="宋体"/>
          <w:bCs/>
          <w:sz w:val="24"/>
          <w:lang w:eastAsia="zh-CN"/>
        </w:rPr>
        <w:t>基金托管人</w:t>
      </w:r>
      <w:r w:rsidRPr="002C2B23">
        <w:rPr>
          <w:rFonts w:ascii="等线" w:hAnsi="等线"/>
          <w:sz w:val="24"/>
          <w:szCs w:val="24"/>
          <w:lang w:eastAsia="zh-CN"/>
        </w:rPr>
        <w:t>、</w:t>
      </w:r>
      <w:r w:rsidRPr="002C2B23">
        <w:rPr>
          <w:rFonts w:ascii="宋体" w:hAnsi="宋体"/>
          <w:bCs/>
          <w:sz w:val="24"/>
          <w:lang w:eastAsia="zh-CN"/>
        </w:rPr>
        <w:t>单独或合计持有10%以上（含10%）基金份额的基金份额持有人，征集</w:t>
      </w:r>
      <w:proofErr w:type="gramStart"/>
      <w:r w:rsidRPr="002C2B23">
        <w:rPr>
          <w:rFonts w:ascii="宋体" w:hAnsi="宋体"/>
          <w:bCs/>
          <w:sz w:val="24"/>
          <w:lang w:eastAsia="zh-CN"/>
        </w:rPr>
        <w:t>新任基金</w:t>
      </w:r>
      <w:proofErr w:type="gramEnd"/>
      <w:r w:rsidRPr="002C2B23">
        <w:rPr>
          <w:rFonts w:ascii="宋体" w:hAnsi="宋体"/>
          <w:bCs/>
          <w:sz w:val="24"/>
          <w:lang w:eastAsia="zh-CN"/>
        </w:rPr>
        <w:t>管理人的提名人选。</w:t>
      </w:r>
      <w:proofErr w:type="gramStart"/>
      <w:r w:rsidRPr="002C2B23">
        <w:rPr>
          <w:bCs/>
          <w:sz w:val="24"/>
          <w:lang w:eastAsia="zh-CN"/>
        </w:rPr>
        <w:t>新任基金</w:t>
      </w:r>
      <w:proofErr w:type="gramEnd"/>
      <w:r w:rsidRPr="002C2B23">
        <w:rPr>
          <w:bCs/>
          <w:sz w:val="24"/>
          <w:lang w:eastAsia="zh-CN"/>
        </w:rPr>
        <w:t>管理人</w:t>
      </w:r>
      <w:r w:rsidRPr="002C2B23">
        <w:rPr>
          <w:rFonts w:ascii="宋体" w:hAnsi="宋体"/>
          <w:bCs/>
          <w:sz w:val="24"/>
          <w:lang w:eastAsia="zh-CN"/>
        </w:rPr>
        <w:t>提名人选由临时基金管理人、</w:t>
      </w:r>
      <w:r w:rsidRPr="002C2B23">
        <w:rPr>
          <w:bCs/>
          <w:sz w:val="24"/>
          <w:lang w:eastAsia="zh-CN"/>
        </w:rPr>
        <w:t>基金托管人或由单独或合计持有</w:t>
      </w:r>
      <w:r w:rsidRPr="002C2B23">
        <w:rPr>
          <w:bCs/>
          <w:sz w:val="24"/>
          <w:lang w:eastAsia="zh-CN"/>
        </w:rPr>
        <w:t>10%</w:t>
      </w:r>
      <w:r w:rsidRPr="002C2B23">
        <w:rPr>
          <w:bCs/>
          <w:sz w:val="24"/>
          <w:lang w:eastAsia="zh-CN"/>
        </w:rPr>
        <w:t>以上（含</w:t>
      </w:r>
      <w:r w:rsidRPr="002C2B23">
        <w:rPr>
          <w:bCs/>
          <w:sz w:val="24"/>
          <w:lang w:eastAsia="zh-CN"/>
        </w:rPr>
        <w:t>10%</w:t>
      </w:r>
      <w:r w:rsidRPr="002C2B23">
        <w:rPr>
          <w:bCs/>
          <w:sz w:val="24"/>
          <w:lang w:eastAsia="zh-CN"/>
        </w:rPr>
        <w:t>）基金份额的基金份额持有人提名；</w:t>
      </w:r>
    </w:p>
    <w:p w14:paraId="74BE2720"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、决议：基金份额持有人大会在基金管理人职责终止后</w:t>
      </w:r>
      <w:r w:rsidRPr="002C2B23">
        <w:rPr>
          <w:bCs/>
          <w:sz w:val="24"/>
          <w:lang w:eastAsia="zh-CN"/>
        </w:rPr>
        <w:t>6</w:t>
      </w:r>
      <w:r w:rsidRPr="002C2B23">
        <w:rPr>
          <w:bCs/>
          <w:sz w:val="24"/>
          <w:lang w:eastAsia="zh-CN"/>
        </w:rPr>
        <w:t>个月内对被提名的基金管理人形成决议，该决议需经参加大会的基金份额持有人所持表决权的</w:t>
      </w:r>
      <w:r w:rsidRPr="002C2B23">
        <w:rPr>
          <w:bCs/>
          <w:sz w:val="24"/>
          <w:lang w:eastAsia="zh-CN"/>
        </w:rPr>
        <w:t xml:space="preserve">           </w:t>
      </w:r>
      <w:r w:rsidRPr="002C2B23">
        <w:rPr>
          <w:bCs/>
          <w:sz w:val="24"/>
          <w:lang w:eastAsia="zh-CN"/>
        </w:rPr>
        <w:t>三分之二以上（含三分之二）表决通过，决议自表决通过之日起生效；</w:t>
      </w:r>
    </w:p>
    <w:p w14:paraId="3DEFED50"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、临时基金管理人：</w:t>
      </w:r>
      <w:proofErr w:type="gramStart"/>
      <w:r w:rsidRPr="002C2B23">
        <w:rPr>
          <w:bCs/>
          <w:sz w:val="24"/>
          <w:lang w:eastAsia="zh-CN"/>
        </w:rPr>
        <w:t>新任基金</w:t>
      </w:r>
      <w:proofErr w:type="gramEnd"/>
      <w:r w:rsidRPr="002C2B23">
        <w:rPr>
          <w:bCs/>
          <w:sz w:val="24"/>
          <w:lang w:eastAsia="zh-CN"/>
        </w:rPr>
        <w:t>管理人产生之前，</w:t>
      </w:r>
      <w:r w:rsidRPr="002C2B23">
        <w:rPr>
          <w:rFonts w:ascii="宋体" w:hAnsi="宋体"/>
          <w:bCs/>
          <w:sz w:val="24"/>
          <w:lang w:eastAsia="zh-CN"/>
        </w:rPr>
        <w:t>临时基金管理人由基金管理人、基金托管人、单独或合计持有10%以上（含10%）基金份额的基金份额持有人提名、中国证监会根据《证券投资基金法》的规定，从提名人选中择优指定临时基金管理人。基金管理人、基金托管人、单独或合计持有10%以上（含10%）基金份额的基金份额持有人均不提名的，</w:t>
      </w:r>
      <w:r w:rsidRPr="002C2B23">
        <w:rPr>
          <w:bCs/>
          <w:sz w:val="24"/>
          <w:lang w:eastAsia="zh-CN"/>
        </w:rPr>
        <w:t>由中国证监会指定临时基金管理人；</w:t>
      </w:r>
    </w:p>
    <w:p w14:paraId="386FE51D" w14:textId="77777777" w:rsidR="005039DD" w:rsidRPr="002C2B23" w:rsidRDefault="0040620F">
      <w:pPr>
        <w:spacing w:line="360" w:lineRule="auto"/>
        <w:ind w:firstLine="480"/>
        <w:rPr>
          <w:bCs/>
          <w:sz w:val="24"/>
          <w:lang w:eastAsia="zh-CN"/>
        </w:rPr>
      </w:pPr>
      <w:r w:rsidRPr="002C2B23">
        <w:rPr>
          <w:bCs/>
          <w:sz w:val="24"/>
          <w:lang w:eastAsia="zh-CN"/>
        </w:rPr>
        <w:t>4</w:t>
      </w:r>
      <w:r w:rsidRPr="002C2B23">
        <w:rPr>
          <w:bCs/>
          <w:sz w:val="24"/>
          <w:lang w:eastAsia="zh-CN"/>
        </w:rPr>
        <w:t>、备案：基金份额持有人大会更换基金管理人的决议须报中国证监会备案；</w:t>
      </w:r>
    </w:p>
    <w:p w14:paraId="37B55537" w14:textId="77777777" w:rsidR="005039DD" w:rsidRPr="002C2B23" w:rsidRDefault="0040620F">
      <w:pPr>
        <w:spacing w:line="360" w:lineRule="auto"/>
        <w:ind w:firstLine="480"/>
        <w:rPr>
          <w:bCs/>
          <w:sz w:val="24"/>
          <w:lang w:eastAsia="zh-CN"/>
        </w:rPr>
      </w:pPr>
      <w:r w:rsidRPr="002C2B23">
        <w:rPr>
          <w:bCs/>
          <w:sz w:val="24"/>
          <w:lang w:eastAsia="zh-CN"/>
        </w:rPr>
        <w:t>5</w:t>
      </w:r>
      <w:r w:rsidRPr="002C2B23">
        <w:rPr>
          <w:bCs/>
          <w:sz w:val="24"/>
          <w:lang w:eastAsia="zh-CN"/>
        </w:rPr>
        <w:t>、公告：基金管理人更换后，由基金托管人在更换基金管理人的基金份额持有人大会决议生效后按规定在规定媒介公告；</w:t>
      </w:r>
    </w:p>
    <w:p w14:paraId="4292E3FD" w14:textId="77777777" w:rsidR="005039DD" w:rsidRPr="002C2B23" w:rsidRDefault="0040620F">
      <w:pPr>
        <w:spacing w:line="360" w:lineRule="auto"/>
        <w:ind w:firstLine="480"/>
        <w:rPr>
          <w:bCs/>
          <w:sz w:val="24"/>
          <w:lang w:eastAsia="zh-CN"/>
        </w:rPr>
      </w:pPr>
      <w:r w:rsidRPr="002C2B23">
        <w:rPr>
          <w:bCs/>
          <w:sz w:val="24"/>
          <w:lang w:eastAsia="zh-CN"/>
        </w:rPr>
        <w:t>6</w:t>
      </w:r>
      <w:r w:rsidRPr="002C2B23">
        <w:rPr>
          <w:bCs/>
          <w:sz w:val="24"/>
          <w:lang w:eastAsia="zh-CN"/>
        </w:rPr>
        <w:t>、交接</w:t>
      </w:r>
      <w:r w:rsidRPr="002C2B23">
        <w:rPr>
          <w:rFonts w:ascii="宋体" w:hAnsi="宋体"/>
          <w:bCs/>
          <w:sz w:val="24"/>
          <w:lang w:eastAsia="zh-CN"/>
        </w:rPr>
        <w:t>及责任划分</w:t>
      </w:r>
      <w:r w:rsidRPr="002C2B23">
        <w:rPr>
          <w:bCs/>
          <w:sz w:val="24"/>
          <w:lang w:eastAsia="zh-CN"/>
        </w:rPr>
        <w:t>：基金管理人职责终止的，基金管理人应妥善保管基金管理业务资料，及时向临时基金管理人或</w:t>
      </w:r>
      <w:proofErr w:type="gramStart"/>
      <w:r w:rsidRPr="002C2B23">
        <w:rPr>
          <w:bCs/>
          <w:sz w:val="24"/>
          <w:lang w:eastAsia="zh-CN"/>
        </w:rPr>
        <w:t>新任基金</w:t>
      </w:r>
      <w:proofErr w:type="gramEnd"/>
      <w:r w:rsidRPr="002C2B23">
        <w:rPr>
          <w:bCs/>
          <w:sz w:val="24"/>
          <w:lang w:eastAsia="zh-CN"/>
        </w:rPr>
        <w:t>管理人办理基金管理业务的移交手续，临时基金管理人或</w:t>
      </w:r>
      <w:proofErr w:type="gramStart"/>
      <w:r w:rsidRPr="002C2B23">
        <w:rPr>
          <w:bCs/>
          <w:sz w:val="24"/>
          <w:lang w:eastAsia="zh-CN"/>
        </w:rPr>
        <w:t>新任基金</w:t>
      </w:r>
      <w:proofErr w:type="gramEnd"/>
      <w:r w:rsidRPr="002C2B23">
        <w:rPr>
          <w:bCs/>
          <w:sz w:val="24"/>
          <w:lang w:eastAsia="zh-CN"/>
        </w:rPr>
        <w:t>管理人应及时接收。</w:t>
      </w:r>
      <w:proofErr w:type="gramStart"/>
      <w:r w:rsidRPr="002C2B23">
        <w:rPr>
          <w:bCs/>
          <w:sz w:val="24"/>
          <w:lang w:eastAsia="zh-CN"/>
        </w:rPr>
        <w:t>新任基金</w:t>
      </w:r>
      <w:proofErr w:type="gramEnd"/>
      <w:r w:rsidRPr="002C2B23">
        <w:rPr>
          <w:bCs/>
          <w:sz w:val="24"/>
          <w:lang w:eastAsia="zh-CN"/>
        </w:rPr>
        <w:t>管理人或临时基金管理人应与基金托管人核对基金资产总值和净值</w:t>
      </w:r>
      <w:r w:rsidRPr="002C2B23">
        <w:rPr>
          <w:rFonts w:ascii="等线" w:hAnsi="等线"/>
          <w:sz w:val="24"/>
          <w:szCs w:val="24"/>
          <w:lang w:eastAsia="zh-CN"/>
        </w:rPr>
        <w:t>，基金管理人、临时基金管理人、</w:t>
      </w:r>
      <w:proofErr w:type="gramStart"/>
      <w:r w:rsidRPr="002C2B23">
        <w:rPr>
          <w:rFonts w:ascii="等线" w:hAnsi="等线"/>
          <w:sz w:val="24"/>
          <w:szCs w:val="24"/>
          <w:lang w:eastAsia="zh-CN"/>
        </w:rPr>
        <w:t>新任基金</w:t>
      </w:r>
      <w:proofErr w:type="gramEnd"/>
      <w:r w:rsidRPr="002C2B23">
        <w:rPr>
          <w:rFonts w:ascii="等线" w:hAnsi="等线"/>
          <w:sz w:val="24"/>
          <w:szCs w:val="24"/>
          <w:lang w:eastAsia="zh-CN"/>
        </w:rPr>
        <w:t>管理人应对各自履职行为依法承担责任</w:t>
      </w:r>
      <w:r w:rsidRPr="002C2B23">
        <w:rPr>
          <w:bCs/>
          <w:sz w:val="24"/>
          <w:lang w:eastAsia="zh-CN"/>
        </w:rPr>
        <w:t>；</w:t>
      </w:r>
    </w:p>
    <w:p w14:paraId="184145EB" w14:textId="77777777" w:rsidR="005039DD" w:rsidRPr="002C2B23" w:rsidRDefault="0040620F">
      <w:pPr>
        <w:spacing w:line="360" w:lineRule="auto"/>
        <w:ind w:firstLine="480"/>
        <w:rPr>
          <w:bCs/>
          <w:sz w:val="24"/>
          <w:lang w:eastAsia="zh-CN"/>
        </w:rPr>
      </w:pPr>
      <w:r w:rsidRPr="002C2B23">
        <w:rPr>
          <w:bCs/>
          <w:sz w:val="24"/>
          <w:lang w:eastAsia="zh-CN"/>
        </w:rPr>
        <w:t>7</w:t>
      </w:r>
      <w:r w:rsidRPr="002C2B23">
        <w:rPr>
          <w:bCs/>
          <w:sz w:val="24"/>
          <w:lang w:eastAsia="zh-CN"/>
        </w:rPr>
        <w:t>、审计：基金管理人职责终止的，应当按照法律法规规定聘请会计师事务所对基金财产进行审计，并将审计结果予以公告，同时报中国证监会备案，审计费用在基金财产中列支；</w:t>
      </w:r>
    </w:p>
    <w:p w14:paraId="1B23F628" w14:textId="77777777" w:rsidR="005039DD" w:rsidRPr="002C2B23" w:rsidRDefault="0040620F">
      <w:pPr>
        <w:spacing w:line="360" w:lineRule="auto"/>
        <w:ind w:firstLine="480"/>
        <w:rPr>
          <w:bCs/>
          <w:sz w:val="24"/>
          <w:lang w:eastAsia="zh-CN"/>
        </w:rPr>
      </w:pPr>
      <w:r w:rsidRPr="002C2B23">
        <w:rPr>
          <w:bCs/>
          <w:sz w:val="24"/>
          <w:lang w:eastAsia="zh-CN"/>
        </w:rPr>
        <w:t>8</w:t>
      </w:r>
      <w:r w:rsidRPr="002C2B23">
        <w:rPr>
          <w:bCs/>
          <w:sz w:val="24"/>
          <w:lang w:eastAsia="zh-CN"/>
        </w:rPr>
        <w:t>、基金名称变更：基金管理人更换后，如果原任或</w:t>
      </w:r>
      <w:proofErr w:type="gramStart"/>
      <w:r w:rsidRPr="002C2B23">
        <w:rPr>
          <w:bCs/>
          <w:sz w:val="24"/>
          <w:lang w:eastAsia="zh-CN"/>
        </w:rPr>
        <w:t>新任基金</w:t>
      </w:r>
      <w:proofErr w:type="gramEnd"/>
      <w:r w:rsidRPr="002C2B23">
        <w:rPr>
          <w:bCs/>
          <w:sz w:val="24"/>
          <w:lang w:eastAsia="zh-CN"/>
        </w:rPr>
        <w:t>管理人要求，应按其要求替换或删除基金名称中与</w:t>
      </w:r>
      <w:proofErr w:type="gramStart"/>
      <w:r w:rsidRPr="002C2B23">
        <w:rPr>
          <w:bCs/>
          <w:sz w:val="24"/>
          <w:lang w:eastAsia="zh-CN"/>
        </w:rPr>
        <w:t>原基金</w:t>
      </w:r>
      <w:proofErr w:type="gramEnd"/>
      <w:r w:rsidRPr="002C2B23">
        <w:rPr>
          <w:bCs/>
          <w:sz w:val="24"/>
          <w:lang w:eastAsia="zh-CN"/>
        </w:rPr>
        <w:t>管理人有关的名称字样。</w:t>
      </w:r>
    </w:p>
    <w:p w14:paraId="4DA70F55" w14:textId="77777777" w:rsidR="005039DD" w:rsidRPr="002C2B23" w:rsidRDefault="0040620F">
      <w:pPr>
        <w:spacing w:line="360" w:lineRule="auto"/>
        <w:ind w:firstLine="480"/>
        <w:rPr>
          <w:bCs/>
          <w:sz w:val="24"/>
          <w:lang w:eastAsia="zh-CN"/>
        </w:rPr>
      </w:pPr>
      <w:bookmarkStart w:id="248" w:name="_Toc22005975"/>
      <w:r w:rsidRPr="002C2B23">
        <w:rPr>
          <w:bCs/>
          <w:sz w:val="24"/>
          <w:lang w:eastAsia="zh-CN"/>
        </w:rPr>
        <w:t>（二）</w:t>
      </w:r>
      <w:r w:rsidRPr="002C2B23">
        <w:rPr>
          <w:bCs/>
          <w:sz w:val="24"/>
          <w:lang w:eastAsia="zh-CN"/>
        </w:rPr>
        <w:tab/>
      </w:r>
      <w:r w:rsidRPr="002C2B23">
        <w:rPr>
          <w:bCs/>
          <w:sz w:val="24"/>
          <w:lang w:eastAsia="zh-CN"/>
        </w:rPr>
        <w:t>基金托管人的更换程序</w:t>
      </w:r>
      <w:bookmarkEnd w:id="248"/>
    </w:p>
    <w:p w14:paraId="1D040F91"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、提名：</w:t>
      </w:r>
      <w:proofErr w:type="gramStart"/>
      <w:r w:rsidRPr="002C2B23">
        <w:rPr>
          <w:bCs/>
          <w:sz w:val="24"/>
          <w:lang w:eastAsia="zh-CN"/>
        </w:rPr>
        <w:t>新任基金</w:t>
      </w:r>
      <w:proofErr w:type="gramEnd"/>
      <w:r w:rsidRPr="002C2B23">
        <w:rPr>
          <w:bCs/>
          <w:sz w:val="24"/>
          <w:lang w:eastAsia="zh-CN"/>
        </w:rPr>
        <w:t>托管人由基金管理人或由单独或合计持有</w:t>
      </w:r>
      <w:r w:rsidRPr="002C2B23">
        <w:rPr>
          <w:bCs/>
          <w:sz w:val="24"/>
          <w:lang w:eastAsia="zh-CN"/>
        </w:rPr>
        <w:t>10%</w:t>
      </w:r>
      <w:r w:rsidRPr="002C2B23">
        <w:rPr>
          <w:bCs/>
          <w:sz w:val="24"/>
          <w:lang w:eastAsia="zh-CN"/>
        </w:rPr>
        <w:t>以上（含</w:t>
      </w:r>
      <w:r w:rsidRPr="002C2B23">
        <w:rPr>
          <w:bCs/>
          <w:sz w:val="24"/>
          <w:lang w:eastAsia="zh-CN"/>
        </w:rPr>
        <w:t>10%</w:t>
      </w:r>
      <w:r w:rsidRPr="002C2B23">
        <w:rPr>
          <w:bCs/>
          <w:sz w:val="24"/>
          <w:lang w:eastAsia="zh-CN"/>
        </w:rPr>
        <w:t>）基金份额的基金份额持有人提名；</w:t>
      </w:r>
    </w:p>
    <w:p w14:paraId="3FD5DF6E"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、决议：基金份额持有人大会在基金托管人职责终止后</w:t>
      </w:r>
      <w:r w:rsidRPr="002C2B23">
        <w:rPr>
          <w:bCs/>
          <w:sz w:val="24"/>
          <w:lang w:eastAsia="zh-CN"/>
        </w:rPr>
        <w:t>6</w:t>
      </w:r>
      <w:r w:rsidRPr="002C2B23">
        <w:rPr>
          <w:bCs/>
          <w:sz w:val="24"/>
          <w:lang w:eastAsia="zh-CN"/>
        </w:rPr>
        <w:t>个月内对被提名的基金托管人形成决议，该决议需经参加大会的基金份额持有人所持表决权的三分之二以上（含三分之二）表决通过，决议自表决通过之日起生效；</w:t>
      </w:r>
    </w:p>
    <w:p w14:paraId="0AE949D1"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、临时基金托管人：</w:t>
      </w:r>
      <w:proofErr w:type="gramStart"/>
      <w:r w:rsidRPr="002C2B23">
        <w:rPr>
          <w:bCs/>
          <w:sz w:val="24"/>
          <w:lang w:eastAsia="zh-CN"/>
        </w:rPr>
        <w:t>新任基金</w:t>
      </w:r>
      <w:proofErr w:type="gramEnd"/>
      <w:r w:rsidRPr="002C2B23">
        <w:rPr>
          <w:bCs/>
          <w:sz w:val="24"/>
          <w:lang w:eastAsia="zh-CN"/>
        </w:rPr>
        <w:t>托管人产生之前，由中国证监会指定临时基金托管人；</w:t>
      </w:r>
    </w:p>
    <w:p w14:paraId="32C19C03" w14:textId="77777777" w:rsidR="005039DD" w:rsidRPr="002C2B23" w:rsidRDefault="0040620F">
      <w:pPr>
        <w:spacing w:line="360" w:lineRule="auto"/>
        <w:ind w:firstLine="480"/>
        <w:rPr>
          <w:bCs/>
          <w:sz w:val="24"/>
          <w:lang w:eastAsia="zh-CN"/>
        </w:rPr>
      </w:pPr>
      <w:r w:rsidRPr="002C2B23">
        <w:rPr>
          <w:bCs/>
          <w:sz w:val="24"/>
          <w:lang w:eastAsia="zh-CN"/>
        </w:rPr>
        <w:t>4</w:t>
      </w:r>
      <w:r w:rsidRPr="002C2B23">
        <w:rPr>
          <w:bCs/>
          <w:sz w:val="24"/>
          <w:lang w:eastAsia="zh-CN"/>
        </w:rPr>
        <w:t>、备案：基金份额持有人大会更换基金托管人的决议须报中国证监会备案；</w:t>
      </w:r>
    </w:p>
    <w:p w14:paraId="488AE4B3" w14:textId="77777777" w:rsidR="005039DD" w:rsidRPr="002C2B23" w:rsidRDefault="0040620F">
      <w:pPr>
        <w:spacing w:line="360" w:lineRule="auto"/>
        <w:ind w:firstLine="480"/>
        <w:rPr>
          <w:bCs/>
          <w:sz w:val="24"/>
          <w:lang w:eastAsia="zh-CN"/>
        </w:rPr>
      </w:pPr>
      <w:r w:rsidRPr="002C2B23">
        <w:rPr>
          <w:bCs/>
          <w:sz w:val="24"/>
          <w:lang w:eastAsia="zh-CN"/>
        </w:rPr>
        <w:t>5</w:t>
      </w:r>
      <w:r w:rsidRPr="002C2B23">
        <w:rPr>
          <w:bCs/>
          <w:sz w:val="24"/>
          <w:lang w:eastAsia="zh-CN"/>
        </w:rPr>
        <w:t>、公告：基金托管人更换后，由基金管理人在更换基金托管人的基金份额持有人大会决议生效后按规定在规定媒介公告；</w:t>
      </w:r>
    </w:p>
    <w:p w14:paraId="1374770E" w14:textId="77777777" w:rsidR="005039DD" w:rsidRPr="002C2B23" w:rsidRDefault="0040620F">
      <w:pPr>
        <w:spacing w:line="360" w:lineRule="auto"/>
        <w:ind w:firstLine="480"/>
        <w:rPr>
          <w:bCs/>
          <w:sz w:val="24"/>
          <w:lang w:eastAsia="zh-CN"/>
        </w:rPr>
      </w:pPr>
      <w:r w:rsidRPr="002C2B23">
        <w:rPr>
          <w:bCs/>
          <w:sz w:val="24"/>
          <w:lang w:eastAsia="zh-CN"/>
        </w:rPr>
        <w:t>6</w:t>
      </w:r>
      <w:r w:rsidRPr="002C2B23">
        <w:rPr>
          <w:bCs/>
          <w:sz w:val="24"/>
          <w:lang w:eastAsia="zh-CN"/>
        </w:rPr>
        <w:t>、交接：基金托管人职责终止的，应当妥善保管基金财产和基金托管业务资料，及时办理基金财产和基金托管业务的移交手续，</w:t>
      </w:r>
      <w:proofErr w:type="gramStart"/>
      <w:r w:rsidRPr="002C2B23">
        <w:rPr>
          <w:bCs/>
          <w:sz w:val="24"/>
          <w:lang w:eastAsia="zh-CN"/>
        </w:rPr>
        <w:t>新任基金</w:t>
      </w:r>
      <w:proofErr w:type="gramEnd"/>
      <w:r w:rsidRPr="002C2B23">
        <w:rPr>
          <w:bCs/>
          <w:sz w:val="24"/>
          <w:lang w:eastAsia="zh-CN"/>
        </w:rPr>
        <w:t>托管人或者临时基金托管人应当及时接收。</w:t>
      </w:r>
      <w:proofErr w:type="gramStart"/>
      <w:r w:rsidRPr="002C2B23">
        <w:rPr>
          <w:bCs/>
          <w:sz w:val="24"/>
          <w:lang w:eastAsia="zh-CN"/>
        </w:rPr>
        <w:t>新任基金</w:t>
      </w:r>
      <w:proofErr w:type="gramEnd"/>
      <w:r w:rsidRPr="002C2B23">
        <w:rPr>
          <w:bCs/>
          <w:sz w:val="24"/>
          <w:lang w:eastAsia="zh-CN"/>
        </w:rPr>
        <w:t>托管人或临时基金托管人应与基金管理人核对基金资产总值和净值；</w:t>
      </w:r>
      <w:r w:rsidRPr="002C2B23">
        <w:rPr>
          <w:bCs/>
          <w:sz w:val="24"/>
          <w:lang w:eastAsia="zh-CN"/>
        </w:rPr>
        <w:t xml:space="preserve"> </w:t>
      </w:r>
    </w:p>
    <w:p w14:paraId="76080742" w14:textId="77777777" w:rsidR="005039DD" w:rsidRPr="002C2B23" w:rsidRDefault="0040620F">
      <w:pPr>
        <w:spacing w:line="360" w:lineRule="auto"/>
        <w:ind w:firstLine="480"/>
        <w:rPr>
          <w:bCs/>
          <w:sz w:val="24"/>
          <w:lang w:eastAsia="zh-CN"/>
        </w:rPr>
      </w:pPr>
      <w:r w:rsidRPr="002C2B23">
        <w:rPr>
          <w:bCs/>
          <w:sz w:val="24"/>
          <w:lang w:eastAsia="zh-CN"/>
        </w:rPr>
        <w:t>7</w:t>
      </w:r>
      <w:r w:rsidRPr="002C2B23">
        <w:rPr>
          <w:bCs/>
          <w:sz w:val="24"/>
          <w:lang w:eastAsia="zh-CN"/>
        </w:rPr>
        <w:t>、审计：基金托管人职责终止的，应当按照法律法规规定聘请会计师事务所对基金财产进行审计，并将审计结果予以公告，同时报中国证监会备案，审计费用在基金财产中列支。</w:t>
      </w:r>
    </w:p>
    <w:p w14:paraId="2D0B7181" w14:textId="77777777" w:rsidR="005039DD" w:rsidRPr="002C2B23" w:rsidRDefault="0040620F">
      <w:pPr>
        <w:spacing w:line="360" w:lineRule="auto"/>
        <w:ind w:firstLine="480"/>
        <w:rPr>
          <w:bCs/>
          <w:sz w:val="24"/>
          <w:lang w:eastAsia="zh-CN"/>
        </w:rPr>
      </w:pPr>
      <w:bookmarkStart w:id="249" w:name="_Toc1357"/>
      <w:r w:rsidRPr="002C2B23">
        <w:rPr>
          <w:bCs/>
          <w:sz w:val="24"/>
          <w:lang w:eastAsia="zh-CN"/>
        </w:rPr>
        <w:t>（三）基金管理人与基金托管人同时更换的条件和程序</w:t>
      </w:r>
      <w:bookmarkEnd w:id="249"/>
    </w:p>
    <w:p w14:paraId="2B0E2586"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、提名：如果基金管理人和基金托管人同时更换，由单独或合计持有基金总份额</w:t>
      </w:r>
      <w:r w:rsidRPr="002C2B23">
        <w:rPr>
          <w:bCs/>
          <w:sz w:val="24"/>
          <w:lang w:eastAsia="zh-CN"/>
        </w:rPr>
        <w:t>10%</w:t>
      </w:r>
      <w:r w:rsidRPr="002C2B23">
        <w:rPr>
          <w:bCs/>
          <w:sz w:val="24"/>
          <w:lang w:eastAsia="zh-CN"/>
        </w:rPr>
        <w:t>以上（含</w:t>
      </w:r>
      <w:r w:rsidRPr="002C2B23">
        <w:rPr>
          <w:bCs/>
          <w:sz w:val="24"/>
          <w:lang w:eastAsia="zh-CN"/>
        </w:rPr>
        <w:t>10%</w:t>
      </w:r>
      <w:r w:rsidRPr="002C2B23">
        <w:rPr>
          <w:bCs/>
          <w:sz w:val="24"/>
          <w:lang w:eastAsia="zh-CN"/>
        </w:rPr>
        <w:t>）的基金份额持有人提名新的基金管理人和基金托管人；</w:t>
      </w:r>
    </w:p>
    <w:p w14:paraId="58C26057"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、基金管理人和基金托管人的更换分别按上述程序进行；</w:t>
      </w:r>
    </w:p>
    <w:p w14:paraId="33F6E191"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、公告：</w:t>
      </w:r>
      <w:proofErr w:type="gramStart"/>
      <w:r w:rsidRPr="002C2B23">
        <w:rPr>
          <w:bCs/>
          <w:sz w:val="24"/>
          <w:lang w:eastAsia="zh-CN"/>
        </w:rPr>
        <w:t>新任基金</w:t>
      </w:r>
      <w:proofErr w:type="gramEnd"/>
      <w:r w:rsidRPr="002C2B23">
        <w:rPr>
          <w:bCs/>
          <w:sz w:val="24"/>
          <w:lang w:eastAsia="zh-CN"/>
        </w:rPr>
        <w:t>管理人和</w:t>
      </w:r>
      <w:proofErr w:type="gramStart"/>
      <w:r w:rsidRPr="002C2B23">
        <w:rPr>
          <w:bCs/>
          <w:sz w:val="24"/>
          <w:lang w:eastAsia="zh-CN"/>
        </w:rPr>
        <w:t>新任基金</w:t>
      </w:r>
      <w:proofErr w:type="gramEnd"/>
      <w:r w:rsidRPr="002C2B23">
        <w:rPr>
          <w:bCs/>
          <w:sz w:val="24"/>
          <w:lang w:eastAsia="zh-CN"/>
        </w:rPr>
        <w:t>托管人应在更换基金管理人和基金托管人的基金份额持有人大会决议生效后按规定在规定媒介上联合公告。</w:t>
      </w:r>
    </w:p>
    <w:p w14:paraId="21384A19" w14:textId="77777777" w:rsidR="005039DD" w:rsidRPr="002C2B23" w:rsidRDefault="005039DD">
      <w:pPr>
        <w:spacing w:line="360" w:lineRule="auto"/>
        <w:ind w:firstLine="480"/>
        <w:rPr>
          <w:bCs/>
          <w:sz w:val="24"/>
          <w:lang w:eastAsia="zh-CN"/>
        </w:rPr>
      </w:pPr>
    </w:p>
    <w:p w14:paraId="077F736F" w14:textId="77777777" w:rsidR="005039DD" w:rsidRPr="002C2B23" w:rsidRDefault="0040620F">
      <w:pPr>
        <w:spacing w:line="360" w:lineRule="auto"/>
        <w:ind w:firstLine="480"/>
        <w:rPr>
          <w:bCs/>
          <w:sz w:val="24"/>
          <w:lang w:eastAsia="zh-CN"/>
        </w:rPr>
      </w:pPr>
      <w:r w:rsidRPr="002C2B23">
        <w:rPr>
          <w:bCs/>
          <w:sz w:val="24"/>
          <w:lang w:eastAsia="zh-CN"/>
        </w:rPr>
        <w:t>三、新基金管理人或临时基金管理人接收基金管理业务，或新基金托管人或临时基金托管人接收基金财产和基金托管业务前，</w:t>
      </w:r>
      <w:proofErr w:type="gramStart"/>
      <w:r w:rsidRPr="002C2B23">
        <w:rPr>
          <w:bCs/>
          <w:sz w:val="24"/>
          <w:lang w:eastAsia="zh-CN"/>
        </w:rPr>
        <w:t>原基金</w:t>
      </w:r>
      <w:proofErr w:type="gramEnd"/>
      <w:r w:rsidRPr="002C2B23">
        <w:rPr>
          <w:bCs/>
          <w:sz w:val="24"/>
          <w:lang w:eastAsia="zh-CN"/>
        </w:rPr>
        <w:t>管理人或</w:t>
      </w:r>
      <w:proofErr w:type="gramStart"/>
      <w:r w:rsidRPr="002C2B23">
        <w:rPr>
          <w:bCs/>
          <w:sz w:val="24"/>
          <w:lang w:eastAsia="zh-CN"/>
        </w:rPr>
        <w:t>原基金</w:t>
      </w:r>
      <w:proofErr w:type="gramEnd"/>
      <w:r w:rsidRPr="002C2B23">
        <w:rPr>
          <w:bCs/>
          <w:sz w:val="24"/>
          <w:lang w:eastAsia="zh-CN"/>
        </w:rPr>
        <w:t>托管人应继续履行相关职责，并保证不做出对基金份额持有人的利益造成损害的行为。</w:t>
      </w:r>
      <w:proofErr w:type="gramStart"/>
      <w:r w:rsidRPr="002C2B23">
        <w:rPr>
          <w:bCs/>
          <w:sz w:val="24"/>
          <w:lang w:eastAsia="zh-CN"/>
        </w:rPr>
        <w:t>原基金</w:t>
      </w:r>
      <w:proofErr w:type="gramEnd"/>
      <w:r w:rsidRPr="002C2B23">
        <w:rPr>
          <w:bCs/>
          <w:sz w:val="24"/>
          <w:lang w:eastAsia="zh-CN"/>
        </w:rPr>
        <w:t>管理人或</w:t>
      </w:r>
      <w:proofErr w:type="gramStart"/>
      <w:r w:rsidRPr="002C2B23">
        <w:rPr>
          <w:bCs/>
          <w:sz w:val="24"/>
          <w:lang w:eastAsia="zh-CN"/>
        </w:rPr>
        <w:t>原基金</w:t>
      </w:r>
      <w:proofErr w:type="gramEnd"/>
      <w:r w:rsidRPr="002C2B23">
        <w:rPr>
          <w:bCs/>
          <w:sz w:val="24"/>
          <w:lang w:eastAsia="zh-CN"/>
        </w:rPr>
        <w:t>托管人在继续履行相关职责期间，仍有权按照本基金合同的规定收取基金管理费或基金托管费。</w:t>
      </w:r>
    </w:p>
    <w:p w14:paraId="3F7C0E57" w14:textId="77777777" w:rsidR="005039DD" w:rsidRPr="002C2B23" w:rsidRDefault="005039DD">
      <w:pPr>
        <w:spacing w:line="360" w:lineRule="auto"/>
        <w:ind w:firstLine="480"/>
        <w:rPr>
          <w:bCs/>
          <w:sz w:val="24"/>
          <w:lang w:eastAsia="zh-CN"/>
        </w:rPr>
      </w:pPr>
    </w:p>
    <w:p w14:paraId="66887C78" w14:textId="77777777" w:rsidR="005039DD" w:rsidRPr="002C2B23" w:rsidRDefault="0040620F">
      <w:pPr>
        <w:spacing w:line="360" w:lineRule="auto"/>
        <w:ind w:firstLine="480"/>
        <w:rPr>
          <w:bCs/>
          <w:sz w:val="24"/>
          <w:lang w:eastAsia="zh-CN"/>
        </w:rPr>
        <w:sectPr w:rsidR="005039DD" w:rsidRPr="002C2B23">
          <w:footerReference w:type="default" r:id="rId19"/>
          <w:pgSz w:w="12240" w:h="15840"/>
          <w:pgMar w:top="1440" w:right="1800" w:bottom="1440" w:left="1800" w:header="720" w:footer="720" w:gutter="0"/>
          <w:cols w:space="720"/>
          <w:docGrid w:linePitch="312"/>
        </w:sectPr>
      </w:pPr>
      <w:r w:rsidRPr="002C2B23">
        <w:rPr>
          <w:bCs/>
          <w:sz w:val="24"/>
          <w:lang w:eastAsia="zh-CN"/>
        </w:rPr>
        <w:t>四、本部</w:t>
      </w:r>
      <w:proofErr w:type="gramStart"/>
      <w:r w:rsidRPr="002C2B23">
        <w:rPr>
          <w:bCs/>
          <w:sz w:val="24"/>
          <w:lang w:eastAsia="zh-CN"/>
        </w:rPr>
        <w:t>分关于</w:t>
      </w:r>
      <w:proofErr w:type="gramEnd"/>
      <w:r w:rsidRPr="002C2B23">
        <w:rPr>
          <w:bCs/>
          <w:sz w:val="24"/>
          <w:lang w:eastAsia="zh-CN"/>
        </w:rPr>
        <w:t>基金管理人、基金托管人更换条件和程序的约定，凡是直接引用法律法规或监管规则的部分，如将来法律法规或监管规则修改导致相关内容被取消或变更的，基金管理人与基金托管人根据新颁布的法律法规协商一致并提前公告后，可直接对相应内容进行修改和调整，无需召开基金份额持有人大会审议。</w:t>
      </w:r>
    </w:p>
    <w:p w14:paraId="1D1BEED9" w14:textId="77777777" w:rsidR="005039DD" w:rsidRPr="002C2B23" w:rsidRDefault="0040620F">
      <w:pPr>
        <w:pStyle w:val="112"/>
        <w:spacing w:before="0" w:after="0"/>
        <w:jc w:val="center"/>
        <w:rPr>
          <w:rFonts w:ascii="Times New Roman"/>
          <w:sz w:val="30"/>
          <w:lang w:eastAsia="zh-CN"/>
        </w:rPr>
      </w:pPr>
      <w:bookmarkStart w:id="250" w:name="_Toc48649708"/>
      <w:bookmarkStart w:id="251" w:name="_Toc29408"/>
      <w:bookmarkStart w:id="252" w:name="_Toc21237"/>
      <w:bookmarkStart w:id="253" w:name="_Toc139991740"/>
      <w:bookmarkStart w:id="254" w:name="_Toc3329"/>
      <w:bookmarkStart w:id="255" w:name="_Toc8791"/>
      <w:bookmarkStart w:id="256" w:name="_Toc17920"/>
      <w:bookmarkStart w:id="257" w:name="_Toc123051456"/>
      <w:bookmarkStart w:id="258" w:name="_Toc123102457"/>
      <w:bookmarkStart w:id="259" w:name="_Toc20976"/>
      <w:bookmarkStart w:id="260" w:name="_Toc98560356"/>
      <w:bookmarkStart w:id="261" w:name="_Toc141703890"/>
      <w:bookmarkStart w:id="262" w:name="_Toc123112238"/>
      <w:bookmarkStart w:id="263" w:name="_Toc32584"/>
      <w:bookmarkStart w:id="264" w:name="_Toc5170"/>
      <w:bookmarkStart w:id="265" w:name="_Toc32092"/>
      <w:bookmarkStart w:id="266" w:name="_Toc109141370"/>
      <w:bookmarkStart w:id="267" w:name="_Toc79392622"/>
      <w:bookmarkStart w:id="268" w:name="_Toc739"/>
      <w:bookmarkStart w:id="269" w:name="_Toc17198"/>
      <w:r w:rsidRPr="002C2B23">
        <w:rPr>
          <w:rFonts w:ascii="Times New Roman"/>
          <w:sz w:val="30"/>
          <w:lang w:eastAsia="zh-CN"/>
        </w:rPr>
        <w:t>第十部分</w:t>
      </w:r>
      <w:r w:rsidRPr="002C2B23">
        <w:rPr>
          <w:rFonts w:ascii="Times New Roman"/>
          <w:sz w:val="30"/>
          <w:lang w:eastAsia="zh-CN"/>
        </w:rPr>
        <w:t xml:space="preserve">  </w:t>
      </w:r>
      <w:r w:rsidRPr="002C2B23">
        <w:rPr>
          <w:rFonts w:ascii="Times New Roman"/>
          <w:sz w:val="30"/>
          <w:lang w:eastAsia="zh-CN"/>
        </w:rPr>
        <w:t>基金的托管</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14:paraId="53A6B9D9" w14:textId="77777777" w:rsidR="005039DD" w:rsidRPr="002C2B23" w:rsidRDefault="005039DD">
      <w:pPr>
        <w:spacing w:line="360" w:lineRule="auto"/>
        <w:rPr>
          <w:bCs/>
          <w:sz w:val="24"/>
          <w:lang w:eastAsia="zh-CN"/>
        </w:rPr>
      </w:pPr>
    </w:p>
    <w:p w14:paraId="3E348A75" w14:textId="77777777" w:rsidR="005039DD" w:rsidRPr="002C2B23" w:rsidRDefault="0040620F">
      <w:pPr>
        <w:spacing w:line="360" w:lineRule="auto"/>
        <w:ind w:firstLine="480"/>
        <w:rPr>
          <w:bCs/>
          <w:sz w:val="24"/>
          <w:lang w:eastAsia="zh-CN"/>
        </w:rPr>
      </w:pPr>
      <w:r w:rsidRPr="002C2B23">
        <w:rPr>
          <w:bCs/>
          <w:sz w:val="24"/>
          <w:lang w:eastAsia="zh-CN"/>
        </w:rPr>
        <w:t>基金托管人和基金管理人按照《基金法》《基金合同》及其他有关规定订立托管协议。</w:t>
      </w:r>
    </w:p>
    <w:p w14:paraId="51ABF505" w14:textId="77777777" w:rsidR="005039DD" w:rsidRPr="002C2B23" w:rsidRDefault="0040620F">
      <w:pPr>
        <w:spacing w:line="360" w:lineRule="auto"/>
        <w:ind w:firstLine="480"/>
        <w:rPr>
          <w:bCs/>
          <w:sz w:val="24"/>
          <w:lang w:eastAsia="zh-CN"/>
        </w:rPr>
        <w:sectPr w:rsidR="005039DD" w:rsidRPr="002C2B23">
          <w:footerReference w:type="default" r:id="rId20"/>
          <w:pgSz w:w="12240" w:h="15840"/>
          <w:pgMar w:top="1440" w:right="1800" w:bottom="1440" w:left="1800" w:header="720" w:footer="720" w:gutter="0"/>
          <w:cols w:space="720"/>
          <w:docGrid w:linePitch="312"/>
        </w:sectPr>
      </w:pPr>
      <w:r w:rsidRPr="002C2B23">
        <w:rPr>
          <w:bCs/>
          <w:sz w:val="24"/>
          <w:lang w:eastAsia="zh-CN"/>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p>
    <w:p w14:paraId="4CE3A33C" w14:textId="77777777" w:rsidR="005039DD" w:rsidRPr="002C2B23" w:rsidRDefault="0040620F">
      <w:pPr>
        <w:pStyle w:val="112"/>
        <w:spacing w:before="0" w:after="0"/>
        <w:jc w:val="center"/>
        <w:rPr>
          <w:rFonts w:ascii="Times New Roman"/>
          <w:sz w:val="30"/>
          <w:lang w:eastAsia="zh-CN"/>
        </w:rPr>
      </w:pPr>
      <w:bookmarkStart w:id="270" w:name="_Toc79392624"/>
      <w:bookmarkStart w:id="271" w:name="_Toc16789"/>
      <w:bookmarkStart w:id="272" w:name="_Toc123112239"/>
      <w:bookmarkStart w:id="273" w:name="_Toc48649710"/>
      <w:bookmarkStart w:id="274" w:name="_Toc26152"/>
      <w:bookmarkStart w:id="275" w:name="_Toc19520"/>
      <w:bookmarkStart w:id="276" w:name="_Toc26084"/>
      <w:bookmarkStart w:id="277" w:name="_Toc14725"/>
      <w:bookmarkStart w:id="278" w:name="_Toc31469"/>
      <w:bookmarkStart w:id="279" w:name="_Toc26383"/>
      <w:bookmarkStart w:id="280" w:name="_Toc21886"/>
      <w:bookmarkStart w:id="281" w:name="_Toc109141371"/>
      <w:bookmarkStart w:id="282" w:name="_Toc2255"/>
      <w:bookmarkStart w:id="283" w:name="_Toc22674"/>
      <w:bookmarkStart w:id="284" w:name="_Toc98560357"/>
      <w:bookmarkStart w:id="285" w:name="_Toc123102458"/>
      <w:bookmarkStart w:id="286" w:name="_Toc3244"/>
      <w:bookmarkStart w:id="287" w:name="_Toc123051457"/>
      <w:bookmarkStart w:id="288" w:name="_Toc139991741"/>
      <w:bookmarkStart w:id="289" w:name="_Toc141703891"/>
      <w:r w:rsidRPr="002C2B23">
        <w:rPr>
          <w:rFonts w:ascii="Times New Roman"/>
          <w:sz w:val="30"/>
          <w:lang w:eastAsia="zh-CN"/>
        </w:rPr>
        <w:t>第十一部分</w:t>
      </w:r>
      <w:r w:rsidRPr="002C2B23">
        <w:rPr>
          <w:rFonts w:ascii="Times New Roman"/>
          <w:sz w:val="30"/>
          <w:lang w:eastAsia="zh-CN"/>
        </w:rPr>
        <w:t xml:space="preserve">  </w:t>
      </w:r>
      <w:r w:rsidRPr="002C2B23">
        <w:rPr>
          <w:rFonts w:ascii="Times New Roman"/>
          <w:sz w:val="30"/>
          <w:lang w:eastAsia="zh-CN"/>
        </w:rPr>
        <w:t>基金份额的登记</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53FA11DB" w14:textId="77777777" w:rsidR="005039DD" w:rsidRPr="002C2B23" w:rsidRDefault="005039DD">
      <w:pPr>
        <w:spacing w:line="360" w:lineRule="auto"/>
        <w:rPr>
          <w:bCs/>
          <w:sz w:val="24"/>
          <w:lang w:eastAsia="zh-CN"/>
        </w:rPr>
      </w:pPr>
    </w:p>
    <w:p w14:paraId="3B8BEF54" w14:textId="77777777" w:rsidR="005039DD" w:rsidRPr="002C2B23" w:rsidRDefault="0040620F">
      <w:pPr>
        <w:spacing w:line="360" w:lineRule="auto"/>
        <w:ind w:firstLine="480"/>
        <w:rPr>
          <w:bCs/>
          <w:sz w:val="24"/>
          <w:lang w:eastAsia="zh-CN"/>
        </w:rPr>
      </w:pPr>
      <w:r w:rsidRPr="002C2B23">
        <w:rPr>
          <w:bCs/>
          <w:sz w:val="24"/>
          <w:lang w:eastAsia="zh-CN"/>
        </w:rPr>
        <w:t>一、基金份额的登记业务</w:t>
      </w:r>
    </w:p>
    <w:p w14:paraId="02692B28" w14:textId="77777777" w:rsidR="005039DD" w:rsidRPr="002C2B23" w:rsidRDefault="0040620F">
      <w:pPr>
        <w:spacing w:line="360" w:lineRule="auto"/>
        <w:ind w:firstLine="480"/>
        <w:rPr>
          <w:bCs/>
          <w:sz w:val="24"/>
          <w:lang w:eastAsia="zh-CN"/>
        </w:rPr>
      </w:pPr>
      <w:r w:rsidRPr="002C2B23">
        <w:rPr>
          <w:bCs/>
          <w:sz w:val="24"/>
          <w:lang w:eastAsia="zh-CN"/>
        </w:rPr>
        <w:t>本基金的登记业务指本基金登记、存管、过户、清算和结算业务，具体内容包括投资人基金账户的建立和管理、基金份额登记、基金销售业务的确认、清算和结算、代理发放红利、建立并保管基金份额持有人名册和办理</w:t>
      </w:r>
      <w:proofErr w:type="gramStart"/>
      <w:r w:rsidRPr="002C2B23">
        <w:rPr>
          <w:bCs/>
          <w:sz w:val="24"/>
          <w:lang w:eastAsia="zh-CN"/>
        </w:rPr>
        <w:t>非交易</w:t>
      </w:r>
      <w:proofErr w:type="gramEnd"/>
      <w:r w:rsidRPr="002C2B23">
        <w:rPr>
          <w:bCs/>
          <w:sz w:val="24"/>
          <w:lang w:eastAsia="zh-CN"/>
        </w:rPr>
        <w:t>过户等。</w:t>
      </w:r>
    </w:p>
    <w:p w14:paraId="17A95581" w14:textId="77777777" w:rsidR="005039DD" w:rsidRPr="002C2B23" w:rsidRDefault="005039DD">
      <w:pPr>
        <w:spacing w:line="360" w:lineRule="auto"/>
        <w:ind w:firstLine="480"/>
        <w:rPr>
          <w:bCs/>
          <w:sz w:val="24"/>
          <w:lang w:eastAsia="zh-CN"/>
        </w:rPr>
      </w:pPr>
    </w:p>
    <w:p w14:paraId="564203A4" w14:textId="77777777" w:rsidR="005039DD" w:rsidRPr="002C2B23" w:rsidRDefault="0040620F">
      <w:pPr>
        <w:spacing w:line="360" w:lineRule="auto"/>
        <w:ind w:firstLine="480"/>
        <w:rPr>
          <w:bCs/>
          <w:sz w:val="24"/>
          <w:lang w:eastAsia="zh-CN"/>
        </w:rPr>
      </w:pPr>
      <w:r w:rsidRPr="002C2B23">
        <w:rPr>
          <w:bCs/>
          <w:sz w:val="24"/>
          <w:lang w:eastAsia="zh-CN"/>
        </w:rPr>
        <w:t>二、基金登记业务办理机构</w:t>
      </w:r>
    </w:p>
    <w:p w14:paraId="3D9289E3" w14:textId="77777777" w:rsidR="005039DD" w:rsidRPr="002C2B23" w:rsidRDefault="0040620F">
      <w:pPr>
        <w:spacing w:line="360" w:lineRule="auto"/>
        <w:ind w:firstLine="480"/>
        <w:rPr>
          <w:bCs/>
          <w:sz w:val="24"/>
          <w:lang w:eastAsia="zh-CN"/>
        </w:rPr>
      </w:pPr>
      <w:r w:rsidRPr="002C2B23">
        <w:rPr>
          <w:bCs/>
          <w:sz w:val="24"/>
          <w:lang w:eastAsia="zh-CN"/>
        </w:rPr>
        <w:t>本基金的登记业务由基金管理人或基金管理人委托的其他符合条件的机构办理，但基金管理人依法应当承担的责任不因委托而免除。基金管理人委托其他机构办理本基金登记业务的，应与代理人签订委托代理协议，以明确基金管理人和代理机构在投资者基金账户管理、基金份额登记、清算及基金交易确认、发放红利、建立并保管基金份额持有人名册等事宜中的权利和义务，保护基金份额持有人的合法权益。</w:t>
      </w:r>
    </w:p>
    <w:p w14:paraId="39C0A51A" w14:textId="77777777" w:rsidR="005039DD" w:rsidRPr="002C2B23" w:rsidRDefault="005039DD">
      <w:pPr>
        <w:spacing w:line="360" w:lineRule="auto"/>
        <w:ind w:firstLine="480"/>
        <w:rPr>
          <w:bCs/>
          <w:sz w:val="24"/>
          <w:lang w:eastAsia="zh-CN"/>
        </w:rPr>
      </w:pPr>
    </w:p>
    <w:p w14:paraId="2E8AB5E8" w14:textId="77777777" w:rsidR="005039DD" w:rsidRPr="002C2B23" w:rsidRDefault="0040620F">
      <w:pPr>
        <w:spacing w:line="360" w:lineRule="auto"/>
        <w:ind w:firstLine="480"/>
        <w:rPr>
          <w:bCs/>
          <w:sz w:val="24"/>
          <w:lang w:eastAsia="zh-CN"/>
        </w:rPr>
      </w:pPr>
      <w:r w:rsidRPr="002C2B23">
        <w:rPr>
          <w:bCs/>
          <w:sz w:val="24"/>
          <w:lang w:eastAsia="zh-CN"/>
        </w:rPr>
        <w:t>三、基金登记机构的权利</w:t>
      </w:r>
      <w:bookmarkStart w:id="290" w:name="_Hlt88820748"/>
      <w:bookmarkEnd w:id="290"/>
    </w:p>
    <w:p w14:paraId="1A71487F" w14:textId="77777777" w:rsidR="005039DD" w:rsidRPr="002C2B23" w:rsidRDefault="0040620F">
      <w:pPr>
        <w:spacing w:line="360" w:lineRule="auto"/>
        <w:ind w:firstLine="480"/>
        <w:rPr>
          <w:bCs/>
          <w:sz w:val="24"/>
          <w:lang w:eastAsia="zh-CN"/>
        </w:rPr>
      </w:pPr>
      <w:r w:rsidRPr="002C2B23">
        <w:rPr>
          <w:bCs/>
          <w:sz w:val="24"/>
          <w:lang w:eastAsia="zh-CN"/>
        </w:rPr>
        <w:t>基金登记机构享有以下权利：</w:t>
      </w:r>
    </w:p>
    <w:p w14:paraId="06F6E0FE"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、取得登记费；</w:t>
      </w:r>
    </w:p>
    <w:p w14:paraId="4822343C"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、建立和管理投资者基金账户；</w:t>
      </w:r>
    </w:p>
    <w:p w14:paraId="633AB1F8"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、保管基金份额持有人开户资料、交易资料、基金份额持有人名册等；</w:t>
      </w:r>
    </w:p>
    <w:p w14:paraId="5DCA5E91" w14:textId="77777777" w:rsidR="005039DD" w:rsidRPr="002C2B23" w:rsidRDefault="0040620F">
      <w:pPr>
        <w:spacing w:line="360" w:lineRule="auto"/>
        <w:ind w:firstLine="480"/>
        <w:rPr>
          <w:bCs/>
          <w:sz w:val="24"/>
          <w:lang w:eastAsia="zh-CN"/>
        </w:rPr>
      </w:pPr>
      <w:r w:rsidRPr="002C2B23">
        <w:rPr>
          <w:bCs/>
          <w:sz w:val="24"/>
          <w:lang w:eastAsia="zh-CN"/>
        </w:rPr>
        <w:t>4</w:t>
      </w:r>
      <w:r w:rsidRPr="002C2B23">
        <w:rPr>
          <w:bCs/>
          <w:sz w:val="24"/>
          <w:lang w:eastAsia="zh-CN"/>
        </w:rPr>
        <w:t>、在法律法规允许的范围内，对登记业务的办理时间进行调整，并依照有关规定于开始实施前在规定媒介上公告；</w:t>
      </w:r>
    </w:p>
    <w:p w14:paraId="379ADAF6" w14:textId="77777777" w:rsidR="005039DD" w:rsidRPr="002C2B23" w:rsidRDefault="0040620F">
      <w:pPr>
        <w:spacing w:line="360" w:lineRule="auto"/>
        <w:ind w:firstLine="480"/>
        <w:rPr>
          <w:bCs/>
          <w:sz w:val="24"/>
          <w:lang w:eastAsia="zh-CN"/>
        </w:rPr>
      </w:pPr>
      <w:r w:rsidRPr="002C2B23">
        <w:rPr>
          <w:bCs/>
          <w:sz w:val="24"/>
          <w:lang w:eastAsia="zh-CN"/>
        </w:rPr>
        <w:t>5</w:t>
      </w:r>
      <w:r w:rsidRPr="002C2B23">
        <w:rPr>
          <w:bCs/>
          <w:sz w:val="24"/>
          <w:lang w:eastAsia="zh-CN"/>
        </w:rPr>
        <w:t>、法律法规及中国证监会规定的和《基金合同》约定的其他权利。</w:t>
      </w:r>
    </w:p>
    <w:p w14:paraId="4ACED3A0" w14:textId="77777777" w:rsidR="005039DD" w:rsidRPr="002C2B23" w:rsidRDefault="005039DD">
      <w:pPr>
        <w:spacing w:line="360" w:lineRule="auto"/>
        <w:ind w:firstLine="480"/>
        <w:rPr>
          <w:bCs/>
          <w:sz w:val="24"/>
          <w:lang w:eastAsia="zh-CN"/>
        </w:rPr>
      </w:pPr>
    </w:p>
    <w:p w14:paraId="7B998D2B" w14:textId="77777777" w:rsidR="005039DD" w:rsidRPr="002C2B23" w:rsidRDefault="0040620F">
      <w:pPr>
        <w:spacing w:line="360" w:lineRule="auto"/>
        <w:ind w:firstLine="480"/>
        <w:rPr>
          <w:bCs/>
          <w:sz w:val="24"/>
          <w:lang w:eastAsia="zh-CN"/>
        </w:rPr>
      </w:pPr>
      <w:r w:rsidRPr="002C2B23">
        <w:rPr>
          <w:bCs/>
          <w:sz w:val="24"/>
          <w:lang w:eastAsia="zh-CN"/>
        </w:rPr>
        <w:t>四、基金登记机构的义务</w:t>
      </w:r>
    </w:p>
    <w:p w14:paraId="4CC9A7FA" w14:textId="77777777" w:rsidR="005039DD" w:rsidRPr="002C2B23" w:rsidRDefault="0040620F">
      <w:pPr>
        <w:spacing w:line="360" w:lineRule="auto"/>
        <w:ind w:firstLine="480"/>
        <w:rPr>
          <w:bCs/>
          <w:sz w:val="24"/>
          <w:lang w:eastAsia="zh-CN"/>
        </w:rPr>
      </w:pPr>
      <w:r w:rsidRPr="002C2B23">
        <w:rPr>
          <w:bCs/>
          <w:sz w:val="24"/>
          <w:lang w:eastAsia="zh-CN"/>
        </w:rPr>
        <w:t>基金登记机构承担以下义务：</w:t>
      </w:r>
    </w:p>
    <w:p w14:paraId="6F3DF750"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、配备足够的专业人员办理本基金份额的登记业务；</w:t>
      </w:r>
    </w:p>
    <w:p w14:paraId="37459B91"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、严格按照法律法规和《基金合同》规定的条件办理本基金份额的登记业务；</w:t>
      </w:r>
    </w:p>
    <w:p w14:paraId="046DEBE9"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、妥善保存登记数据，并将基金份额持有人名称、身份信息及基金份额明细等数据备份至中国证监会认定的机构，其保存期限自基金账户销户之日起</w:t>
      </w:r>
      <w:r w:rsidRPr="002C2B23">
        <w:rPr>
          <w:rFonts w:hint="eastAsia"/>
          <w:bCs/>
          <w:sz w:val="24"/>
          <w:lang w:eastAsia="zh-CN"/>
        </w:rPr>
        <w:t>不低于法律法规规定的最低年限</w:t>
      </w:r>
      <w:r w:rsidRPr="002C2B23">
        <w:rPr>
          <w:bCs/>
          <w:sz w:val="24"/>
          <w:lang w:eastAsia="zh-CN"/>
        </w:rPr>
        <w:t>；</w:t>
      </w:r>
    </w:p>
    <w:p w14:paraId="08000225" w14:textId="77777777" w:rsidR="005039DD" w:rsidRPr="002C2B23" w:rsidRDefault="0040620F">
      <w:pPr>
        <w:spacing w:line="360" w:lineRule="auto"/>
        <w:ind w:firstLine="480"/>
        <w:rPr>
          <w:bCs/>
          <w:sz w:val="24"/>
          <w:lang w:eastAsia="zh-CN"/>
        </w:rPr>
      </w:pPr>
      <w:r w:rsidRPr="002C2B23">
        <w:rPr>
          <w:bCs/>
          <w:sz w:val="24"/>
          <w:lang w:eastAsia="zh-CN"/>
        </w:rPr>
        <w:t>4</w:t>
      </w:r>
      <w:r w:rsidRPr="002C2B23">
        <w:rPr>
          <w:bCs/>
          <w:sz w:val="24"/>
          <w:lang w:eastAsia="zh-CN"/>
        </w:rPr>
        <w:t>、对基金份额持有人的基金账户信息负有保密义务，因违反该保密义务对投资者或基金带来的损失，须承担相应的赔偿责任，但司法强制检查情形及法律法规及中国证监会规定的和《基金合同》约定的其他情形除外；</w:t>
      </w:r>
    </w:p>
    <w:p w14:paraId="035EF746" w14:textId="77777777" w:rsidR="005039DD" w:rsidRPr="002C2B23" w:rsidRDefault="0040620F">
      <w:pPr>
        <w:spacing w:line="360" w:lineRule="auto"/>
        <w:ind w:firstLine="480"/>
        <w:rPr>
          <w:bCs/>
          <w:sz w:val="24"/>
          <w:lang w:eastAsia="zh-CN"/>
        </w:rPr>
      </w:pPr>
      <w:r w:rsidRPr="002C2B23">
        <w:rPr>
          <w:bCs/>
          <w:sz w:val="24"/>
          <w:lang w:eastAsia="zh-CN"/>
        </w:rPr>
        <w:t>5</w:t>
      </w:r>
      <w:r w:rsidRPr="002C2B23">
        <w:rPr>
          <w:bCs/>
          <w:sz w:val="24"/>
          <w:lang w:eastAsia="zh-CN"/>
        </w:rPr>
        <w:t>、按《基金合同》及招募说明书规定为投资者办理</w:t>
      </w:r>
      <w:proofErr w:type="gramStart"/>
      <w:r w:rsidRPr="002C2B23">
        <w:rPr>
          <w:bCs/>
          <w:sz w:val="24"/>
          <w:lang w:eastAsia="zh-CN"/>
        </w:rPr>
        <w:t>非交易</w:t>
      </w:r>
      <w:proofErr w:type="gramEnd"/>
      <w:r w:rsidRPr="002C2B23">
        <w:rPr>
          <w:bCs/>
          <w:sz w:val="24"/>
          <w:lang w:eastAsia="zh-CN"/>
        </w:rPr>
        <w:t>过户业务、提供其他必要的服务；</w:t>
      </w:r>
    </w:p>
    <w:p w14:paraId="6D40E3E3" w14:textId="77777777" w:rsidR="005039DD" w:rsidRPr="002C2B23" w:rsidRDefault="0040620F">
      <w:pPr>
        <w:spacing w:line="360" w:lineRule="auto"/>
        <w:ind w:firstLine="480"/>
        <w:rPr>
          <w:bCs/>
          <w:sz w:val="24"/>
          <w:lang w:eastAsia="zh-CN"/>
        </w:rPr>
      </w:pPr>
      <w:r w:rsidRPr="002C2B23">
        <w:rPr>
          <w:bCs/>
          <w:sz w:val="24"/>
          <w:lang w:eastAsia="zh-CN"/>
        </w:rPr>
        <w:t>6</w:t>
      </w:r>
      <w:r w:rsidRPr="002C2B23">
        <w:rPr>
          <w:bCs/>
          <w:sz w:val="24"/>
          <w:lang w:eastAsia="zh-CN"/>
        </w:rPr>
        <w:t>、接受基金管理人的监督；</w:t>
      </w:r>
    </w:p>
    <w:p w14:paraId="6D7362CA" w14:textId="77777777" w:rsidR="005039DD" w:rsidRPr="002C2B23" w:rsidRDefault="0040620F">
      <w:pPr>
        <w:spacing w:line="360" w:lineRule="auto"/>
        <w:ind w:firstLine="480"/>
        <w:rPr>
          <w:bCs/>
          <w:sz w:val="24"/>
          <w:lang w:eastAsia="zh-CN"/>
        </w:rPr>
        <w:sectPr w:rsidR="005039DD" w:rsidRPr="002C2B23">
          <w:pgSz w:w="12240" w:h="15840"/>
          <w:pgMar w:top="1440" w:right="1800" w:bottom="1440" w:left="1800" w:header="720" w:footer="720" w:gutter="0"/>
          <w:cols w:space="720"/>
          <w:docGrid w:linePitch="312"/>
        </w:sectPr>
      </w:pPr>
      <w:r w:rsidRPr="002C2B23">
        <w:rPr>
          <w:bCs/>
          <w:sz w:val="24"/>
          <w:lang w:eastAsia="zh-CN"/>
        </w:rPr>
        <w:t>7</w:t>
      </w:r>
      <w:r w:rsidRPr="002C2B23">
        <w:rPr>
          <w:bCs/>
          <w:sz w:val="24"/>
          <w:lang w:eastAsia="zh-CN"/>
        </w:rPr>
        <w:t>、法律法规及中国证监会规定的和《基金合同》约定的其他义务。</w:t>
      </w:r>
    </w:p>
    <w:p w14:paraId="7EA1CBCD" w14:textId="77777777" w:rsidR="005039DD" w:rsidRPr="002C2B23" w:rsidRDefault="0040620F">
      <w:pPr>
        <w:pStyle w:val="112"/>
        <w:spacing w:before="0" w:after="0"/>
        <w:jc w:val="center"/>
        <w:rPr>
          <w:rFonts w:ascii="Times New Roman"/>
          <w:sz w:val="30"/>
          <w:lang w:eastAsia="zh-CN"/>
        </w:rPr>
      </w:pPr>
      <w:bookmarkStart w:id="291" w:name="_Toc3872"/>
      <w:bookmarkStart w:id="292" w:name="_Toc13343"/>
      <w:bookmarkStart w:id="293" w:name="_Toc22538"/>
      <w:bookmarkStart w:id="294" w:name="_Toc21917"/>
      <w:bookmarkStart w:id="295" w:name="_Toc11395"/>
      <w:bookmarkStart w:id="296" w:name="_Toc2981"/>
      <w:bookmarkStart w:id="297" w:name="_Toc578"/>
      <w:bookmarkStart w:id="298" w:name="_Toc801"/>
      <w:bookmarkStart w:id="299" w:name="_Toc11351"/>
      <w:bookmarkStart w:id="300" w:name="_Toc5477"/>
      <w:bookmarkStart w:id="301" w:name="_Toc109141372"/>
      <w:bookmarkStart w:id="302" w:name="_Toc16437"/>
      <w:r w:rsidRPr="002C2B23">
        <w:rPr>
          <w:rFonts w:ascii="Times New Roman"/>
          <w:sz w:val="30"/>
          <w:lang w:eastAsia="zh-CN"/>
        </w:rPr>
        <w:t>第十二部分</w:t>
      </w:r>
      <w:r w:rsidRPr="002C2B23">
        <w:rPr>
          <w:rFonts w:ascii="Times New Roman"/>
          <w:sz w:val="30"/>
          <w:lang w:eastAsia="zh-CN"/>
        </w:rPr>
        <w:t xml:space="preserve">  </w:t>
      </w:r>
      <w:r w:rsidRPr="002C2B23">
        <w:rPr>
          <w:rFonts w:ascii="Times New Roman"/>
          <w:sz w:val="30"/>
          <w:lang w:eastAsia="zh-CN"/>
        </w:rPr>
        <w:t>基金的投资</w:t>
      </w:r>
      <w:bookmarkEnd w:id="291"/>
      <w:bookmarkEnd w:id="292"/>
      <w:bookmarkEnd w:id="293"/>
      <w:bookmarkEnd w:id="294"/>
      <w:bookmarkEnd w:id="295"/>
      <w:bookmarkEnd w:id="296"/>
      <w:bookmarkEnd w:id="297"/>
      <w:bookmarkEnd w:id="298"/>
      <w:bookmarkEnd w:id="299"/>
      <w:bookmarkEnd w:id="300"/>
      <w:bookmarkEnd w:id="301"/>
      <w:bookmarkEnd w:id="302"/>
    </w:p>
    <w:p w14:paraId="20147162" w14:textId="77777777" w:rsidR="005039DD" w:rsidRPr="002C2B23" w:rsidRDefault="005039DD">
      <w:pPr>
        <w:spacing w:line="360" w:lineRule="auto"/>
        <w:ind w:firstLine="480"/>
        <w:rPr>
          <w:bCs/>
          <w:sz w:val="24"/>
          <w:lang w:eastAsia="zh-CN"/>
        </w:rPr>
      </w:pPr>
    </w:p>
    <w:p w14:paraId="4B4E8475" w14:textId="77777777" w:rsidR="005039DD" w:rsidRPr="002C2B23" w:rsidRDefault="0040620F">
      <w:pPr>
        <w:spacing w:line="360" w:lineRule="auto"/>
        <w:ind w:firstLine="480"/>
        <w:rPr>
          <w:bCs/>
          <w:sz w:val="24"/>
          <w:lang w:eastAsia="zh-CN"/>
        </w:rPr>
      </w:pPr>
      <w:r w:rsidRPr="002C2B23">
        <w:rPr>
          <w:bCs/>
          <w:sz w:val="24"/>
          <w:lang w:eastAsia="zh-CN"/>
        </w:rPr>
        <w:t>一、投资目标</w:t>
      </w:r>
    </w:p>
    <w:p w14:paraId="1E3C5DC3" w14:textId="77777777" w:rsidR="005039DD" w:rsidRPr="002C2B23" w:rsidRDefault="0040620F">
      <w:pPr>
        <w:spacing w:line="360" w:lineRule="auto"/>
        <w:ind w:firstLine="480"/>
        <w:rPr>
          <w:bCs/>
          <w:color w:val="000000"/>
          <w:sz w:val="24"/>
          <w:lang w:eastAsia="zh-CN"/>
        </w:rPr>
      </w:pPr>
      <w:r w:rsidRPr="002C2B23">
        <w:rPr>
          <w:rFonts w:hint="eastAsia"/>
          <w:bCs/>
          <w:color w:val="000000"/>
          <w:sz w:val="24"/>
          <w:lang w:eastAsia="zh-CN"/>
        </w:rPr>
        <w:t>本基金通过精选个股，在有效控制下行风险的前提下，追求超越业绩比较基准的投资回报，力争实现基金资产长期稳健增值。</w:t>
      </w:r>
    </w:p>
    <w:p w14:paraId="0CE5D2D7" w14:textId="77777777" w:rsidR="005039DD" w:rsidRPr="002C2B23" w:rsidRDefault="005039DD">
      <w:pPr>
        <w:spacing w:line="360" w:lineRule="auto"/>
        <w:ind w:firstLine="480"/>
        <w:rPr>
          <w:bCs/>
          <w:color w:val="000000"/>
          <w:sz w:val="24"/>
          <w:lang w:eastAsia="zh-CN"/>
        </w:rPr>
      </w:pPr>
    </w:p>
    <w:p w14:paraId="67D64324" w14:textId="77777777" w:rsidR="005039DD" w:rsidRPr="002C2B23" w:rsidRDefault="0040620F">
      <w:pPr>
        <w:spacing w:line="360" w:lineRule="auto"/>
        <w:ind w:firstLine="480"/>
        <w:rPr>
          <w:bCs/>
          <w:sz w:val="24"/>
          <w:lang w:eastAsia="zh-CN"/>
        </w:rPr>
      </w:pPr>
      <w:bookmarkStart w:id="303" w:name="_Hlk96415852"/>
      <w:r w:rsidRPr="002C2B23">
        <w:rPr>
          <w:bCs/>
          <w:sz w:val="24"/>
          <w:lang w:eastAsia="zh-CN"/>
        </w:rPr>
        <w:t>二、投资范围</w:t>
      </w:r>
    </w:p>
    <w:p w14:paraId="21DAAF65" w14:textId="5C7CC1C3" w:rsidR="005039DD" w:rsidRPr="002C2B23" w:rsidRDefault="0040620F">
      <w:pPr>
        <w:spacing w:line="360" w:lineRule="auto"/>
        <w:ind w:firstLine="480"/>
        <w:rPr>
          <w:bCs/>
          <w:sz w:val="24"/>
          <w:lang w:eastAsia="zh-CN"/>
        </w:rPr>
      </w:pPr>
      <w:r w:rsidRPr="002C2B23">
        <w:rPr>
          <w:rFonts w:hint="eastAsia"/>
          <w:bCs/>
          <w:sz w:val="24"/>
          <w:lang w:eastAsia="zh-CN"/>
        </w:rPr>
        <w:t>本基金的投资范围为具有良好流动性的金融工具，包括国内依法发行上市的股票（包括主板、创业板</w:t>
      </w:r>
      <w:r w:rsidR="00E27DF0" w:rsidRPr="002C2B23">
        <w:rPr>
          <w:rFonts w:hint="eastAsia"/>
          <w:bCs/>
          <w:sz w:val="24"/>
          <w:lang w:eastAsia="zh-CN"/>
        </w:rPr>
        <w:t>、</w:t>
      </w:r>
      <w:proofErr w:type="gramStart"/>
      <w:r w:rsidR="00E27DF0" w:rsidRPr="002C2B23">
        <w:rPr>
          <w:rFonts w:hint="eastAsia"/>
          <w:bCs/>
          <w:sz w:val="24"/>
          <w:lang w:eastAsia="zh-CN"/>
        </w:rPr>
        <w:t>科创板</w:t>
      </w:r>
      <w:proofErr w:type="gramEnd"/>
      <w:r w:rsidR="00E27DF0" w:rsidRPr="002C2B23">
        <w:rPr>
          <w:rFonts w:hint="eastAsia"/>
          <w:bCs/>
          <w:sz w:val="24"/>
          <w:lang w:eastAsia="zh-CN"/>
        </w:rPr>
        <w:t>、北京证券交易所股票</w:t>
      </w:r>
      <w:r w:rsidRPr="002C2B23">
        <w:rPr>
          <w:rFonts w:hint="eastAsia"/>
          <w:bCs/>
          <w:sz w:val="24"/>
          <w:lang w:eastAsia="zh-CN"/>
        </w:rPr>
        <w:t>及其他中国证监会允许基金投资的股票、存托凭证）、港股通标的股票（包括沪港</w:t>
      </w:r>
      <w:proofErr w:type="gramStart"/>
      <w:r w:rsidRPr="002C2B23">
        <w:rPr>
          <w:rFonts w:hint="eastAsia"/>
          <w:bCs/>
          <w:sz w:val="24"/>
          <w:lang w:eastAsia="zh-CN"/>
        </w:rPr>
        <w:t>通股票</w:t>
      </w:r>
      <w:proofErr w:type="gramEnd"/>
      <w:r w:rsidRPr="002C2B23">
        <w:rPr>
          <w:rFonts w:hint="eastAsia"/>
          <w:bCs/>
          <w:sz w:val="24"/>
          <w:lang w:eastAsia="zh-CN"/>
        </w:rPr>
        <w:t>及深港通股票）、债券（包括国内依法发行和上市交易的国债、金融债、企业债、公司债、公开发行的次级债、地方政府债券、可转换债券、分离交易可转债</w:t>
      </w:r>
      <w:proofErr w:type="gramStart"/>
      <w:r w:rsidRPr="002C2B23">
        <w:rPr>
          <w:rFonts w:hint="eastAsia"/>
          <w:bCs/>
          <w:sz w:val="24"/>
          <w:lang w:eastAsia="zh-CN"/>
        </w:rPr>
        <w:t>的纯债部分</w:t>
      </w:r>
      <w:proofErr w:type="gramEnd"/>
      <w:r w:rsidRPr="002C2B23">
        <w:rPr>
          <w:rFonts w:hint="eastAsia"/>
          <w:bCs/>
          <w:sz w:val="24"/>
          <w:lang w:eastAsia="zh-CN"/>
        </w:rPr>
        <w:t>、可交换债、央行票据、中期票据、短期融资</w:t>
      </w:r>
      <w:proofErr w:type="gramStart"/>
      <w:r w:rsidRPr="002C2B23">
        <w:rPr>
          <w:rFonts w:hint="eastAsia"/>
          <w:bCs/>
          <w:sz w:val="24"/>
          <w:lang w:eastAsia="zh-CN"/>
        </w:rPr>
        <w:t>券</w:t>
      </w:r>
      <w:proofErr w:type="gramEnd"/>
      <w:r w:rsidRPr="002C2B23">
        <w:rPr>
          <w:rFonts w:hint="eastAsia"/>
          <w:bCs/>
          <w:sz w:val="24"/>
          <w:lang w:eastAsia="zh-CN"/>
        </w:rPr>
        <w:t>、超短期融资</w:t>
      </w:r>
      <w:proofErr w:type="gramStart"/>
      <w:r w:rsidRPr="002C2B23">
        <w:rPr>
          <w:rFonts w:hint="eastAsia"/>
          <w:bCs/>
          <w:sz w:val="24"/>
          <w:lang w:eastAsia="zh-CN"/>
        </w:rPr>
        <w:t>券</w:t>
      </w:r>
      <w:proofErr w:type="gramEnd"/>
      <w:r w:rsidRPr="002C2B23">
        <w:rPr>
          <w:rFonts w:hint="eastAsia"/>
          <w:bCs/>
          <w:sz w:val="24"/>
          <w:lang w:eastAsia="zh-CN"/>
        </w:rPr>
        <w:t>）、资产支持证券、债券回购、货币市场工具、同业存单、银行存款（包括协议存款、定期存款及其他银行存款）、衍生工具（股指期货、国债期货、股票期权）以及法律法规或中国证监会允许基金投资的其他金融工具（但须符合中国证监会的相关规定）。</w:t>
      </w:r>
    </w:p>
    <w:p w14:paraId="3A9D4622" w14:textId="77777777" w:rsidR="005039DD" w:rsidRPr="002C2B23" w:rsidRDefault="0040620F">
      <w:pPr>
        <w:spacing w:line="360" w:lineRule="auto"/>
        <w:ind w:firstLine="480"/>
        <w:rPr>
          <w:bCs/>
          <w:sz w:val="24"/>
          <w:lang w:eastAsia="zh-CN"/>
        </w:rPr>
      </w:pPr>
      <w:r w:rsidRPr="002C2B23">
        <w:rPr>
          <w:rFonts w:hint="eastAsia"/>
          <w:bCs/>
          <w:sz w:val="24"/>
          <w:lang w:eastAsia="zh-CN"/>
        </w:rPr>
        <w:t>如法律法规或监管机构以后允许基金投资其他品种，基金管理人在履行适当程序后，可以将其纳入投资范围，并可依据届时有效的法律法规适时合理地调整投资范围。</w:t>
      </w:r>
    </w:p>
    <w:p w14:paraId="3E984A03" w14:textId="77777777" w:rsidR="005039DD" w:rsidRPr="002C2B23" w:rsidRDefault="0040620F">
      <w:pPr>
        <w:spacing w:line="360" w:lineRule="auto"/>
        <w:ind w:firstLine="480"/>
        <w:rPr>
          <w:bCs/>
          <w:sz w:val="24"/>
          <w:lang w:eastAsia="zh-CN"/>
        </w:rPr>
      </w:pPr>
      <w:r w:rsidRPr="002C2B23">
        <w:rPr>
          <w:rFonts w:hint="eastAsia"/>
          <w:bCs/>
          <w:sz w:val="24"/>
          <w:lang w:eastAsia="zh-CN"/>
        </w:rPr>
        <w:t>基金的投资组合比例为：本基金投资组合中股票资产投资比例为基金资产的</w:t>
      </w:r>
      <w:r w:rsidRPr="002C2B23">
        <w:rPr>
          <w:rFonts w:hint="eastAsia"/>
          <w:bCs/>
          <w:sz w:val="24"/>
          <w:lang w:eastAsia="zh-CN"/>
        </w:rPr>
        <w:t>60%-95%</w:t>
      </w:r>
      <w:r w:rsidRPr="002C2B23">
        <w:rPr>
          <w:rFonts w:hint="eastAsia"/>
          <w:bCs/>
          <w:sz w:val="24"/>
          <w:lang w:eastAsia="zh-CN"/>
        </w:rPr>
        <w:t>，投资于港股通标的股票比例不超过股票资产的</w:t>
      </w:r>
      <w:r w:rsidRPr="002C2B23">
        <w:rPr>
          <w:rFonts w:hint="eastAsia"/>
          <w:bCs/>
          <w:sz w:val="24"/>
          <w:lang w:eastAsia="zh-CN"/>
        </w:rPr>
        <w:t>50%</w:t>
      </w:r>
      <w:r w:rsidRPr="002C2B23">
        <w:rPr>
          <w:rFonts w:hint="eastAsia"/>
          <w:bCs/>
          <w:sz w:val="24"/>
          <w:lang w:eastAsia="zh-CN"/>
        </w:rPr>
        <w:t>；本基金每个交易日日终在扣除股指期货、国债期货、股票期权合约需缴纳的交易保证金后，保持现金或者到期日在一年以内的政府债券投资比例合计不低于基金资产净值的</w:t>
      </w:r>
      <w:r w:rsidRPr="002C2B23">
        <w:rPr>
          <w:rFonts w:hint="eastAsia"/>
          <w:bCs/>
          <w:sz w:val="24"/>
          <w:lang w:eastAsia="zh-CN"/>
        </w:rPr>
        <w:t>5%</w:t>
      </w:r>
      <w:r w:rsidRPr="002C2B23">
        <w:rPr>
          <w:rFonts w:hint="eastAsia"/>
          <w:bCs/>
          <w:sz w:val="24"/>
          <w:lang w:eastAsia="zh-CN"/>
        </w:rPr>
        <w:t>，其中现金不包括结算备付金、存出保证金、应收申购款等。</w:t>
      </w:r>
    </w:p>
    <w:p w14:paraId="735C2FC0" w14:textId="77777777" w:rsidR="005039DD" w:rsidRPr="002C2B23" w:rsidRDefault="0040620F">
      <w:pPr>
        <w:spacing w:line="360" w:lineRule="auto"/>
        <w:ind w:firstLine="480"/>
        <w:rPr>
          <w:bCs/>
          <w:sz w:val="24"/>
          <w:lang w:eastAsia="zh-CN"/>
        </w:rPr>
      </w:pPr>
      <w:r w:rsidRPr="002C2B23">
        <w:rPr>
          <w:rFonts w:hint="eastAsia"/>
          <w:bCs/>
          <w:sz w:val="24"/>
          <w:lang w:eastAsia="zh-CN"/>
        </w:rPr>
        <w:t>如法律法规或中国证监会变更投资品种的投资比例限制，基金管理人在履行适当程序后，可以调整上述投资品种的投资比例。</w:t>
      </w:r>
    </w:p>
    <w:p w14:paraId="32A0D0B6" w14:textId="77777777" w:rsidR="005039DD" w:rsidRPr="002C2B23" w:rsidRDefault="005039DD">
      <w:pPr>
        <w:spacing w:line="360" w:lineRule="auto"/>
        <w:ind w:firstLine="480"/>
        <w:rPr>
          <w:bCs/>
          <w:sz w:val="24"/>
          <w:lang w:eastAsia="zh-CN"/>
        </w:rPr>
      </w:pPr>
    </w:p>
    <w:bookmarkEnd w:id="303"/>
    <w:p w14:paraId="5E73A89D" w14:textId="77777777" w:rsidR="005039DD" w:rsidRPr="002C2B23" w:rsidRDefault="0040620F">
      <w:pPr>
        <w:spacing w:line="360" w:lineRule="auto"/>
        <w:ind w:firstLine="480"/>
        <w:rPr>
          <w:bCs/>
          <w:sz w:val="24"/>
          <w:lang w:eastAsia="zh-CN"/>
        </w:rPr>
      </w:pPr>
      <w:r w:rsidRPr="002C2B23">
        <w:rPr>
          <w:bCs/>
          <w:sz w:val="24"/>
          <w:lang w:eastAsia="zh-CN"/>
        </w:rPr>
        <w:t>三、投资策略</w:t>
      </w:r>
    </w:p>
    <w:p w14:paraId="1618685A" w14:textId="77777777" w:rsidR="005039DD" w:rsidRPr="002C2B23" w:rsidRDefault="0040620F">
      <w:pPr>
        <w:spacing w:line="360" w:lineRule="auto"/>
        <w:ind w:firstLine="480"/>
        <w:rPr>
          <w:rFonts w:ascii="宋体" w:hAnsi="宋体"/>
          <w:bCs/>
          <w:sz w:val="24"/>
          <w:lang w:eastAsia="zh-CN"/>
        </w:rPr>
      </w:pPr>
      <w:r w:rsidRPr="002C2B23">
        <w:rPr>
          <w:rFonts w:ascii="宋体" w:hAnsi="宋体" w:hint="eastAsia"/>
          <w:bCs/>
          <w:sz w:val="24"/>
          <w:lang w:eastAsia="zh-CN"/>
        </w:rPr>
        <w:t>1、资产配置策略</w:t>
      </w:r>
    </w:p>
    <w:p w14:paraId="41680BF4" w14:textId="77777777" w:rsidR="005039DD" w:rsidRPr="002C2B23" w:rsidRDefault="0040620F">
      <w:pPr>
        <w:spacing w:line="360" w:lineRule="auto"/>
        <w:ind w:firstLine="480"/>
        <w:rPr>
          <w:rFonts w:ascii="宋体" w:hAnsi="宋体"/>
          <w:bCs/>
          <w:sz w:val="24"/>
          <w:lang w:eastAsia="zh-CN"/>
        </w:rPr>
      </w:pPr>
      <w:r w:rsidRPr="002C2B23">
        <w:rPr>
          <w:rFonts w:ascii="宋体" w:hAnsi="宋体" w:hint="eastAsia"/>
          <w:bCs/>
          <w:sz w:val="24"/>
          <w:lang w:eastAsia="zh-CN"/>
        </w:rPr>
        <w:t>本基金采用定量与定性相结合的分析方法，从宏观经济环境、政策因素、市场利率水平、资金供求因素、市场投资价值等方面，对股票、债券和货币市场工具等大类资产投资比例做出调整，有效控制基金资产运作风险，追求基金资产的长期稳定回报。</w:t>
      </w:r>
    </w:p>
    <w:p w14:paraId="4F9F5F83" w14:textId="77777777" w:rsidR="005039DD" w:rsidRPr="002C2B23" w:rsidRDefault="0040620F">
      <w:pPr>
        <w:spacing w:line="360" w:lineRule="auto"/>
        <w:ind w:firstLine="480"/>
        <w:rPr>
          <w:rFonts w:ascii="宋体" w:hAnsi="宋体"/>
          <w:bCs/>
          <w:sz w:val="24"/>
          <w:lang w:eastAsia="zh-CN"/>
        </w:rPr>
      </w:pPr>
      <w:r w:rsidRPr="002C2B23">
        <w:rPr>
          <w:rFonts w:ascii="宋体" w:hAnsi="宋体" w:hint="eastAsia"/>
          <w:bCs/>
          <w:sz w:val="24"/>
          <w:lang w:eastAsia="zh-CN"/>
        </w:rPr>
        <w:t>2、</w:t>
      </w:r>
      <w:r w:rsidRPr="002C2B23">
        <w:rPr>
          <w:rFonts w:ascii="宋体" w:hAnsi="宋体" w:hint="eastAsia"/>
          <w:bCs/>
          <w:sz w:val="24"/>
          <w:lang w:eastAsia="zh-CN"/>
        </w:rPr>
        <w:tab/>
        <w:t>股票投资策略</w:t>
      </w:r>
    </w:p>
    <w:p w14:paraId="3020168F" w14:textId="77777777" w:rsidR="005039DD" w:rsidRPr="002C2B23" w:rsidRDefault="0040620F">
      <w:pPr>
        <w:spacing w:line="360" w:lineRule="auto"/>
        <w:ind w:firstLine="480"/>
        <w:rPr>
          <w:rFonts w:ascii="宋体" w:hAnsi="宋体"/>
          <w:bCs/>
          <w:sz w:val="24"/>
          <w:lang w:eastAsia="zh-CN"/>
        </w:rPr>
      </w:pPr>
      <w:r w:rsidRPr="002C2B23">
        <w:rPr>
          <w:rFonts w:ascii="宋体" w:hAnsi="宋体" w:hint="eastAsia"/>
          <w:bCs/>
          <w:sz w:val="24"/>
          <w:lang w:eastAsia="zh-CN"/>
        </w:rPr>
        <w:t>本基金股票投资以定性和定量分析为基础，从基本面分析入手。根据个股的估值水平，重点配置</w:t>
      </w:r>
      <w:proofErr w:type="gramStart"/>
      <w:r w:rsidRPr="002C2B23">
        <w:rPr>
          <w:rFonts w:ascii="宋体" w:hAnsi="宋体" w:hint="eastAsia"/>
          <w:bCs/>
          <w:sz w:val="24"/>
          <w:lang w:eastAsia="zh-CN"/>
        </w:rPr>
        <w:t>当前业绩</w:t>
      </w:r>
      <w:proofErr w:type="gramEnd"/>
      <w:r w:rsidRPr="002C2B23">
        <w:rPr>
          <w:rFonts w:ascii="宋体" w:hAnsi="宋体" w:hint="eastAsia"/>
          <w:bCs/>
          <w:sz w:val="24"/>
          <w:lang w:eastAsia="zh-CN"/>
        </w:rPr>
        <w:t>优良、市场认同度较高、在可预见的未来其行业处于景气周期中的股票。</w:t>
      </w:r>
    </w:p>
    <w:p w14:paraId="5A0E29FD" w14:textId="77777777" w:rsidR="005039DD" w:rsidRPr="002C2B23" w:rsidRDefault="0040620F">
      <w:pPr>
        <w:spacing w:line="360" w:lineRule="auto"/>
        <w:ind w:firstLine="480"/>
        <w:rPr>
          <w:rFonts w:ascii="宋体" w:hAnsi="宋体"/>
          <w:bCs/>
          <w:sz w:val="24"/>
          <w:lang w:eastAsia="zh-CN"/>
        </w:rPr>
      </w:pPr>
      <w:r w:rsidRPr="002C2B23">
        <w:rPr>
          <w:rFonts w:ascii="宋体" w:hAnsi="宋体" w:hint="eastAsia"/>
          <w:bCs/>
          <w:sz w:val="24"/>
          <w:lang w:eastAsia="zh-CN"/>
        </w:rPr>
        <w:t>（1）自上而下的行业配置</w:t>
      </w:r>
    </w:p>
    <w:p w14:paraId="6C6DB808" w14:textId="77777777" w:rsidR="005039DD" w:rsidRPr="002C2B23" w:rsidRDefault="0040620F">
      <w:pPr>
        <w:spacing w:line="360" w:lineRule="auto"/>
        <w:ind w:firstLine="480"/>
        <w:rPr>
          <w:rFonts w:ascii="宋体" w:hAnsi="宋体"/>
          <w:bCs/>
          <w:sz w:val="24"/>
          <w:lang w:eastAsia="zh-CN"/>
        </w:rPr>
      </w:pPr>
      <w:r w:rsidRPr="002C2B23">
        <w:rPr>
          <w:rFonts w:ascii="宋体" w:hAnsi="宋体" w:hint="eastAsia"/>
          <w:bCs/>
          <w:sz w:val="24"/>
          <w:lang w:eastAsia="zh-CN"/>
        </w:rPr>
        <w:t>本基金在股票投资中注重自上而下的行业配置，即以行业估值为基础，以行业基本面趋势变化为契机，结合国家产业政策的导向，在备选行业之间合理配置基金资产。</w:t>
      </w:r>
    </w:p>
    <w:p w14:paraId="483A050A" w14:textId="77777777" w:rsidR="005039DD" w:rsidRPr="002C2B23" w:rsidRDefault="0040620F">
      <w:pPr>
        <w:spacing w:line="360" w:lineRule="auto"/>
        <w:ind w:firstLine="480"/>
        <w:rPr>
          <w:rFonts w:ascii="宋体" w:hAnsi="宋体"/>
          <w:bCs/>
          <w:sz w:val="24"/>
          <w:lang w:eastAsia="zh-CN"/>
        </w:rPr>
      </w:pPr>
      <w:r w:rsidRPr="002C2B23">
        <w:rPr>
          <w:rFonts w:ascii="宋体" w:hAnsi="宋体" w:hint="eastAsia"/>
          <w:bCs/>
          <w:sz w:val="24"/>
          <w:lang w:eastAsia="zh-CN"/>
        </w:rPr>
        <w:t>（2）个股投资策略</w:t>
      </w:r>
    </w:p>
    <w:p w14:paraId="74E02D77" w14:textId="77777777" w:rsidR="005039DD" w:rsidRPr="002C2B23" w:rsidRDefault="0040620F">
      <w:pPr>
        <w:spacing w:line="360" w:lineRule="auto"/>
        <w:ind w:firstLine="480"/>
        <w:rPr>
          <w:rFonts w:ascii="宋体" w:hAnsi="宋体"/>
          <w:bCs/>
          <w:sz w:val="24"/>
          <w:lang w:eastAsia="zh-CN"/>
        </w:rPr>
      </w:pPr>
      <w:r w:rsidRPr="002C2B23">
        <w:rPr>
          <w:rFonts w:ascii="宋体" w:hAnsi="宋体" w:hint="eastAsia"/>
          <w:bCs/>
          <w:sz w:val="24"/>
          <w:lang w:eastAsia="zh-CN"/>
        </w:rPr>
        <w:t>本基金管理人首先从上市公司的经营状况、行业特征、驱动因素及同业比较等定性方面对个股进行基本面研究，然后考察定量指标（如单季主营收入增速、单季净利润增速、单季毛利率、单季净利率、单季度ROE、年度主营收入增速、年度净利润增速、年度毛利率、年度净利率、年度ROE等财务指标及BP、EP、CFP等估值指标），进行深入的分析评价，选取具有持续经营能力的上市公司。</w:t>
      </w:r>
    </w:p>
    <w:p w14:paraId="573D3074" w14:textId="77777777" w:rsidR="005039DD" w:rsidRPr="002C2B23" w:rsidRDefault="0040620F">
      <w:pPr>
        <w:spacing w:line="360" w:lineRule="auto"/>
        <w:ind w:firstLine="480"/>
        <w:rPr>
          <w:rFonts w:ascii="宋体" w:hAnsi="宋体"/>
          <w:bCs/>
          <w:sz w:val="24"/>
          <w:lang w:eastAsia="zh-CN"/>
        </w:rPr>
      </w:pPr>
      <w:r w:rsidRPr="002C2B23">
        <w:rPr>
          <w:rFonts w:ascii="宋体" w:hAnsi="宋体" w:hint="eastAsia"/>
          <w:bCs/>
          <w:sz w:val="24"/>
          <w:lang w:eastAsia="zh-CN"/>
        </w:rPr>
        <w:t>3、港股投资策略</w:t>
      </w:r>
    </w:p>
    <w:p w14:paraId="6178C6A7" w14:textId="77777777" w:rsidR="005039DD" w:rsidRPr="002C2B23" w:rsidRDefault="0040620F">
      <w:pPr>
        <w:spacing w:line="360" w:lineRule="auto"/>
        <w:ind w:firstLine="480"/>
        <w:rPr>
          <w:rFonts w:ascii="宋体" w:hAnsi="宋体"/>
          <w:bCs/>
          <w:sz w:val="24"/>
          <w:lang w:eastAsia="zh-CN"/>
        </w:rPr>
      </w:pPr>
      <w:r w:rsidRPr="002C2B23">
        <w:rPr>
          <w:rFonts w:ascii="宋体" w:hAnsi="宋体" w:hint="eastAsia"/>
          <w:bCs/>
          <w:sz w:val="24"/>
          <w:lang w:eastAsia="zh-CN"/>
        </w:rPr>
        <w:t>考虑到香港股票市场与A股股票市场的差异，对于港股通股票，本基金除按照上述个股精选策略，还将结合公司基本面、国内经济和相关行业发展前景、香港市场资金面和投资者行为，以及世界主要经济体经济发展前景和货币政策、主流资本市场对投资者的相对吸引力等因素，精选符合本基金投资目标的港股通股票。</w:t>
      </w:r>
    </w:p>
    <w:p w14:paraId="7169DFD0" w14:textId="77777777" w:rsidR="005039DD" w:rsidRPr="002C2B23" w:rsidRDefault="0040620F">
      <w:pPr>
        <w:spacing w:line="360" w:lineRule="auto"/>
        <w:ind w:firstLine="480"/>
        <w:rPr>
          <w:rFonts w:ascii="宋体" w:hAnsi="宋体"/>
          <w:bCs/>
          <w:sz w:val="24"/>
          <w:lang w:eastAsia="zh-CN"/>
        </w:rPr>
      </w:pPr>
      <w:r w:rsidRPr="002C2B23">
        <w:rPr>
          <w:rFonts w:ascii="宋体" w:hAnsi="宋体" w:hint="eastAsia"/>
          <w:bCs/>
          <w:sz w:val="24"/>
          <w:lang w:eastAsia="zh-CN"/>
        </w:rPr>
        <w:t>4、存托凭证投资策略</w:t>
      </w:r>
    </w:p>
    <w:p w14:paraId="05BC2507" w14:textId="77777777" w:rsidR="005039DD" w:rsidRPr="002C2B23" w:rsidRDefault="0040620F">
      <w:pPr>
        <w:spacing w:line="360" w:lineRule="auto"/>
        <w:ind w:firstLine="480"/>
        <w:rPr>
          <w:rFonts w:ascii="宋体" w:hAnsi="宋体"/>
          <w:bCs/>
          <w:sz w:val="24"/>
          <w:lang w:eastAsia="zh-CN"/>
        </w:rPr>
      </w:pPr>
      <w:r w:rsidRPr="002C2B23">
        <w:rPr>
          <w:rFonts w:ascii="宋体" w:hAnsi="宋体" w:hint="eastAsia"/>
          <w:bCs/>
          <w:sz w:val="24"/>
          <w:lang w:eastAsia="zh-CN"/>
        </w:rPr>
        <w:t>本基金可投资存托凭证，将结合对宏观经济状况、行业景气度、公司竞争优势、公司治理结构、估值水平等因素的分析判断，选择投资价值高的存托凭证进行投资。本基金可根据投资策略需要或不同市场环境的变化，选择将部分基金资产投资于存托凭证或选择不将基金资产投资于存托凭证，基金资产并非必然参与存托凭证投资。</w:t>
      </w:r>
    </w:p>
    <w:p w14:paraId="1DE537C4" w14:textId="77777777" w:rsidR="005039DD" w:rsidRPr="002C2B23" w:rsidRDefault="0040620F">
      <w:pPr>
        <w:spacing w:line="360" w:lineRule="auto"/>
        <w:ind w:firstLine="480"/>
        <w:rPr>
          <w:rFonts w:ascii="宋体" w:hAnsi="宋体"/>
          <w:bCs/>
          <w:sz w:val="24"/>
          <w:lang w:eastAsia="zh-CN"/>
        </w:rPr>
      </w:pPr>
      <w:r w:rsidRPr="002C2B23">
        <w:rPr>
          <w:rFonts w:ascii="宋体" w:hAnsi="宋体" w:hint="eastAsia"/>
          <w:bCs/>
          <w:sz w:val="24"/>
          <w:lang w:eastAsia="zh-CN"/>
        </w:rPr>
        <w:t>5、债券类资产投资策略</w:t>
      </w:r>
    </w:p>
    <w:p w14:paraId="7D9912D8" w14:textId="77777777" w:rsidR="005039DD" w:rsidRPr="002C2B23" w:rsidRDefault="0040620F">
      <w:pPr>
        <w:spacing w:line="360" w:lineRule="auto"/>
        <w:ind w:firstLine="480"/>
        <w:rPr>
          <w:rFonts w:ascii="宋体" w:hAnsi="宋体"/>
          <w:bCs/>
          <w:sz w:val="24"/>
          <w:lang w:eastAsia="zh-CN"/>
        </w:rPr>
      </w:pPr>
      <w:r w:rsidRPr="002C2B23">
        <w:rPr>
          <w:rFonts w:ascii="宋体" w:hAnsi="宋体" w:hint="eastAsia"/>
          <w:bCs/>
          <w:sz w:val="24"/>
          <w:lang w:eastAsia="zh-CN"/>
        </w:rPr>
        <w:t>本基金通过对国内外宏观经济态势、利率走势、收益率曲线变化趋势和信用风险变化等因素进行综合分析，构建和调整固定收益证券投资组合，力求获得稳健的投资收益。</w:t>
      </w:r>
    </w:p>
    <w:p w14:paraId="7474F4F5" w14:textId="77777777" w:rsidR="005039DD" w:rsidRPr="002C2B23" w:rsidRDefault="0040620F">
      <w:pPr>
        <w:spacing w:line="360" w:lineRule="auto"/>
        <w:ind w:firstLine="480"/>
        <w:rPr>
          <w:rFonts w:ascii="宋体" w:hAnsi="宋体"/>
          <w:bCs/>
          <w:sz w:val="24"/>
          <w:lang w:eastAsia="zh-CN"/>
        </w:rPr>
      </w:pPr>
      <w:r w:rsidRPr="002C2B23">
        <w:rPr>
          <w:rFonts w:ascii="宋体" w:hAnsi="宋体" w:hint="eastAsia"/>
          <w:bCs/>
          <w:sz w:val="24"/>
          <w:lang w:eastAsia="zh-CN"/>
        </w:rPr>
        <w:t>（1）</w:t>
      </w:r>
      <w:proofErr w:type="gramStart"/>
      <w:r w:rsidRPr="002C2B23">
        <w:rPr>
          <w:rFonts w:ascii="宋体" w:hAnsi="宋体" w:hint="eastAsia"/>
          <w:bCs/>
          <w:sz w:val="24"/>
          <w:lang w:eastAsia="zh-CN"/>
        </w:rPr>
        <w:t>久期配置</w:t>
      </w:r>
      <w:proofErr w:type="gramEnd"/>
      <w:r w:rsidRPr="002C2B23">
        <w:rPr>
          <w:rFonts w:ascii="宋体" w:hAnsi="宋体" w:hint="eastAsia"/>
          <w:bCs/>
          <w:sz w:val="24"/>
          <w:lang w:eastAsia="zh-CN"/>
        </w:rPr>
        <w:t>策略</w:t>
      </w:r>
    </w:p>
    <w:p w14:paraId="45E64B06" w14:textId="77777777" w:rsidR="005039DD" w:rsidRPr="002C2B23" w:rsidRDefault="0040620F">
      <w:pPr>
        <w:spacing w:line="360" w:lineRule="auto"/>
        <w:ind w:firstLine="480"/>
        <w:rPr>
          <w:rFonts w:ascii="宋体" w:hAnsi="宋体"/>
          <w:bCs/>
          <w:sz w:val="24"/>
          <w:lang w:eastAsia="zh-CN"/>
        </w:rPr>
      </w:pPr>
      <w:r w:rsidRPr="002C2B23">
        <w:rPr>
          <w:rFonts w:ascii="宋体" w:hAnsi="宋体" w:hint="eastAsia"/>
          <w:bCs/>
          <w:sz w:val="24"/>
          <w:lang w:eastAsia="zh-CN"/>
        </w:rPr>
        <w:t>本基金将考察市场利率的动态变化及预期变化，对引起利率变化的相关因进行跟踪和分析，进而对债券组合</w:t>
      </w:r>
      <w:proofErr w:type="gramStart"/>
      <w:r w:rsidRPr="002C2B23">
        <w:rPr>
          <w:rFonts w:ascii="宋体" w:hAnsi="宋体" w:hint="eastAsia"/>
          <w:bCs/>
          <w:sz w:val="24"/>
          <w:lang w:eastAsia="zh-CN"/>
        </w:rPr>
        <w:t>的久期和</w:t>
      </w:r>
      <w:proofErr w:type="gramEnd"/>
      <w:r w:rsidRPr="002C2B23">
        <w:rPr>
          <w:rFonts w:ascii="宋体" w:hAnsi="宋体" w:hint="eastAsia"/>
          <w:bCs/>
          <w:sz w:val="24"/>
          <w:lang w:eastAsia="zh-CN"/>
        </w:rPr>
        <w:t>持仓结构制定相应的调整方案，以降低利率变动对组合带来的影响。基金管理人的固定收益团队将定期对利率期限结构进行预判，制定相应</w:t>
      </w:r>
      <w:proofErr w:type="gramStart"/>
      <w:r w:rsidRPr="002C2B23">
        <w:rPr>
          <w:rFonts w:ascii="宋体" w:hAnsi="宋体" w:hint="eastAsia"/>
          <w:bCs/>
          <w:sz w:val="24"/>
          <w:lang w:eastAsia="zh-CN"/>
        </w:rPr>
        <w:t>的久期目标</w:t>
      </w:r>
      <w:proofErr w:type="gramEnd"/>
      <w:r w:rsidRPr="002C2B23">
        <w:rPr>
          <w:rFonts w:ascii="宋体" w:hAnsi="宋体" w:hint="eastAsia"/>
          <w:bCs/>
          <w:sz w:val="24"/>
          <w:lang w:eastAsia="zh-CN"/>
        </w:rPr>
        <w:t>，当预期市场利率水平将上升时，适当降低组合的久期；预期市场利率将下降时，适当提高组合的久期。以达到利用市场利率的波动和债券</w:t>
      </w:r>
      <w:proofErr w:type="gramStart"/>
      <w:r w:rsidRPr="002C2B23">
        <w:rPr>
          <w:rFonts w:ascii="宋体" w:hAnsi="宋体" w:hint="eastAsia"/>
          <w:bCs/>
          <w:sz w:val="24"/>
          <w:lang w:eastAsia="zh-CN"/>
        </w:rPr>
        <w:t>组合久期的</w:t>
      </w:r>
      <w:proofErr w:type="gramEnd"/>
      <w:r w:rsidRPr="002C2B23">
        <w:rPr>
          <w:rFonts w:ascii="宋体" w:hAnsi="宋体" w:hint="eastAsia"/>
          <w:bCs/>
          <w:sz w:val="24"/>
          <w:lang w:eastAsia="zh-CN"/>
        </w:rPr>
        <w:t>调整提高债券组合收益率目的。</w:t>
      </w:r>
    </w:p>
    <w:p w14:paraId="2ED8EDF0" w14:textId="77777777" w:rsidR="005039DD" w:rsidRPr="002C2B23" w:rsidRDefault="0040620F">
      <w:pPr>
        <w:spacing w:line="360" w:lineRule="auto"/>
        <w:ind w:firstLine="480"/>
        <w:rPr>
          <w:rFonts w:ascii="宋体" w:hAnsi="宋体"/>
          <w:bCs/>
          <w:sz w:val="24"/>
          <w:lang w:eastAsia="zh-CN"/>
        </w:rPr>
      </w:pPr>
      <w:r w:rsidRPr="002C2B23">
        <w:rPr>
          <w:rFonts w:ascii="宋体" w:hAnsi="宋体" w:hint="eastAsia"/>
          <w:bCs/>
          <w:sz w:val="24"/>
          <w:lang w:eastAsia="zh-CN"/>
        </w:rPr>
        <w:t>（2）</w:t>
      </w:r>
      <w:proofErr w:type="gramStart"/>
      <w:r w:rsidRPr="002C2B23">
        <w:rPr>
          <w:rFonts w:ascii="宋体" w:hAnsi="宋体" w:hint="eastAsia"/>
          <w:bCs/>
          <w:sz w:val="24"/>
          <w:lang w:eastAsia="zh-CN"/>
        </w:rPr>
        <w:t>个券</w:t>
      </w:r>
      <w:proofErr w:type="gramEnd"/>
      <w:r w:rsidRPr="002C2B23">
        <w:rPr>
          <w:rFonts w:ascii="宋体" w:hAnsi="宋体" w:hint="eastAsia"/>
          <w:bCs/>
          <w:sz w:val="24"/>
          <w:lang w:eastAsia="zh-CN"/>
        </w:rPr>
        <w:t>选择策略</w:t>
      </w:r>
    </w:p>
    <w:p w14:paraId="532CD1F9" w14:textId="77777777" w:rsidR="005039DD" w:rsidRPr="002C2B23" w:rsidRDefault="0040620F">
      <w:pPr>
        <w:spacing w:line="360" w:lineRule="auto"/>
        <w:ind w:firstLine="480"/>
        <w:rPr>
          <w:rFonts w:ascii="宋体" w:hAnsi="宋体"/>
          <w:bCs/>
          <w:sz w:val="24"/>
          <w:lang w:eastAsia="zh-CN"/>
        </w:rPr>
      </w:pPr>
      <w:r w:rsidRPr="002C2B23">
        <w:rPr>
          <w:rFonts w:ascii="宋体" w:hAnsi="宋体" w:hint="eastAsia"/>
          <w:bCs/>
          <w:sz w:val="24"/>
          <w:lang w:eastAsia="zh-CN"/>
        </w:rPr>
        <w:t>对于国债、央行票据等非信用类债券，本基金将根据宏观经济变量和宏观经济政策的分析，预测未来收益率曲线的变动趋势，综合考虑组合流动性决定投资品种；对于信用类债券，本基金将根据发行人的公司背景、行业特性、盈利能力、偿债能力、流动性等因素，对信用</w:t>
      </w:r>
      <w:proofErr w:type="gramStart"/>
      <w:r w:rsidRPr="002C2B23">
        <w:rPr>
          <w:rFonts w:ascii="宋体" w:hAnsi="宋体" w:hint="eastAsia"/>
          <w:bCs/>
          <w:sz w:val="24"/>
          <w:lang w:eastAsia="zh-CN"/>
        </w:rPr>
        <w:t>债进行</w:t>
      </w:r>
      <w:proofErr w:type="gramEnd"/>
      <w:r w:rsidRPr="002C2B23">
        <w:rPr>
          <w:rFonts w:ascii="宋体" w:hAnsi="宋体" w:hint="eastAsia"/>
          <w:bCs/>
          <w:sz w:val="24"/>
          <w:lang w:eastAsia="zh-CN"/>
        </w:rPr>
        <w:t>信用风险评估，积极发掘信用利差具有相对投资机会的</w:t>
      </w:r>
      <w:proofErr w:type="gramStart"/>
      <w:r w:rsidRPr="002C2B23">
        <w:rPr>
          <w:rFonts w:ascii="宋体" w:hAnsi="宋体" w:hint="eastAsia"/>
          <w:bCs/>
          <w:sz w:val="24"/>
          <w:lang w:eastAsia="zh-CN"/>
        </w:rPr>
        <w:t>个券</w:t>
      </w:r>
      <w:proofErr w:type="gramEnd"/>
      <w:r w:rsidRPr="002C2B23">
        <w:rPr>
          <w:rFonts w:ascii="宋体" w:hAnsi="宋体" w:hint="eastAsia"/>
          <w:bCs/>
          <w:sz w:val="24"/>
          <w:lang w:eastAsia="zh-CN"/>
        </w:rPr>
        <w:t>进行投资，并采取分散化投资策略，严格控制组合整体的违约风险水平。</w:t>
      </w:r>
    </w:p>
    <w:p w14:paraId="798029BA" w14:textId="77777777" w:rsidR="005039DD" w:rsidRPr="002C2B23" w:rsidRDefault="0040620F">
      <w:pPr>
        <w:spacing w:line="360" w:lineRule="auto"/>
        <w:ind w:firstLine="480"/>
        <w:rPr>
          <w:rFonts w:ascii="宋体" w:hAnsi="宋体"/>
          <w:bCs/>
          <w:sz w:val="24"/>
          <w:lang w:eastAsia="zh-CN"/>
        </w:rPr>
      </w:pPr>
      <w:r w:rsidRPr="002C2B23">
        <w:rPr>
          <w:rFonts w:ascii="宋体" w:hAnsi="宋体" w:hint="eastAsia"/>
          <w:bCs/>
          <w:sz w:val="24"/>
          <w:lang w:eastAsia="zh-CN"/>
        </w:rPr>
        <w:t>（3）可转换债券（含分离交易可转债）及可交换债券投资策略可转换债券（含分离交易可转债，下同）和可交换债券的价值主要取决于其股权价值、债券价值和内嵌期权价值，本基金管理人将对可转换债券和可交换债券的价值进行评估，选择具有较高投资价值的可转换债券、可交换债券进行投资。此外，本基金还将根据新发可转债和可交换债券的预计中签率、模型定价结果，积极参与可转债和可交换债券新券的申购。</w:t>
      </w:r>
    </w:p>
    <w:p w14:paraId="44CDB078" w14:textId="77777777" w:rsidR="005039DD" w:rsidRPr="002C2B23" w:rsidRDefault="0040620F">
      <w:pPr>
        <w:spacing w:line="360" w:lineRule="auto"/>
        <w:ind w:firstLine="480"/>
        <w:rPr>
          <w:rFonts w:ascii="宋体" w:hAnsi="宋体"/>
          <w:bCs/>
          <w:sz w:val="24"/>
          <w:lang w:eastAsia="zh-CN"/>
        </w:rPr>
      </w:pPr>
      <w:r w:rsidRPr="002C2B23">
        <w:rPr>
          <w:rFonts w:ascii="宋体" w:hAnsi="宋体"/>
          <w:bCs/>
          <w:sz w:val="24"/>
          <w:lang w:eastAsia="zh-CN"/>
        </w:rPr>
        <w:t>6</w:t>
      </w:r>
      <w:r w:rsidRPr="002C2B23">
        <w:rPr>
          <w:rFonts w:ascii="宋体" w:hAnsi="宋体" w:hint="eastAsia"/>
          <w:bCs/>
          <w:sz w:val="24"/>
          <w:lang w:eastAsia="zh-CN"/>
        </w:rPr>
        <w:t>、股指期货投资策略</w:t>
      </w:r>
    </w:p>
    <w:p w14:paraId="21F7B4A7" w14:textId="77777777" w:rsidR="005039DD" w:rsidRPr="002C2B23" w:rsidRDefault="0040620F">
      <w:pPr>
        <w:spacing w:line="360" w:lineRule="auto"/>
        <w:ind w:firstLine="480"/>
        <w:rPr>
          <w:rFonts w:ascii="宋体" w:hAnsi="宋体"/>
          <w:bCs/>
          <w:sz w:val="24"/>
          <w:lang w:eastAsia="zh-CN"/>
        </w:rPr>
      </w:pPr>
      <w:r w:rsidRPr="002C2B23">
        <w:rPr>
          <w:rFonts w:ascii="宋体" w:hAnsi="宋体" w:hint="eastAsia"/>
          <w:bCs/>
          <w:sz w:val="24"/>
          <w:lang w:eastAsia="zh-CN"/>
        </w:rPr>
        <w:t>本基金将按照风险管理的原则，以套期保值为主要目的，参与股指期货的投资。此外，本基金还将运用股指期货来管理特殊情况下的流动性风险，如预期大额申购赎回、大量分红等。</w:t>
      </w:r>
    </w:p>
    <w:p w14:paraId="36DA21F7" w14:textId="77777777" w:rsidR="005039DD" w:rsidRPr="002C2B23" w:rsidRDefault="0040620F">
      <w:pPr>
        <w:spacing w:line="360" w:lineRule="auto"/>
        <w:ind w:firstLine="480"/>
        <w:rPr>
          <w:rFonts w:ascii="宋体" w:hAnsi="宋体"/>
          <w:bCs/>
          <w:sz w:val="24"/>
          <w:lang w:eastAsia="zh-CN"/>
        </w:rPr>
      </w:pPr>
      <w:r w:rsidRPr="002C2B23">
        <w:rPr>
          <w:rFonts w:ascii="宋体" w:hAnsi="宋体"/>
          <w:bCs/>
          <w:sz w:val="24"/>
          <w:lang w:eastAsia="zh-CN"/>
        </w:rPr>
        <w:t>7</w:t>
      </w:r>
      <w:r w:rsidRPr="002C2B23">
        <w:rPr>
          <w:rFonts w:ascii="宋体" w:hAnsi="宋体" w:hint="eastAsia"/>
          <w:bCs/>
          <w:sz w:val="24"/>
          <w:lang w:eastAsia="zh-CN"/>
        </w:rPr>
        <w:t>、国债期货投资策略</w:t>
      </w:r>
    </w:p>
    <w:p w14:paraId="6955DC84" w14:textId="77777777" w:rsidR="005039DD" w:rsidRPr="002C2B23" w:rsidRDefault="0040620F">
      <w:pPr>
        <w:spacing w:line="360" w:lineRule="auto"/>
        <w:ind w:firstLine="480"/>
        <w:rPr>
          <w:rFonts w:ascii="宋体" w:hAnsi="宋体"/>
          <w:bCs/>
          <w:sz w:val="24"/>
          <w:lang w:eastAsia="zh-CN"/>
        </w:rPr>
      </w:pPr>
      <w:r w:rsidRPr="002C2B23">
        <w:rPr>
          <w:rFonts w:ascii="宋体" w:hAnsi="宋体" w:hint="eastAsia"/>
          <w:bCs/>
          <w:sz w:val="24"/>
          <w:lang w:eastAsia="zh-CN"/>
        </w:rPr>
        <w:t>本基金可投资国债期货，本基金投资国债期货将根据风险管理的原则，以套期保值为目的，以回避市场风险。故国债期货空头的合约价值主要与债券组合的多头价值相对应。基金管理人将按照相关法律法规的规定，结合对宏观经济形势和政策趋势的判断、对债券市场进行定性和定量分析，构建量化分析体系，对国债期货和现货的基差、国债期货的流动性、波动水平、套期保值的有效性等指标进行跟踪监控，在最大限度保证基金资产安全的基础上，力求实现资产的长期稳定增值。</w:t>
      </w:r>
    </w:p>
    <w:p w14:paraId="1DF9A15A" w14:textId="77777777" w:rsidR="005039DD" w:rsidRPr="002C2B23" w:rsidRDefault="0040620F">
      <w:pPr>
        <w:spacing w:line="360" w:lineRule="auto"/>
        <w:ind w:firstLine="480"/>
        <w:rPr>
          <w:rFonts w:ascii="宋体" w:hAnsi="宋体"/>
          <w:bCs/>
          <w:sz w:val="24"/>
          <w:lang w:eastAsia="zh-CN"/>
        </w:rPr>
      </w:pPr>
      <w:r w:rsidRPr="002C2B23">
        <w:rPr>
          <w:rFonts w:ascii="宋体" w:hAnsi="宋体"/>
          <w:bCs/>
          <w:sz w:val="24"/>
          <w:lang w:eastAsia="zh-CN"/>
        </w:rPr>
        <w:t>8</w:t>
      </w:r>
      <w:r w:rsidRPr="002C2B23">
        <w:rPr>
          <w:rFonts w:ascii="宋体" w:hAnsi="宋体" w:hint="eastAsia"/>
          <w:bCs/>
          <w:sz w:val="24"/>
          <w:lang w:eastAsia="zh-CN"/>
        </w:rPr>
        <w:t>、股票期权投资策略</w:t>
      </w:r>
    </w:p>
    <w:p w14:paraId="0CAFB4AB" w14:textId="77777777" w:rsidR="005039DD" w:rsidRPr="002C2B23" w:rsidRDefault="0040620F">
      <w:pPr>
        <w:spacing w:line="360" w:lineRule="auto"/>
        <w:ind w:firstLine="480"/>
        <w:rPr>
          <w:rFonts w:ascii="宋体" w:hAnsi="宋体"/>
          <w:bCs/>
          <w:sz w:val="24"/>
          <w:lang w:eastAsia="zh-CN"/>
        </w:rPr>
      </w:pPr>
      <w:r w:rsidRPr="002C2B23">
        <w:rPr>
          <w:rFonts w:ascii="宋体" w:hAnsi="宋体" w:hint="eastAsia"/>
          <w:bCs/>
          <w:sz w:val="24"/>
          <w:lang w:eastAsia="zh-CN"/>
        </w:rPr>
        <w:t>本基金将按照风险管理的原则，以套期保值为主要目的参与股票期权交易。本基金将结合投资目标、比例限制、风险收益特征以及法律法规的相关限定和要求，确定参与股票期权交易的投资时机和投资比例。</w:t>
      </w:r>
    </w:p>
    <w:p w14:paraId="4BB2B5B9" w14:textId="77777777" w:rsidR="005039DD" w:rsidRPr="002C2B23" w:rsidRDefault="0040620F">
      <w:pPr>
        <w:spacing w:line="360" w:lineRule="auto"/>
        <w:ind w:firstLine="480"/>
        <w:rPr>
          <w:rFonts w:ascii="宋体" w:hAnsi="宋体"/>
          <w:bCs/>
          <w:sz w:val="24"/>
          <w:lang w:eastAsia="zh-CN"/>
        </w:rPr>
      </w:pPr>
      <w:proofErr w:type="gramStart"/>
      <w:r w:rsidRPr="002C2B23">
        <w:rPr>
          <w:rFonts w:ascii="宋体" w:hAnsi="宋体" w:hint="eastAsia"/>
          <w:bCs/>
          <w:sz w:val="24"/>
          <w:lang w:eastAsia="zh-CN"/>
        </w:rPr>
        <w:t>若相关</w:t>
      </w:r>
      <w:proofErr w:type="gramEnd"/>
      <w:r w:rsidRPr="002C2B23">
        <w:rPr>
          <w:rFonts w:ascii="宋体" w:hAnsi="宋体" w:hint="eastAsia"/>
          <w:bCs/>
          <w:sz w:val="24"/>
          <w:lang w:eastAsia="zh-CN"/>
        </w:rPr>
        <w:t>法律法规发生变化时，基金管理人股票期权投资管理从其最新规定，以符合上述法律法规和监管要求的变化。未来如法律法规或监管机构允许基金投资其他期权品种，本基金将在履行适当程序后，纳入投资范围并制定相应投资策略。</w:t>
      </w:r>
    </w:p>
    <w:p w14:paraId="21F25D7D" w14:textId="77777777" w:rsidR="005039DD" w:rsidRPr="002C2B23" w:rsidRDefault="0040620F">
      <w:pPr>
        <w:spacing w:line="360" w:lineRule="auto"/>
        <w:ind w:firstLine="480"/>
        <w:rPr>
          <w:rFonts w:ascii="宋体" w:hAnsi="宋体"/>
          <w:bCs/>
          <w:sz w:val="24"/>
          <w:lang w:eastAsia="zh-CN"/>
        </w:rPr>
      </w:pPr>
      <w:r w:rsidRPr="002C2B23">
        <w:rPr>
          <w:rFonts w:ascii="宋体" w:hAnsi="宋体"/>
          <w:bCs/>
          <w:sz w:val="24"/>
          <w:lang w:eastAsia="zh-CN"/>
        </w:rPr>
        <w:t>9</w:t>
      </w:r>
      <w:r w:rsidRPr="002C2B23">
        <w:rPr>
          <w:rFonts w:ascii="宋体" w:hAnsi="宋体" w:hint="eastAsia"/>
          <w:bCs/>
          <w:sz w:val="24"/>
          <w:lang w:eastAsia="zh-CN"/>
        </w:rPr>
        <w:t>、资产支持证券投资策略</w:t>
      </w:r>
    </w:p>
    <w:p w14:paraId="69F951BC" w14:textId="77777777" w:rsidR="005039DD" w:rsidRPr="002C2B23" w:rsidRDefault="0040620F">
      <w:pPr>
        <w:spacing w:line="360" w:lineRule="auto"/>
        <w:ind w:firstLine="480"/>
        <w:rPr>
          <w:rFonts w:ascii="宋体" w:hAnsi="宋体"/>
          <w:bCs/>
          <w:sz w:val="24"/>
          <w:lang w:eastAsia="zh-CN"/>
        </w:rPr>
      </w:pPr>
      <w:r w:rsidRPr="002C2B23">
        <w:rPr>
          <w:rFonts w:ascii="宋体" w:hAnsi="宋体" w:hint="eastAsia"/>
          <w:bCs/>
          <w:sz w:val="24"/>
          <w:lang w:eastAsia="zh-CN"/>
        </w:rPr>
        <w:t>本基金将通过对宏观经济、提前偿还率、资产</w:t>
      </w:r>
      <w:proofErr w:type="gramStart"/>
      <w:r w:rsidRPr="002C2B23">
        <w:rPr>
          <w:rFonts w:ascii="宋体" w:hAnsi="宋体" w:hint="eastAsia"/>
          <w:bCs/>
          <w:sz w:val="24"/>
          <w:lang w:eastAsia="zh-CN"/>
        </w:rPr>
        <w:t>池结构</w:t>
      </w:r>
      <w:proofErr w:type="gramEnd"/>
      <w:r w:rsidRPr="002C2B23">
        <w:rPr>
          <w:rFonts w:ascii="宋体" w:hAnsi="宋体" w:hint="eastAsia"/>
          <w:bCs/>
          <w:sz w:val="24"/>
          <w:lang w:eastAsia="zh-CN"/>
        </w:rPr>
        <w:t>以及资产</w:t>
      </w:r>
      <w:proofErr w:type="gramStart"/>
      <w:r w:rsidRPr="002C2B23">
        <w:rPr>
          <w:rFonts w:ascii="宋体" w:hAnsi="宋体" w:hint="eastAsia"/>
          <w:bCs/>
          <w:sz w:val="24"/>
          <w:lang w:eastAsia="zh-CN"/>
        </w:rPr>
        <w:t>池资产</w:t>
      </w:r>
      <w:proofErr w:type="gramEnd"/>
      <w:r w:rsidRPr="002C2B23">
        <w:rPr>
          <w:rFonts w:ascii="宋体" w:hAnsi="宋体" w:hint="eastAsia"/>
          <w:bCs/>
          <w:sz w:val="24"/>
          <w:lang w:eastAsia="zh-CN"/>
        </w:rPr>
        <w:t>所在行业景气变化等因素的研究，预测资产</w:t>
      </w:r>
      <w:proofErr w:type="gramStart"/>
      <w:r w:rsidRPr="002C2B23">
        <w:rPr>
          <w:rFonts w:ascii="宋体" w:hAnsi="宋体" w:hint="eastAsia"/>
          <w:bCs/>
          <w:sz w:val="24"/>
          <w:lang w:eastAsia="zh-CN"/>
        </w:rPr>
        <w:t>池未来</w:t>
      </w:r>
      <w:proofErr w:type="gramEnd"/>
      <w:r w:rsidRPr="002C2B23">
        <w:rPr>
          <w:rFonts w:ascii="宋体" w:hAnsi="宋体" w:hint="eastAsia"/>
          <w:bCs/>
          <w:sz w:val="24"/>
          <w:lang w:eastAsia="zh-CN"/>
        </w:rPr>
        <w:t>现金流变化，并通过研究标的证券发行条款，预测提前偿还率变化对标的证券</w:t>
      </w:r>
      <w:proofErr w:type="gramStart"/>
      <w:r w:rsidRPr="002C2B23">
        <w:rPr>
          <w:rFonts w:ascii="宋体" w:hAnsi="宋体" w:hint="eastAsia"/>
          <w:bCs/>
          <w:sz w:val="24"/>
          <w:lang w:eastAsia="zh-CN"/>
        </w:rPr>
        <w:t>的久期与</w:t>
      </w:r>
      <w:proofErr w:type="gramEnd"/>
      <w:r w:rsidRPr="002C2B23">
        <w:rPr>
          <w:rFonts w:ascii="宋体" w:hAnsi="宋体" w:hint="eastAsia"/>
          <w:bCs/>
          <w:sz w:val="24"/>
          <w:lang w:eastAsia="zh-CN"/>
        </w:rPr>
        <w:t>收益率的影响。同时，基金管理人将密切关注流动性对标的证券收益率的影响，综合</w:t>
      </w:r>
      <w:proofErr w:type="gramStart"/>
      <w:r w:rsidRPr="002C2B23">
        <w:rPr>
          <w:rFonts w:ascii="宋体" w:hAnsi="宋体" w:hint="eastAsia"/>
          <w:bCs/>
          <w:sz w:val="24"/>
          <w:lang w:eastAsia="zh-CN"/>
        </w:rPr>
        <w:t>运用久期管理</w:t>
      </w:r>
      <w:proofErr w:type="gramEnd"/>
      <w:r w:rsidRPr="002C2B23">
        <w:rPr>
          <w:rFonts w:ascii="宋体" w:hAnsi="宋体" w:hint="eastAsia"/>
          <w:bCs/>
          <w:sz w:val="24"/>
          <w:lang w:eastAsia="zh-CN"/>
        </w:rPr>
        <w:t>、收益率曲线、</w:t>
      </w:r>
      <w:proofErr w:type="gramStart"/>
      <w:r w:rsidRPr="002C2B23">
        <w:rPr>
          <w:rFonts w:ascii="宋体" w:hAnsi="宋体" w:hint="eastAsia"/>
          <w:bCs/>
          <w:sz w:val="24"/>
          <w:lang w:eastAsia="zh-CN"/>
        </w:rPr>
        <w:t>个券</w:t>
      </w:r>
      <w:proofErr w:type="gramEnd"/>
      <w:r w:rsidRPr="002C2B23">
        <w:rPr>
          <w:rFonts w:ascii="宋体" w:hAnsi="宋体" w:hint="eastAsia"/>
          <w:bCs/>
          <w:sz w:val="24"/>
          <w:lang w:eastAsia="zh-CN"/>
        </w:rPr>
        <w:t>选择以及把握市场交易机会等积极策略，在严格控制风险的情况下，结合信用研究和流动性管理，选择风险调整后收益高的品种进行投资，以期获得长期稳定收益。</w:t>
      </w:r>
    </w:p>
    <w:p w14:paraId="1CC18486" w14:textId="77777777" w:rsidR="005039DD" w:rsidRPr="002C2B23" w:rsidRDefault="0040620F">
      <w:pPr>
        <w:spacing w:line="360" w:lineRule="auto"/>
        <w:ind w:firstLine="480"/>
        <w:rPr>
          <w:rFonts w:ascii="宋体" w:hAnsi="宋体"/>
          <w:bCs/>
          <w:sz w:val="24"/>
          <w:lang w:eastAsia="zh-CN"/>
        </w:rPr>
      </w:pPr>
      <w:r w:rsidRPr="002C2B23">
        <w:rPr>
          <w:rFonts w:ascii="宋体" w:hAnsi="宋体" w:hint="eastAsia"/>
          <w:bCs/>
          <w:sz w:val="24"/>
          <w:lang w:eastAsia="zh-CN"/>
        </w:rPr>
        <w:t>今后，随着证券市场的发展、金融工具的丰富和交易方式的创新等，基金还将积极寻求其他投资机会，如法律法规或监管机构以后允许基金投资其他品种，本基金将在履行适当程序后，将其纳入投资范围以丰富组合投资策略。</w:t>
      </w:r>
    </w:p>
    <w:p w14:paraId="4705B962" w14:textId="77777777" w:rsidR="005039DD" w:rsidRPr="002C2B23" w:rsidRDefault="005039DD">
      <w:pPr>
        <w:spacing w:line="360" w:lineRule="auto"/>
        <w:ind w:firstLine="480"/>
        <w:rPr>
          <w:rFonts w:ascii="宋体" w:hAnsi="宋体"/>
          <w:bCs/>
          <w:sz w:val="24"/>
          <w:lang w:eastAsia="zh-CN"/>
        </w:rPr>
      </w:pPr>
    </w:p>
    <w:p w14:paraId="41A5C0FD" w14:textId="77777777" w:rsidR="005039DD" w:rsidRPr="002C2B23" w:rsidRDefault="0040620F">
      <w:pPr>
        <w:spacing w:line="360" w:lineRule="auto"/>
        <w:ind w:firstLine="480"/>
        <w:rPr>
          <w:rFonts w:ascii="宋体" w:hAnsi="宋体"/>
          <w:bCs/>
          <w:sz w:val="24"/>
          <w:lang w:eastAsia="zh-CN"/>
        </w:rPr>
      </w:pPr>
      <w:bookmarkStart w:id="304" w:name="_Hlk96415873"/>
      <w:r w:rsidRPr="002C2B23">
        <w:rPr>
          <w:rFonts w:ascii="宋体" w:hAnsi="宋体"/>
          <w:bCs/>
          <w:sz w:val="24"/>
          <w:lang w:eastAsia="zh-CN"/>
        </w:rPr>
        <w:t>四、投资限制</w:t>
      </w:r>
    </w:p>
    <w:p w14:paraId="0EE98254" w14:textId="77777777" w:rsidR="005039DD" w:rsidRPr="002C2B23" w:rsidRDefault="0040620F">
      <w:pPr>
        <w:spacing w:line="360" w:lineRule="auto"/>
        <w:ind w:firstLine="480"/>
        <w:rPr>
          <w:rFonts w:ascii="宋体" w:hAnsi="宋体"/>
          <w:bCs/>
          <w:sz w:val="24"/>
          <w:lang w:eastAsia="zh-CN"/>
        </w:rPr>
      </w:pPr>
      <w:r w:rsidRPr="002C2B23">
        <w:rPr>
          <w:rFonts w:ascii="宋体" w:hAnsi="宋体"/>
          <w:bCs/>
          <w:sz w:val="24"/>
          <w:lang w:eastAsia="zh-CN"/>
        </w:rPr>
        <w:t>1、组合限制</w:t>
      </w:r>
    </w:p>
    <w:p w14:paraId="2F3990E1" w14:textId="77777777" w:rsidR="005039DD" w:rsidRPr="002C2B23" w:rsidRDefault="0040620F">
      <w:pPr>
        <w:spacing w:line="360" w:lineRule="auto"/>
        <w:ind w:firstLine="480"/>
        <w:rPr>
          <w:rFonts w:ascii="宋体" w:hAnsi="宋体"/>
          <w:bCs/>
          <w:sz w:val="24"/>
          <w:lang w:eastAsia="zh-CN"/>
        </w:rPr>
      </w:pPr>
      <w:r w:rsidRPr="002C2B23">
        <w:rPr>
          <w:rFonts w:ascii="宋体" w:hAnsi="宋体" w:hint="eastAsia"/>
          <w:bCs/>
          <w:sz w:val="24"/>
          <w:lang w:eastAsia="zh-CN"/>
        </w:rPr>
        <w:t>基金的投资组合应遵循以下限制：</w:t>
      </w:r>
    </w:p>
    <w:p w14:paraId="4E77E2B3" w14:textId="77777777" w:rsidR="005039DD" w:rsidRPr="002C2B23" w:rsidRDefault="0040620F">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（1）本基金投资组合中股票资产投资比例为基金资产的60%-95%，投资于港股通标的股票比例不超过股票资产的50%；</w:t>
      </w:r>
    </w:p>
    <w:p w14:paraId="6840DA7F" w14:textId="77777777" w:rsidR="005039DD" w:rsidRPr="002C2B23" w:rsidRDefault="0040620F">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2）每个交易日日终在扣除股指期货、国债期货、股票期权合约需缴纳的交易保证金后，保持不低于基金资产净值5％的现金或者到期日在一年以内的政府债券，其中现金不包括结算备付金、存出保证金、应收申购款等；</w:t>
      </w:r>
    </w:p>
    <w:p w14:paraId="1B0B2271" w14:textId="77777777" w:rsidR="005039DD" w:rsidRPr="002C2B23" w:rsidRDefault="0040620F">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（3）本基金持有一家公司发行的证券其市值（若同时持有一家公司发行的A股和H股，则为A股与H股合计市值）不超过基金资产净值的10％；</w:t>
      </w:r>
    </w:p>
    <w:p w14:paraId="1534F689" w14:textId="77777777" w:rsidR="005039DD" w:rsidRPr="002C2B23" w:rsidRDefault="0040620F">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（4）本基金管理人管理的全部基金持有一家公司发行的证券（A股与H股合计），不超过该证券的10％；</w:t>
      </w:r>
    </w:p>
    <w:p w14:paraId="2BE2A310" w14:textId="77777777" w:rsidR="005039DD" w:rsidRPr="002C2B23" w:rsidRDefault="0040620F">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（5）本基金投资于同一原始权益人的各类资产支持证券的比例，不得超过基金资产净值的10％；</w:t>
      </w:r>
    </w:p>
    <w:p w14:paraId="3096669E" w14:textId="77777777" w:rsidR="005039DD" w:rsidRPr="002C2B23" w:rsidRDefault="0040620F">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（6）本基金持有的全部资产支持证券，其市值不得超过基金资产净值的20％；</w:t>
      </w:r>
    </w:p>
    <w:p w14:paraId="14EB9205" w14:textId="77777777" w:rsidR="005039DD" w:rsidRPr="002C2B23" w:rsidRDefault="0040620F">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（7）本基金持有的同一(指同一信用级别)资产支持证券的比例，不得超过该资产支持证券规模的10％；</w:t>
      </w:r>
    </w:p>
    <w:p w14:paraId="2C4D7C65" w14:textId="77777777" w:rsidR="005039DD" w:rsidRPr="002C2B23" w:rsidRDefault="0040620F">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（8）本基金管理人管理的全部基金投资于同一原始权益人的各类资产支持证券，不得超过其各类资产支持证券合计规模的10％；</w:t>
      </w:r>
    </w:p>
    <w:p w14:paraId="33A9F979" w14:textId="77777777" w:rsidR="005039DD" w:rsidRPr="002C2B23" w:rsidRDefault="0040620F">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（9）本基金应投资于信用级别评级为BBB以上(含BBB)的资产支持证券。基金持有资产支持证券期间，如果其信用等级下降、不再符合投资标准，应在评级报告发布之日起3个月内予以全部卖出；</w:t>
      </w:r>
    </w:p>
    <w:p w14:paraId="1AD45513" w14:textId="77777777" w:rsidR="005039DD" w:rsidRPr="002C2B23" w:rsidRDefault="0040620F">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（10）基金财产参与股票发行申购，本基金所申报的金额不超过本基金的总资产，本基金所申报的股票数量不超过拟发行股票公司本次发行股票的总量；</w:t>
      </w:r>
    </w:p>
    <w:p w14:paraId="5ED083A1" w14:textId="77777777" w:rsidR="005039DD" w:rsidRPr="002C2B23" w:rsidRDefault="0040620F">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11）本基金管理人管理的全部开放式基金(包括开放式基金以及处于开放期的定期开放基金)持有一家上市公司发行的可流通股票（A股与H股合并计算），不得超过该上市公司可流通股票的15%；本基金管理人管理的全部投资组合持有一家上市公司发行的可流通股票（A股与H股合并计算），不得超过该上市公司可流通股票的30%；</w:t>
      </w:r>
    </w:p>
    <w:p w14:paraId="0056AD81" w14:textId="77777777" w:rsidR="005039DD" w:rsidRPr="002C2B23" w:rsidRDefault="0040620F">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12）本基金主动投资于流动性受限资产的市值（A股与H股合并计算）合计不得超过该基金资产净值的15%；因证券市场波动、上市公司股票停牌、基金规模变动等基金管理人之外的因素致使基金不符合该比例限制的，基金管理人不得主动新增流动性受限资产的投资；</w:t>
      </w:r>
    </w:p>
    <w:p w14:paraId="184AE490" w14:textId="77777777" w:rsidR="005039DD" w:rsidRPr="002C2B23" w:rsidRDefault="0040620F">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（13）本基金与私募类</w:t>
      </w:r>
      <w:proofErr w:type="gramStart"/>
      <w:r w:rsidRPr="002C2B23">
        <w:rPr>
          <w:rFonts w:ascii="宋体" w:hAnsi="宋体" w:hint="eastAsia"/>
          <w:bCs/>
          <w:sz w:val="24"/>
          <w:lang w:eastAsia="zh-CN"/>
        </w:rPr>
        <w:t>证券资管产品</w:t>
      </w:r>
      <w:proofErr w:type="gramEnd"/>
      <w:r w:rsidRPr="002C2B23">
        <w:rPr>
          <w:rFonts w:ascii="宋体" w:hAnsi="宋体" w:hint="eastAsia"/>
          <w:bCs/>
          <w:sz w:val="24"/>
          <w:lang w:eastAsia="zh-CN"/>
        </w:rPr>
        <w:t>及中国证监会认定的其他主体为交易对手开展逆回购交易的，可接受质押品的资质要求应当与本基金合同约定的投资范围保持一致；</w:t>
      </w:r>
    </w:p>
    <w:p w14:paraId="0C2F32B9" w14:textId="77777777" w:rsidR="005039DD" w:rsidRPr="002C2B23" w:rsidRDefault="0040620F">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（14）本基金资产总值不超过基金资产净值的140%；</w:t>
      </w:r>
    </w:p>
    <w:p w14:paraId="09B98CDA" w14:textId="77777777" w:rsidR="005039DD" w:rsidRPr="002C2B23" w:rsidRDefault="0040620F">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（15）本基金参与股指期货、国债期货交易，需遵守下列规定：</w:t>
      </w:r>
    </w:p>
    <w:p w14:paraId="2E5D4239" w14:textId="77777777" w:rsidR="005039DD" w:rsidRPr="002C2B23" w:rsidRDefault="0040620F">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1)本基金在任何交易日日终，持有的买入股指期货合约价值，不得超过基金资产净值的10%；</w:t>
      </w:r>
    </w:p>
    <w:p w14:paraId="4AC24520" w14:textId="77777777" w:rsidR="005039DD" w:rsidRPr="002C2B23" w:rsidRDefault="0040620F">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2)本基金在任何交易日日终，持有的买入国债期货合约价值，不得超过基金资产净值的15%；</w:t>
      </w:r>
    </w:p>
    <w:p w14:paraId="19E2C66D" w14:textId="77777777" w:rsidR="005039DD" w:rsidRPr="002C2B23" w:rsidRDefault="0040620F">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3)本基金在任何交易日日终，持有的买入国债期货和股指期货合约价值与有价证券市值之和，不得超过基金资产净值的95%。其中，有价证券指股票、债券（不含到期日在一年以内的政府债券）、资产支持证券、买入返售金融资产（不含质押式回购）等；</w:t>
      </w:r>
    </w:p>
    <w:p w14:paraId="2BE3095C" w14:textId="77777777" w:rsidR="005039DD" w:rsidRPr="002C2B23" w:rsidRDefault="0040620F">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4)本基金在任何交易日日终，持有的卖出股指期货合约价值不得超过基金持有的股票总市值的20%；</w:t>
      </w:r>
    </w:p>
    <w:p w14:paraId="3FEAC605" w14:textId="77777777" w:rsidR="005039DD" w:rsidRPr="002C2B23" w:rsidRDefault="0040620F">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5)本基金在任何交易日日终，持有的卖出国债期货合约价值不得超过基金持有的债券总市值的30%；</w:t>
      </w:r>
    </w:p>
    <w:p w14:paraId="2CBB7F1D" w14:textId="77777777" w:rsidR="005039DD" w:rsidRPr="002C2B23" w:rsidRDefault="0040620F">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6)本基金在任何交易日内交易（不包括平仓）的股指期货合约的成交金额不得超过上一交易日基金资产净值的20%；</w:t>
      </w:r>
    </w:p>
    <w:p w14:paraId="30085873" w14:textId="77777777" w:rsidR="005039DD" w:rsidRPr="002C2B23" w:rsidRDefault="0040620F">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7)本基金在任何交易日内交易（不包括平仓）的国债期货合约的成交金额不得超过上一交易日基金资产净值的30%；</w:t>
      </w:r>
    </w:p>
    <w:p w14:paraId="4B35F03E" w14:textId="77777777" w:rsidR="005039DD" w:rsidRPr="002C2B23" w:rsidRDefault="0040620F">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8)本基金所持有的股票市值和买入、卖出股指期货合约价值，合计（轧差计算）应当符合基金合同关于股票投资比例的有关规定；</w:t>
      </w:r>
    </w:p>
    <w:p w14:paraId="6F4E6AC3" w14:textId="77777777" w:rsidR="005039DD" w:rsidRPr="002C2B23" w:rsidRDefault="0040620F">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9)基金所持有的债券（不含到期日在一年以内的政府债券）市值和买入、卖出国债期货合约价值，合计（轧差计算）应当符合基金合同关于债券投资比例的有关约定；</w:t>
      </w:r>
    </w:p>
    <w:p w14:paraId="2E62BECA" w14:textId="77777777" w:rsidR="005039DD" w:rsidRPr="002C2B23" w:rsidRDefault="0040620F">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（16）本基金</w:t>
      </w:r>
      <w:proofErr w:type="gramStart"/>
      <w:r w:rsidRPr="002C2B23">
        <w:rPr>
          <w:rFonts w:ascii="宋体" w:hAnsi="宋体" w:hint="eastAsia"/>
          <w:bCs/>
          <w:sz w:val="24"/>
          <w:lang w:eastAsia="zh-CN"/>
        </w:rPr>
        <w:t>若参</w:t>
      </w:r>
      <w:proofErr w:type="gramEnd"/>
      <w:r w:rsidRPr="002C2B23">
        <w:rPr>
          <w:rFonts w:ascii="宋体" w:hAnsi="宋体" w:hint="eastAsia"/>
          <w:bCs/>
          <w:sz w:val="24"/>
          <w:lang w:eastAsia="zh-CN"/>
        </w:rPr>
        <w:t>与股票期权交易，基金因未平仓的股票期权合约支付和收取的权利金总额不得超过基金资产净值的10%；开仓卖出认购股票期权的，应持有足额标的证券；开仓卖出认</w:t>
      </w:r>
      <w:proofErr w:type="gramStart"/>
      <w:r w:rsidRPr="002C2B23">
        <w:rPr>
          <w:rFonts w:ascii="宋体" w:hAnsi="宋体" w:hint="eastAsia"/>
          <w:bCs/>
          <w:sz w:val="24"/>
          <w:lang w:eastAsia="zh-CN"/>
        </w:rPr>
        <w:t>沽股票</w:t>
      </w:r>
      <w:proofErr w:type="gramEnd"/>
      <w:r w:rsidRPr="002C2B23">
        <w:rPr>
          <w:rFonts w:ascii="宋体" w:hAnsi="宋体" w:hint="eastAsia"/>
          <w:bCs/>
          <w:sz w:val="24"/>
          <w:lang w:eastAsia="zh-CN"/>
        </w:rPr>
        <w:t>期权的，应持有合约行权所需的全额现金或交易所规则认可的可冲抵股票期权保证金的现金等价物；未平仓的股票期权合约面值不得超过基金资产净值的20%。其中，合约面值按照行权价乘以合约乘数计算；</w:t>
      </w:r>
    </w:p>
    <w:p w14:paraId="1D3E2047" w14:textId="77777777" w:rsidR="005039DD" w:rsidRPr="002C2B23" w:rsidRDefault="0040620F">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（1</w:t>
      </w:r>
      <w:r w:rsidRPr="002C2B23">
        <w:rPr>
          <w:rFonts w:ascii="宋体" w:hAnsi="宋体"/>
          <w:bCs/>
          <w:sz w:val="24"/>
          <w:lang w:eastAsia="zh-CN"/>
        </w:rPr>
        <w:t>7</w:t>
      </w:r>
      <w:r w:rsidRPr="002C2B23">
        <w:rPr>
          <w:rFonts w:ascii="宋体" w:hAnsi="宋体" w:hint="eastAsia"/>
          <w:bCs/>
          <w:sz w:val="24"/>
          <w:lang w:eastAsia="zh-CN"/>
        </w:rPr>
        <w:t>）本基金投资存托凭证的比例限制依照境内上市交易的股票执行，与境内上市交易的股票合并计算；</w:t>
      </w:r>
    </w:p>
    <w:p w14:paraId="736915E9" w14:textId="77777777" w:rsidR="005039DD" w:rsidRPr="002C2B23" w:rsidRDefault="0040620F">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（1</w:t>
      </w:r>
      <w:r w:rsidRPr="002C2B23">
        <w:rPr>
          <w:rFonts w:ascii="宋体" w:hAnsi="宋体"/>
          <w:bCs/>
          <w:sz w:val="24"/>
          <w:lang w:eastAsia="zh-CN"/>
        </w:rPr>
        <w:t>8</w:t>
      </w:r>
      <w:r w:rsidRPr="002C2B23">
        <w:rPr>
          <w:rFonts w:ascii="宋体" w:hAnsi="宋体" w:hint="eastAsia"/>
          <w:bCs/>
          <w:sz w:val="24"/>
          <w:lang w:eastAsia="zh-CN"/>
        </w:rPr>
        <w:t>）法律法规及中国证监会规定的和《基金合同》约定的其他投资限制。</w:t>
      </w:r>
    </w:p>
    <w:p w14:paraId="217A8ED9" w14:textId="77777777" w:rsidR="005039DD" w:rsidRPr="002C2B23" w:rsidRDefault="0040620F">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除上述（2）、（9）、（12）、（13）情形之外，因证券、期货市场波动、证券发行人合并、基金规模变动等基金管理人之外的因素致使基金投资比例不符合上述规定投资比例的，基金管理人应当在10个交易日内进行调整，但中国证监会规定的特殊情形除外。</w:t>
      </w:r>
    </w:p>
    <w:p w14:paraId="75C6D067" w14:textId="77777777" w:rsidR="005039DD" w:rsidRPr="002C2B23" w:rsidRDefault="0040620F">
      <w:pPr>
        <w:spacing w:line="360" w:lineRule="auto"/>
        <w:ind w:firstLine="480"/>
        <w:rPr>
          <w:rFonts w:ascii="宋体" w:hAnsi="宋体"/>
          <w:bCs/>
          <w:sz w:val="24"/>
          <w:lang w:eastAsia="zh-CN"/>
        </w:rPr>
      </w:pPr>
      <w:r w:rsidRPr="002C2B23">
        <w:rPr>
          <w:rFonts w:ascii="宋体" w:hAnsi="宋体"/>
          <w:bCs/>
          <w:sz w:val="24"/>
          <w:lang w:eastAsia="zh-CN"/>
        </w:rPr>
        <w:t>基金管理人应当自基金合同生效之日起6个月内使基金的投资组合比例符合基金合同的有关约定。在上述期间内，本基金的投资范围、投资策略应当符合基金合同的约定。基金托管人对基金的投资的监督与检查自本基金合同生效之日起开始。</w:t>
      </w:r>
    </w:p>
    <w:p w14:paraId="6735FABF" w14:textId="77777777" w:rsidR="005039DD" w:rsidRPr="002C2B23" w:rsidRDefault="0040620F">
      <w:pPr>
        <w:spacing w:line="360" w:lineRule="auto"/>
        <w:ind w:firstLine="480"/>
        <w:rPr>
          <w:rFonts w:ascii="宋体" w:hAnsi="宋体"/>
          <w:bCs/>
          <w:sz w:val="24"/>
          <w:lang w:eastAsia="zh-CN"/>
        </w:rPr>
      </w:pPr>
      <w:r w:rsidRPr="002C2B23">
        <w:rPr>
          <w:rFonts w:ascii="宋体" w:hAnsi="宋体"/>
          <w:bCs/>
          <w:sz w:val="24"/>
          <w:lang w:eastAsia="zh-CN"/>
        </w:rPr>
        <w:t>法律法规或监管部门取消或变更上述限制，如适用于本基金，基金管理人在履行适当程序后，则本基金投资不再受相关限制或按变更后的规定执行。</w:t>
      </w:r>
    </w:p>
    <w:p w14:paraId="1CE170FE"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、禁止行为</w:t>
      </w:r>
    </w:p>
    <w:p w14:paraId="0FB88091" w14:textId="77777777" w:rsidR="005039DD" w:rsidRPr="002C2B23" w:rsidRDefault="0040620F">
      <w:pPr>
        <w:spacing w:line="360" w:lineRule="auto"/>
        <w:ind w:firstLine="480"/>
        <w:rPr>
          <w:bCs/>
          <w:sz w:val="24"/>
          <w:lang w:eastAsia="zh-CN"/>
        </w:rPr>
      </w:pPr>
      <w:r w:rsidRPr="002C2B23">
        <w:rPr>
          <w:bCs/>
          <w:sz w:val="24"/>
          <w:lang w:eastAsia="zh-CN"/>
        </w:rPr>
        <w:t>为维护基金份额持有人的合法权益，基金财产不得用于下列投资或者活动：</w:t>
      </w:r>
    </w:p>
    <w:p w14:paraId="3428E84F"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）承销证券；</w:t>
      </w:r>
    </w:p>
    <w:p w14:paraId="2064E9EE"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）违反规定向他人贷款或者提供担保；</w:t>
      </w:r>
    </w:p>
    <w:p w14:paraId="5A6F1106"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3</w:t>
      </w:r>
      <w:r w:rsidRPr="002C2B23">
        <w:rPr>
          <w:bCs/>
          <w:sz w:val="24"/>
          <w:lang w:eastAsia="zh-CN"/>
        </w:rPr>
        <w:t>）从事承担无限责任的投资；</w:t>
      </w:r>
    </w:p>
    <w:p w14:paraId="71ECEA8B"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4</w:t>
      </w:r>
      <w:r w:rsidRPr="002C2B23">
        <w:rPr>
          <w:bCs/>
          <w:sz w:val="24"/>
          <w:lang w:eastAsia="zh-CN"/>
        </w:rPr>
        <w:t>）买卖其他基金份额，但是中国证监会另有规定的除外；</w:t>
      </w:r>
    </w:p>
    <w:p w14:paraId="28EECEC2"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5</w:t>
      </w:r>
      <w:r w:rsidRPr="002C2B23">
        <w:rPr>
          <w:bCs/>
          <w:sz w:val="24"/>
          <w:lang w:eastAsia="zh-CN"/>
        </w:rPr>
        <w:t>）向其基金管理人、基金托管人出资；</w:t>
      </w:r>
    </w:p>
    <w:p w14:paraId="6C7EB07B"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6</w:t>
      </w:r>
      <w:r w:rsidRPr="002C2B23">
        <w:rPr>
          <w:bCs/>
          <w:sz w:val="24"/>
          <w:lang w:eastAsia="zh-CN"/>
        </w:rPr>
        <w:t>）从事内幕交易、操纵证券交易价格及其他不正当的证券交易活动；</w:t>
      </w:r>
    </w:p>
    <w:p w14:paraId="53454DE0"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7</w:t>
      </w:r>
      <w:r w:rsidRPr="002C2B23">
        <w:rPr>
          <w:bCs/>
          <w:sz w:val="24"/>
          <w:lang w:eastAsia="zh-CN"/>
        </w:rPr>
        <w:t>）法律、行政法规和中国证监会规定禁止的其他活动。</w:t>
      </w:r>
    </w:p>
    <w:p w14:paraId="24C9797F" w14:textId="77777777" w:rsidR="005039DD" w:rsidRPr="002C2B23" w:rsidRDefault="0040620F">
      <w:pPr>
        <w:spacing w:line="360" w:lineRule="auto"/>
        <w:ind w:firstLine="480"/>
        <w:rPr>
          <w:bCs/>
          <w:sz w:val="24"/>
          <w:lang w:eastAsia="zh-CN"/>
        </w:rPr>
      </w:pPr>
      <w:bookmarkStart w:id="305" w:name="_Hlk36118847"/>
      <w:r w:rsidRPr="002C2B23">
        <w:rPr>
          <w:bCs/>
          <w:sz w:val="24"/>
          <w:lang w:eastAsia="zh-CN"/>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bookmarkEnd w:id="305"/>
    </w:p>
    <w:p w14:paraId="6046BEEC" w14:textId="77777777" w:rsidR="005039DD" w:rsidRPr="002C2B23" w:rsidRDefault="0040620F">
      <w:pPr>
        <w:spacing w:line="360" w:lineRule="auto"/>
        <w:ind w:firstLine="480"/>
        <w:rPr>
          <w:bCs/>
          <w:sz w:val="24"/>
          <w:lang w:eastAsia="zh-CN"/>
        </w:rPr>
      </w:pPr>
      <w:r w:rsidRPr="002C2B23">
        <w:rPr>
          <w:bCs/>
          <w:sz w:val="24"/>
          <w:lang w:eastAsia="zh-CN"/>
        </w:rPr>
        <w:t>法律、行政法规或监管部门取消</w:t>
      </w:r>
      <w:bookmarkStart w:id="306" w:name="_Hlk37259563"/>
      <w:r w:rsidRPr="002C2B23">
        <w:rPr>
          <w:bCs/>
          <w:sz w:val="24"/>
          <w:lang w:eastAsia="zh-CN"/>
        </w:rPr>
        <w:t>或变更</w:t>
      </w:r>
      <w:bookmarkEnd w:id="306"/>
      <w:r w:rsidRPr="002C2B23">
        <w:rPr>
          <w:bCs/>
          <w:sz w:val="24"/>
          <w:lang w:eastAsia="zh-CN"/>
        </w:rPr>
        <w:t>上述规定，如适用于本基金，基金管理人在履行适当程序后，则本基金投资不再受相关限制</w:t>
      </w:r>
      <w:bookmarkStart w:id="307" w:name="_Hlk37259571"/>
      <w:r w:rsidRPr="002C2B23">
        <w:rPr>
          <w:bCs/>
          <w:sz w:val="24"/>
          <w:lang w:eastAsia="zh-CN"/>
        </w:rPr>
        <w:t>或以变更后的规定为准</w:t>
      </w:r>
      <w:bookmarkEnd w:id="307"/>
      <w:r w:rsidRPr="002C2B23">
        <w:rPr>
          <w:bCs/>
          <w:sz w:val="24"/>
          <w:lang w:eastAsia="zh-CN"/>
        </w:rPr>
        <w:t>。</w:t>
      </w:r>
    </w:p>
    <w:p w14:paraId="15175002" w14:textId="77777777" w:rsidR="005039DD" w:rsidRPr="002C2B23" w:rsidRDefault="005039DD">
      <w:pPr>
        <w:spacing w:line="360" w:lineRule="auto"/>
        <w:ind w:firstLine="480"/>
        <w:rPr>
          <w:bCs/>
          <w:sz w:val="24"/>
          <w:lang w:eastAsia="zh-CN"/>
        </w:rPr>
      </w:pPr>
    </w:p>
    <w:bookmarkEnd w:id="304"/>
    <w:p w14:paraId="3A652243" w14:textId="77777777" w:rsidR="005039DD" w:rsidRPr="002C2B23" w:rsidRDefault="0040620F">
      <w:pPr>
        <w:spacing w:line="360" w:lineRule="auto"/>
        <w:ind w:firstLine="480"/>
        <w:rPr>
          <w:bCs/>
          <w:sz w:val="24"/>
          <w:lang w:eastAsia="zh-CN"/>
        </w:rPr>
      </w:pPr>
      <w:r w:rsidRPr="002C2B23">
        <w:rPr>
          <w:bCs/>
          <w:sz w:val="24"/>
          <w:lang w:eastAsia="zh-CN"/>
        </w:rPr>
        <w:t>五、业绩比较基准</w:t>
      </w:r>
    </w:p>
    <w:p w14:paraId="54E02D65" w14:textId="77777777" w:rsidR="005039DD" w:rsidRPr="002C2B23" w:rsidRDefault="0040620F">
      <w:pPr>
        <w:spacing w:line="360" w:lineRule="auto"/>
        <w:ind w:firstLine="480"/>
        <w:rPr>
          <w:bCs/>
          <w:sz w:val="24"/>
          <w:lang w:eastAsia="zh-CN"/>
        </w:rPr>
      </w:pPr>
      <w:r w:rsidRPr="002C2B23">
        <w:rPr>
          <w:bCs/>
          <w:sz w:val="24"/>
          <w:lang w:eastAsia="zh-CN"/>
        </w:rPr>
        <w:t>本基金的业绩比较基准为：</w:t>
      </w:r>
      <w:r w:rsidRPr="002C2B23">
        <w:rPr>
          <w:rFonts w:hint="eastAsia"/>
          <w:bCs/>
          <w:sz w:val="24"/>
          <w:lang w:eastAsia="zh-CN"/>
        </w:rPr>
        <w:t>沪深</w:t>
      </w:r>
      <w:r w:rsidRPr="002C2B23">
        <w:rPr>
          <w:rFonts w:hint="eastAsia"/>
          <w:bCs/>
          <w:sz w:val="24"/>
          <w:lang w:eastAsia="zh-CN"/>
        </w:rPr>
        <w:t>300</w:t>
      </w:r>
      <w:r w:rsidRPr="002C2B23">
        <w:rPr>
          <w:rFonts w:hint="eastAsia"/>
          <w:bCs/>
          <w:sz w:val="24"/>
          <w:lang w:eastAsia="zh-CN"/>
        </w:rPr>
        <w:t>指数收益率</w:t>
      </w:r>
      <w:r w:rsidRPr="002C2B23">
        <w:rPr>
          <w:rFonts w:hint="eastAsia"/>
          <w:bCs/>
          <w:sz w:val="24"/>
          <w:lang w:eastAsia="zh-CN"/>
        </w:rPr>
        <w:t>*70%+</w:t>
      </w:r>
      <w:r w:rsidRPr="002C2B23">
        <w:rPr>
          <w:rFonts w:hint="eastAsia"/>
          <w:bCs/>
          <w:sz w:val="24"/>
          <w:lang w:eastAsia="zh-CN"/>
        </w:rPr>
        <w:t>中</w:t>
      </w:r>
      <w:proofErr w:type="gramStart"/>
      <w:r w:rsidRPr="002C2B23">
        <w:rPr>
          <w:rFonts w:hint="eastAsia"/>
          <w:bCs/>
          <w:sz w:val="24"/>
          <w:lang w:eastAsia="zh-CN"/>
        </w:rPr>
        <w:t>债综合全价指数</w:t>
      </w:r>
      <w:proofErr w:type="gramEnd"/>
      <w:r w:rsidRPr="002C2B23">
        <w:rPr>
          <w:rFonts w:hint="eastAsia"/>
          <w:bCs/>
          <w:sz w:val="24"/>
          <w:lang w:eastAsia="zh-CN"/>
        </w:rPr>
        <w:t>收益率</w:t>
      </w:r>
      <w:r w:rsidRPr="002C2B23">
        <w:rPr>
          <w:rFonts w:hint="eastAsia"/>
          <w:bCs/>
          <w:sz w:val="24"/>
          <w:lang w:eastAsia="zh-CN"/>
        </w:rPr>
        <w:t>*20%+</w:t>
      </w:r>
      <w:r w:rsidRPr="002C2B23">
        <w:rPr>
          <w:rFonts w:hint="eastAsia"/>
          <w:bCs/>
          <w:sz w:val="24"/>
          <w:lang w:eastAsia="zh-CN"/>
        </w:rPr>
        <w:t>中证港股</w:t>
      </w:r>
      <w:proofErr w:type="gramStart"/>
      <w:r w:rsidRPr="002C2B23">
        <w:rPr>
          <w:rFonts w:hint="eastAsia"/>
          <w:bCs/>
          <w:sz w:val="24"/>
          <w:lang w:eastAsia="zh-CN"/>
        </w:rPr>
        <w:t>通综合</w:t>
      </w:r>
      <w:proofErr w:type="gramEnd"/>
      <w:r w:rsidRPr="002C2B23">
        <w:rPr>
          <w:rFonts w:hint="eastAsia"/>
          <w:bCs/>
          <w:sz w:val="24"/>
          <w:lang w:eastAsia="zh-CN"/>
        </w:rPr>
        <w:t>指数（人民币）收益率</w:t>
      </w:r>
      <w:r w:rsidRPr="002C2B23">
        <w:rPr>
          <w:rFonts w:hint="eastAsia"/>
          <w:bCs/>
          <w:sz w:val="24"/>
          <w:lang w:eastAsia="zh-CN"/>
        </w:rPr>
        <w:t>*10%</w:t>
      </w:r>
    </w:p>
    <w:p w14:paraId="373A595A" w14:textId="77777777" w:rsidR="005039DD" w:rsidRPr="002C2B23" w:rsidRDefault="0040620F">
      <w:pPr>
        <w:spacing w:line="360" w:lineRule="auto"/>
        <w:ind w:firstLine="480"/>
        <w:rPr>
          <w:bCs/>
          <w:sz w:val="24"/>
          <w:lang w:eastAsia="zh-CN"/>
        </w:rPr>
      </w:pPr>
      <w:r w:rsidRPr="002C2B23">
        <w:rPr>
          <w:rFonts w:hint="eastAsia"/>
          <w:bCs/>
          <w:sz w:val="24"/>
          <w:lang w:eastAsia="zh-CN"/>
        </w:rPr>
        <w:t>1</w:t>
      </w:r>
      <w:r w:rsidRPr="002C2B23">
        <w:rPr>
          <w:rFonts w:hint="eastAsia"/>
          <w:bCs/>
          <w:sz w:val="24"/>
          <w:lang w:eastAsia="zh-CN"/>
        </w:rPr>
        <w:t>、业绩比较基准设定的原因</w:t>
      </w:r>
    </w:p>
    <w:p w14:paraId="5482AD7B" w14:textId="77777777" w:rsidR="005039DD" w:rsidRPr="002C2B23" w:rsidRDefault="0040620F">
      <w:pPr>
        <w:spacing w:line="360" w:lineRule="auto"/>
        <w:ind w:firstLine="480"/>
        <w:rPr>
          <w:bCs/>
          <w:sz w:val="24"/>
          <w:lang w:eastAsia="zh-CN"/>
        </w:rPr>
      </w:pPr>
      <w:r w:rsidRPr="002C2B23">
        <w:rPr>
          <w:rFonts w:hint="eastAsia"/>
          <w:bCs/>
          <w:sz w:val="24"/>
          <w:lang w:eastAsia="zh-CN"/>
        </w:rPr>
        <w:t>（</w:t>
      </w:r>
      <w:r w:rsidRPr="002C2B23">
        <w:rPr>
          <w:rFonts w:hint="eastAsia"/>
          <w:bCs/>
          <w:sz w:val="24"/>
          <w:lang w:eastAsia="zh-CN"/>
        </w:rPr>
        <w:t>1</w:t>
      </w:r>
      <w:r w:rsidRPr="002C2B23">
        <w:rPr>
          <w:rFonts w:hint="eastAsia"/>
          <w:bCs/>
          <w:sz w:val="24"/>
          <w:lang w:eastAsia="zh-CN"/>
        </w:rPr>
        <w:t>）基于基金投资范围以及预期投资的主要资产类别，本基金主要投资于</w:t>
      </w:r>
      <w:r w:rsidRPr="002C2B23">
        <w:rPr>
          <w:rFonts w:hint="eastAsia"/>
          <w:bCs/>
          <w:sz w:val="24"/>
          <w:lang w:eastAsia="zh-CN"/>
        </w:rPr>
        <w:t>A</w:t>
      </w:r>
      <w:r w:rsidRPr="002C2B23">
        <w:rPr>
          <w:rFonts w:hint="eastAsia"/>
          <w:bCs/>
          <w:sz w:val="24"/>
          <w:lang w:eastAsia="zh-CN"/>
        </w:rPr>
        <w:t>股股票、港股通股票、债券等资产，相应选取与之匹配的</w:t>
      </w:r>
      <w:r w:rsidRPr="002C2B23">
        <w:rPr>
          <w:rFonts w:hint="eastAsia"/>
          <w:bCs/>
          <w:sz w:val="24"/>
          <w:lang w:eastAsia="zh-CN"/>
        </w:rPr>
        <w:t>A</w:t>
      </w:r>
      <w:r w:rsidRPr="002C2B23">
        <w:rPr>
          <w:rFonts w:hint="eastAsia"/>
          <w:bCs/>
          <w:sz w:val="24"/>
          <w:lang w:eastAsia="zh-CN"/>
        </w:rPr>
        <w:t>股指数、港股指数、债券指数作为基准要素。同时基于基金投资股票资产占基金资产的比例为</w:t>
      </w:r>
      <w:r w:rsidRPr="002C2B23">
        <w:rPr>
          <w:rFonts w:hint="eastAsia"/>
          <w:bCs/>
          <w:sz w:val="24"/>
          <w:lang w:eastAsia="zh-CN"/>
        </w:rPr>
        <w:t>60%-95%</w:t>
      </w:r>
      <w:r w:rsidRPr="002C2B23">
        <w:rPr>
          <w:rFonts w:hint="eastAsia"/>
          <w:bCs/>
          <w:sz w:val="24"/>
          <w:lang w:eastAsia="zh-CN"/>
        </w:rPr>
        <w:t>（其中港股</w:t>
      </w:r>
      <w:proofErr w:type="gramStart"/>
      <w:r w:rsidRPr="002C2B23">
        <w:rPr>
          <w:rFonts w:hint="eastAsia"/>
          <w:bCs/>
          <w:sz w:val="24"/>
          <w:lang w:eastAsia="zh-CN"/>
        </w:rPr>
        <w:t>通股票</w:t>
      </w:r>
      <w:proofErr w:type="gramEnd"/>
      <w:r w:rsidRPr="002C2B23">
        <w:rPr>
          <w:rFonts w:hint="eastAsia"/>
          <w:bCs/>
          <w:sz w:val="24"/>
          <w:lang w:eastAsia="zh-CN"/>
        </w:rPr>
        <w:t>不超过股票资产的</w:t>
      </w:r>
      <w:r w:rsidRPr="002C2B23">
        <w:rPr>
          <w:rFonts w:hint="eastAsia"/>
          <w:bCs/>
          <w:sz w:val="24"/>
          <w:lang w:eastAsia="zh-CN"/>
        </w:rPr>
        <w:t>50%)</w:t>
      </w:r>
      <w:r w:rsidRPr="002C2B23">
        <w:rPr>
          <w:rFonts w:hint="eastAsia"/>
          <w:bCs/>
          <w:sz w:val="24"/>
          <w:lang w:eastAsia="zh-CN"/>
        </w:rPr>
        <w:t>等投资比例限制，以及预期的资产配置比例中枢，本基金将股票资产与债券资产所对应的基准要素权重分别设置为</w:t>
      </w:r>
      <w:r w:rsidRPr="002C2B23">
        <w:rPr>
          <w:rFonts w:hint="eastAsia"/>
          <w:bCs/>
          <w:sz w:val="24"/>
          <w:lang w:eastAsia="zh-CN"/>
        </w:rPr>
        <w:t>80%</w:t>
      </w:r>
      <w:r w:rsidRPr="002C2B23">
        <w:rPr>
          <w:rFonts w:hint="eastAsia"/>
          <w:bCs/>
          <w:sz w:val="24"/>
          <w:lang w:eastAsia="zh-CN"/>
        </w:rPr>
        <w:t>与</w:t>
      </w:r>
      <w:r w:rsidRPr="002C2B23">
        <w:rPr>
          <w:rFonts w:hint="eastAsia"/>
          <w:bCs/>
          <w:sz w:val="24"/>
          <w:lang w:eastAsia="zh-CN"/>
        </w:rPr>
        <w:t>20%,</w:t>
      </w:r>
      <w:r w:rsidRPr="002C2B23">
        <w:rPr>
          <w:rFonts w:hint="eastAsia"/>
          <w:bCs/>
          <w:sz w:val="24"/>
          <w:lang w:eastAsia="zh-CN"/>
        </w:rPr>
        <w:t>其中将股票资产中的</w:t>
      </w:r>
      <w:r w:rsidRPr="002C2B23">
        <w:rPr>
          <w:rFonts w:hint="eastAsia"/>
          <w:bCs/>
          <w:sz w:val="24"/>
          <w:lang w:eastAsia="zh-CN"/>
        </w:rPr>
        <w:t>A</w:t>
      </w:r>
      <w:r w:rsidRPr="002C2B23">
        <w:rPr>
          <w:rFonts w:hint="eastAsia"/>
          <w:bCs/>
          <w:sz w:val="24"/>
          <w:lang w:eastAsia="zh-CN"/>
        </w:rPr>
        <w:t>股股票与港股</w:t>
      </w:r>
      <w:proofErr w:type="gramStart"/>
      <w:r w:rsidRPr="002C2B23">
        <w:rPr>
          <w:rFonts w:hint="eastAsia"/>
          <w:bCs/>
          <w:sz w:val="24"/>
          <w:lang w:eastAsia="zh-CN"/>
        </w:rPr>
        <w:t>通股票</w:t>
      </w:r>
      <w:proofErr w:type="gramEnd"/>
      <w:r w:rsidRPr="002C2B23">
        <w:rPr>
          <w:rFonts w:hint="eastAsia"/>
          <w:bCs/>
          <w:sz w:val="24"/>
          <w:lang w:eastAsia="zh-CN"/>
        </w:rPr>
        <w:t>所对应的基准要素权重分别设置为</w:t>
      </w:r>
      <w:r w:rsidRPr="002C2B23">
        <w:rPr>
          <w:rFonts w:hint="eastAsia"/>
          <w:bCs/>
          <w:sz w:val="24"/>
          <w:lang w:eastAsia="zh-CN"/>
        </w:rPr>
        <w:t>70%</w:t>
      </w:r>
      <w:r w:rsidRPr="002C2B23">
        <w:rPr>
          <w:rFonts w:hint="eastAsia"/>
          <w:bCs/>
          <w:sz w:val="24"/>
          <w:lang w:eastAsia="zh-CN"/>
        </w:rPr>
        <w:t>与</w:t>
      </w:r>
      <w:r w:rsidRPr="002C2B23">
        <w:rPr>
          <w:rFonts w:hint="eastAsia"/>
          <w:bCs/>
          <w:sz w:val="24"/>
          <w:lang w:eastAsia="zh-CN"/>
        </w:rPr>
        <w:t>10%</w:t>
      </w:r>
      <w:r w:rsidRPr="002C2B23">
        <w:rPr>
          <w:rFonts w:hint="eastAsia"/>
          <w:bCs/>
          <w:sz w:val="24"/>
          <w:lang w:eastAsia="zh-CN"/>
        </w:rPr>
        <w:t>。</w:t>
      </w:r>
    </w:p>
    <w:p w14:paraId="34463514" w14:textId="77777777" w:rsidR="005039DD" w:rsidRPr="002C2B23" w:rsidRDefault="0040620F">
      <w:pPr>
        <w:spacing w:line="360" w:lineRule="auto"/>
        <w:ind w:firstLine="480"/>
        <w:rPr>
          <w:bCs/>
          <w:sz w:val="24"/>
          <w:lang w:eastAsia="zh-CN"/>
        </w:rPr>
      </w:pPr>
      <w:r w:rsidRPr="002C2B23">
        <w:rPr>
          <w:rFonts w:hint="eastAsia"/>
          <w:bCs/>
          <w:sz w:val="24"/>
          <w:lang w:eastAsia="zh-CN"/>
        </w:rPr>
        <w:t>（</w:t>
      </w:r>
      <w:r w:rsidRPr="002C2B23">
        <w:rPr>
          <w:rFonts w:hint="eastAsia"/>
          <w:bCs/>
          <w:sz w:val="24"/>
          <w:lang w:eastAsia="zh-CN"/>
        </w:rPr>
        <w:t>2</w:t>
      </w:r>
      <w:r w:rsidRPr="002C2B23">
        <w:rPr>
          <w:rFonts w:hint="eastAsia"/>
          <w:bCs/>
          <w:sz w:val="24"/>
          <w:lang w:eastAsia="zh-CN"/>
        </w:rPr>
        <w:t>）基于基金投资目标、投资范围和投资策略，本基金的股票资产采用全市场选股策略，通过定性分析和定量分析相结合的方法对公司基本面进行持续跟踪分析，挖掘</w:t>
      </w:r>
      <w:r w:rsidRPr="002C2B23">
        <w:rPr>
          <w:rFonts w:hint="eastAsia"/>
          <w:bCs/>
          <w:sz w:val="24"/>
          <w:lang w:eastAsia="zh-CN"/>
        </w:rPr>
        <w:t xml:space="preserve"> A </w:t>
      </w:r>
      <w:r w:rsidRPr="002C2B23">
        <w:rPr>
          <w:rFonts w:hint="eastAsia"/>
          <w:bCs/>
          <w:sz w:val="24"/>
          <w:lang w:eastAsia="zh-CN"/>
        </w:rPr>
        <w:t>股与港股</w:t>
      </w:r>
      <w:proofErr w:type="gramStart"/>
      <w:r w:rsidRPr="002C2B23">
        <w:rPr>
          <w:rFonts w:hint="eastAsia"/>
          <w:bCs/>
          <w:sz w:val="24"/>
          <w:lang w:eastAsia="zh-CN"/>
        </w:rPr>
        <w:t>通范围</w:t>
      </w:r>
      <w:proofErr w:type="gramEnd"/>
      <w:r w:rsidRPr="002C2B23">
        <w:rPr>
          <w:rFonts w:hint="eastAsia"/>
          <w:bCs/>
          <w:sz w:val="24"/>
          <w:lang w:eastAsia="zh-CN"/>
        </w:rPr>
        <w:t>内的优质公司，从而在控制风险的基础上追求超越业绩比较基准的投资回报。综合考虑基准指数与产品定位和投资风格的匹配度，同时兼顾考虑基准指数的表征性、认可度，以及</w:t>
      </w:r>
      <w:proofErr w:type="gramStart"/>
      <w:r w:rsidRPr="002C2B23">
        <w:rPr>
          <w:rFonts w:hint="eastAsia"/>
          <w:bCs/>
          <w:sz w:val="24"/>
          <w:lang w:eastAsia="zh-CN"/>
        </w:rPr>
        <w:t>指数盘别</w:t>
      </w:r>
      <w:proofErr w:type="gramEnd"/>
      <w:r w:rsidRPr="002C2B23">
        <w:rPr>
          <w:rFonts w:hint="eastAsia"/>
          <w:bCs/>
          <w:sz w:val="24"/>
          <w:lang w:eastAsia="zh-CN"/>
        </w:rPr>
        <w:t>/</w:t>
      </w:r>
      <w:r w:rsidRPr="002C2B23">
        <w:rPr>
          <w:rFonts w:hint="eastAsia"/>
          <w:bCs/>
          <w:sz w:val="24"/>
          <w:lang w:eastAsia="zh-CN"/>
        </w:rPr>
        <w:t>市值覆盖、风格特征、行业与</w:t>
      </w:r>
      <w:proofErr w:type="gramStart"/>
      <w:r w:rsidRPr="002C2B23">
        <w:rPr>
          <w:rFonts w:hint="eastAsia"/>
          <w:bCs/>
          <w:sz w:val="24"/>
          <w:lang w:eastAsia="zh-CN"/>
        </w:rPr>
        <w:t>个股分</w:t>
      </w:r>
      <w:proofErr w:type="gramEnd"/>
      <w:r w:rsidRPr="002C2B23">
        <w:rPr>
          <w:rFonts w:hint="eastAsia"/>
          <w:bCs/>
          <w:sz w:val="24"/>
          <w:lang w:eastAsia="zh-CN"/>
        </w:rPr>
        <w:t>布等，本基金选取沪深</w:t>
      </w:r>
      <w:r w:rsidRPr="002C2B23">
        <w:rPr>
          <w:rFonts w:hint="eastAsia"/>
          <w:bCs/>
          <w:sz w:val="24"/>
          <w:lang w:eastAsia="zh-CN"/>
        </w:rPr>
        <w:t>300</w:t>
      </w:r>
      <w:r w:rsidRPr="002C2B23">
        <w:rPr>
          <w:rFonts w:hint="eastAsia"/>
          <w:bCs/>
          <w:sz w:val="24"/>
          <w:lang w:eastAsia="zh-CN"/>
        </w:rPr>
        <w:t>指数和中证港股</w:t>
      </w:r>
      <w:proofErr w:type="gramStart"/>
      <w:r w:rsidRPr="002C2B23">
        <w:rPr>
          <w:rFonts w:hint="eastAsia"/>
          <w:bCs/>
          <w:sz w:val="24"/>
          <w:lang w:eastAsia="zh-CN"/>
        </w:rPr>
        <w:t>通综合</w:t>
      </w:r>
      <w:proofErr w:type="gramEnd"/>
      <w:r w:rsidRPr="002C2B23">
        <w:rPr>
          <w:rFonts w:hint="eastAsia"/>
          <w:bCs/>
          <w:sz w:val="24"/>
          <w:lang w:eastAsia="zh-CN"/>
        </w:rPr>
        <w:t>指数（人民币）分别作为</w:t>
      </w:r>
      <w:r w:rsidRPr="002C2B23">
        <w:rPr>
          <w:rFonts w:hint="eastAsia"/>
          <w:bCs/>
          <w:sz w:val="24"/>
          <w:lang w:eastAsia="zh-CN"/>
        </w:rPr>
        <w:t>A</w:t>
      </w:r>
      <w:r w:rsidRPr="002C2B23">
        <w:rPr>
          <w:rFonts w:hint="eastAsia"/>
          <w:bCs/>
          <w:sz w:val="24"/>
          <w:lang w:eastAsia="zh-CN"/>
        </w:rPr>
        <w:t>股股票和港股</w:t>
      </w:r>
      <w:proofErr w:type="gramStart"/>
      <w:r w:rsidRPr="002C2B23">
        <w:rPr>
          <w:rFonts w:hint="eastAsia"/>
          <w:bCs/>
          <w:sz w:val="24"/>
          <w:lang w:eastAsia="zh-CN"/>
        </w:rPr>
        <w:t>通股票</w:t>
      </w:r>
      <w:proofErr w:type="gramEnd"/>
      <w:r w:rsidRPr="002C2B23">
        <w:rPr>
          <w:rFonts w:hint="eastAsia"/>
          <w:bCs/>
          <w:sz w:val="24"/>
          <w:lang w:eastAsia="zh-CN"/>
        </w:rPr>
        <w:t>部分的业绩比较基准要素。</w:t>
      </w:r>
    </w:p>
    <w:p w14:paraId="046F219A" w14:textId="77777777" w:rsidR="005039DD" w:rsidRPr="002C2B23" w:rsidRDefault="0040620F">
      <w:pPr>
        <w:spacing w:line="360" w:lineRule="auto"/>
        <w:ind w:firstLine="480"/>
        <w:rPr>
          <w:bCs/>
          <w:sz w:val="24"/>
          <w:lang w:eastAsia="zh-CN"/>
        </w:rPr>
      </w:pPr>
      <w:r w:rsidRPr="002C2B23">
        <w:rPr>
          <w:rFonts w:hint="eastAsia"/>
          <w:bCs/>
          <w:sz w:val="24"/>
          <w:lang w:eastAsia="zh-CN"/>
        </w:rPr>
        <w:t>沪深</w:t>
      </w:r>
      <w:r w:rsidRPr="002C2B23">
        <w:rPr>
          <w:rFonts w:hint="eastAsia"/>
          <w:bCs/>
          <w:sz w:val="24"/>
          <w:lang w:eastAsia="zh-CN"/>
        </w:rPr>
        <w:t>300</w:t>
      </w:r>
      <w:r w:rsidRPr="002C2B23">
        <w:rPr>
          <w:rFonts w:hint="eastAsia"/>
          <w:bCs/>
          <w:sz w:val="24"/>
          <w:lang w:eastAsia="zh-CN"/>
        </w:rPr>
        <w:t>指数是由中证指数有限公司编制，由上海和深圳证券市场中市值大、流动性好的</w:t>
      </w:r>
      <w:r w:rsidRPr="002C2B23">
        <w:rPr>
          <w:bCs/>
          <w:sz w:val="24"/>
          <w:lang w:eastAsia="zh-CN"/>
        </w:rPr>
        <w:t>300</w:t>
      </w:r>
      <w:r w:rsidRPr="002C2B23">
        <w:rPr>
          <w:rFonts w:hint="eastAsia"/>
          <w:bCs/>
          <w:sz w:val="24"/>
          <w:lang w:eastAsia="zh-CN"/>
        </w:rPr>
        <w:t>只股票组成，综合反映中国</w:t>
      </w:r>
      <w:r w:rsidRPr="002C2B23">
        <w:rPr>
          <w:rFonts w:hint="eastAsia"/>
          <w:bCs/>
          <w:sz w:val="24"/>
          <w:lang w:eastAsia="zh-CN"/>
        </w:rPr>
        <w:t>A</w:t>
      </w:r>
      <w:r w:rsidRPr="002C2B23">
        <w:rPr>
          <w:rFonts w:hint="eastAsia"/>
          <w:bCs/>
          <w:sz w:val="24"/>
          <w:lang w:eastAsia="zh-CN"/>
        </w:rPr>
        <w:t>股市场上市股票价格的整体表现，适合作为本基金</w:t>
      </w:r>
      <w:r w:rsidRPr="002C2B23">
        <w:rPr>
          <w:rFonts w:hint="eastAsia"/>
          <w:bCs/>
          <w:sz w:val="24"/>
          <w:lang w:eastAsia="zh-CN"/>
        </w:rPr>
        <w:t>A</w:t>
      </w:r>
      <w:r w:rsidRPr="002C2B23">
        <w:rPr>
          <w:rFonts w:hint="eastAsia"/>
          <w:bCs/>
          <w:sz w:val="24"/>
          <w:lang w:eastAsia="zh-CN"/>
        </w:rPr>
        <w:t>股股票部分的业绩比较基准要素。</w:t>
      </w:r>
    </w:p>
    <w:p w14:paraId="3668C28C" w14:textId="77777777" w:rsidR="005039DD" w:rsidRPr="002C2B23" w:rsidRDefault="0040620F">
      <w:pPr>
        <w:spacing w:line="360" w:lineRule="auto"/>
        <w:ind w:firstLine="480"/>
        <w:rPr>
          <w:bCs/>
          <w:sz w:val="24"/>
          <w:lang w:eastAsia="zh-CN"/>
        </w:rPr>
      </w:pPr>
      <w:r w:rsidRPr="002C2B23">
        <w:rPr>
          <w:rFonts w:hint="eastAsia"/>
          <w:bCs/>
          <w:sz w:val="24"/>
          <w:lang w:eastAsia="zh-CN"/>
        </w:rPr>
        <w:t>中证港股</w:t>
      </w:r>
      <w:proofErr w:type="gramStart"/>
      <w:r w:rsidRPr="002C2B23">
        <w:rPr>
          <w:rFonts w:hint="eastAsia"/>
          <w:bCs/>
          <w:sz w:val="24"/>
          <w:lang w:eastAsia="zh-CN"/>
        </w:rPr>
        <w:t>通综合</w:t>
      </w:r>
      <w:proofErr w:type="gramEnd"/>
      <w:r w:rsidRPr="002C2B23">
        <w:rPr>
          <w:rFonts w:hint="eastAsia"/>
          <w:bCs/>
          <w:sz w:val="24"/>
          <w:lang w:eastAsia="zh-CN"/>
        </w:rPr>
        <w:t>指数（人民币）选取符合港股</w:t>
      </w:r>
      <w:proofErr w:type="gramStart"/>
      <w:r w:rsidRPr="002C2B23">
        <w:rPr>
          <w:rFonts w:hint="eastAsia"/>
          <w:bCs/>
          <w:sz w:val="24"/>
          <w:lang w:eastAsia="zh-CN"/>
        </w:rPr>
        <w:t>通资格</w:t>
      </w:r>
      <w:proofErr w:type="gramEnd"/>
      <w:r w:rsidRPr="002C2B23">
        <w:rPr>
          <w:rFonts w:hint="eastAsia"/>
          <w:bCs/>
          <w:sz w:val="24"/>
          <w:lang w:eastAsia="zh-CN"/>
        </w:rPr>
        <w:t>的上市公司证券作为样本，反映港股</w:t>
      </w:r>
      <w:proofErr w:type="gramStart"/>
      <w:r w:rsidRPr="002C2B23">
        <w:rPr>
          <w:rFonts w:hint="eastAsia"/>
          <w:bCs/>
          <w:sz w:val="24"/>
          <w:lang w:eastAsia="zh-CN"/>
        </w:rPr>
        <w:t>通范围</w:t>
      </w:r>
      <w:proofErr w:type="gramEnd"/>
      <w:r w:rsidRPr="002C2B23">
        <w:rPr>
          <w:rFonts w:hint="eastAsia"/>
          <w:bCs/>
          <w:sz w:val="24"/>
          <w:lang w:eastAsia="zh-CN"/>
        </w:rPr>
        <w:t>内上市公司的整体表现，适合作为本基金港股</w:t>
      </w:r>
      <w:proofErr w:type="gramStart"/>
      <w:r w:rsidRPr="002C2B23">
        <w:rPr>
          <w:rFonts w:hint="eastAsia"/>
          <w:bCs/>
          <w:sz w:val="24"/>
          <w:lang w:eastAsia="zh-CN"/>
        </w:rPr>
        <w:t>通股票</w:t>
      </w:r>
      <w:proofErr w:type="gramEnd"/>
      <w:r w:rsidRPr="002C2B23">
        <w:rPr>
          <w:rFonts w:hint="eastAsia"/>
          <w:bCs/>
          <w:sz w:val="24"/>
          <w:lang w:eastAsia="zh-CN"/>
        </w:rPr>
        <w:t>部分的业绩比较基准要素。</w:t>
      </w:r>
    </w:p>
    <w:p w14:paraId="6BFC5823" w14:textId="77777777" w:rsidR="005039DD" w:rsidRPr="002C2B23" w:rsidRDefault="0040620F">
      <w:pPr>
        <w:spacing w:line="360" w:lineRule="auto"/>
        <w:ind w:firstLine="480"/>
        <w:rPr>
          <w:bCs/>
          <w:sz w:val="24"/>
          <w:lang w:eastAsia="zh-CN"/>
        </w:rPr>
      </w:pPr>
      <w:r w:rsidRPr="002C2B23">
        <w:rPr>
          <w:rFonts w:hint="eastAsia"/>
          <w:bCs/>
          <w:sz w:val="24"/>
          <w:lang w:eastAsia="zh-CN"/>
        </w:rPr>
        <w:t>（</w:t>
      </w:r>
      <w:r w:rsidRPr="002C2B23">
        <w:rPr>
          <w:rFonts w:hint="eastAsia"/>
          <w:bCs/>
          <w:sz w:val="24"/>
          <w:lang w:eastAsia="zh-CN"/>
        </w:rPr>
        <w:t>3</w:t>
      </w:r>
      <w:r w:rsidRPr="002C2B23">
        <w:rPr>
          <w:rFonts w:hint="eastAsia"/>
          <w:bCs/>
          <w:sz w:val="24"/>
          <w:lang w:eastAsia="zh-CN"/>
        </w:rPr>
        <w:t>）基于基金投资目标、投资范围和投资策略，本基金的债券资产采用全市场策略，主要通过类属配置与券种选择进行投资管理。综合考虑基准指数与产品定位和投资风格的匹配度，同时兼顾考虑基准指数的表征性、认可度，以及基准指数券种、久期、信用等级分布特征等，本基金选取中</w:t>
      </w:r>
      <w:proofErr w:type="gramStart"/>
      <w:r w:rsidRPr="002C2B23">
        <w:rPr>
          <w:rFonts w:hint="eastAsia"/>
          <w:bCs/>
          <w:sz w:val="24"/>
          <w:lang w:eastAsia="zh-CN"/>
        </w:rPr>
        <w:t>债综合全价指数</w:t>
      </w:r>
      <w:proofErr w:type="gramEnd"/>
      <w:r w:rsidRPr="002C2B23">
        <w:rPr>
          <w:rFonts w:hint="eastAsia"/>
          <w:bCs/>
          <w:sz w:val="24"/>
          <w:lang w:eastAsia="zh-CN"/>
        </w:rPr>
        <w:t>作为债券部分的业绩比较基准要素。</w:t>
      </w:r>
    </w:p>
    <w:p w14:paraId="4ACE2A67" w14:textId="77777777" w:rsidR="005039DD" w:rsidRPr="002C2B23" w:rsidRDefault="0040620F">
      <w:pPr>
        <w:spacing w:line="360" w:lineRule="auto"/>
        <w:ind w:firstLine="480"/>
        <w:rPr>
          <w:bCs/>
          <w:sz w:val="24"/>
          <w:lang w:eastAsia="zh-CN"/>
        </w:rPr>
      </w:pPr>
      <w:r w:rsidRPr="002C2B23">
        <w:rPr>
          <w:rFonts w:hint="eastAsia"/>
          <w:bCs/>
          <w:sz w:val="24"/>
          <w:lang w:eastAsia="zh-CN"/>
        </w:rPr>
        <w:t>中</w:t>
      </w:r>
      <w:proofErr w:type="gramStart"/>
      <w:r w:rsidRPr="002C2B23">
        <w:rPr>
          <w:rFonts w:hint="eastAsia"/>
          <w:bCs/>
          <w:sz w:val="24"/>
          <w:lang w:eastAsia="zh-CN"/>
        </w:rPr>
        <w:t>债综合全价指数</w:t>
      </w:r>
      <w:proofErr w:type="gramEnd"/>
      <w:r w:rsidRPr="002C2B23">
        <w:rPr>
          <w:rFonts w:hint="eastAsia"/>
          <w:bCs/>
          <w:sz w:val="24"/>
          <w:lang w:eastAsia="zh-CN"/>
        </w:rPr>
        <w:t>样本债券涵盖的范围全面，具有广泛的市场代表性，涵盖主要交易市场（银行间市场、交易所市场等）、</w:t>
      </w:r>
      <w:proofErr w:type="gramStart"/>
      <w:r w:rsidRPr="002C2B23">
        <w:rPr>
          <w:rFonts w:hint="eastAsia"/>
          <w:bCs/>
          <w:sz w:val="24"/>
          <w:lang w:eastAsia="zh-CN"/>
        </w:rPr>
        <w:t>不同发行</w:t>
      </w:r>
      <w:proofErr w:type="gramEnd"/>
      <w:r w:rsidRPr="002C2B23">
        <w:rPr>
          <w:rFonts w:hint="eastAsia"/>
          <w:bCs/>
          <w:sz w:val="24"/>
          <w:lang w:eastAsia="zh-CN"/>
        </w:rPr>
        <w:t>主体（政府、企业等）和期限（长期、中期、短期等），能够很好地反映中国债券市场总体价格水平和变动趋势，适合作为本基金债券投资部分的业绩比较基准要素。</w:t>
      </w:r>
    </w:p>
    <w:p w14:paraId="623D9CA3" w14:textId="77777777" w:rsidR="005039DD" w:rsidRPr="002C2B23" w:rsidRDefault="0040620F">
      <w:pPr>
        <w:spacing w:line="360" w:lineRule="auto"/>
        <w:ind w:firstLine="480"/>
        <w:rPr>
          <w:bCs/>
          <w:sz w:val="24"/>
          <w:lang w:eastAsia="zh-CN"/>
        </w:rPr>
      </w:pPr>
      <w:r w:rsidRPr="002C2B23">
        <w:rPr>
          <w:rFonts w:hint="eastAsia"/>
          <w:bCs/>
          <w:sz w:val="24"/>
          <w:lang w:eastAsia="zh-CN"/>
        </w:rPr>
        <w:t>综上，本基金选取的业绩比较基准与基金投资目标、投资范围、投资策略、投资比例限制相匹配。</w:t>
      </w:r>
    </w:p>
    <w:p w14:paraId="70AF16A4" w14:textId="77777777" w:rsidR="005039DD" w:rsidRPr="002C2B23" w:rsidRDefault="0040620F">
      <w:pPr>
        <w:spacing w:line="360" w:lineRule="auto"/>
        <w:ind w:firstLine="480"/>
        <w:rPr>
          <w:bCs/>
          <w:sz w:val="24"/>
          <w:lang w:eastAsia="zh-CN"/>
        </w:rPr>
      </w:pPr>
      <w:r w:rsidRPr="002C2B23">
        <w:rPr>
          <w:rFonts w:hint="eastAsia"/>
          <w:bCs/>
          <w:sz w:val="24"/>
          <w:lang w:eastAsia="zh-CN"/>
        </w:rPr>
        <w:t>2</w:t>
      </w:r>
      <w:r w:rsidRPr="002C2B23">
        <w:rPr>
          <w:rFonts w:hint="eastAsia"/>
          <w:bCs/>
          <w:sz w:val="24"/>
          <w:lang w:eastAsia="zh-CN"/>
        </w:rPr>
        <w:t>、业绩比较基准要素的基本信息</w:t>
      </w:r>
    </w:p>
    <w:p w14:paraId="08049455" w14:textId="77777777" w:rsidR="005039DD" w:rsidRPr="002C2B23" w:rsidRDefault="0040620F">
      <w:pPr>
        <w:spacing w:line="360" w:lineRule="auto"/>
        <w:ind w:firstLine="480"/>
        <w:rPr>
          <w:bCs/>
          <w:sz w:val="24"/>
          <w:lang w:eastAsia="zh-CN"/>
        </w:rPr>
      </w:pPr>
      <w:r w:rsidRPr="002C2B23">
        <w:rPr>
          <w:rFonts w:hint="eastAsia"/>
          <w:bCs/>
          <w:sz w:val="24"/>
          <w:lang w:eastAsia="zh-CN"/>
        </w:rPr>
        <w:t>沪深</w:t>
      </w:r>
      <w:r w:rsidRPr="002C2B23">
        <w:rPr>
          <w:rFonts w:hint="eastAsia"/>
          <w:bCs/>
          <w:sz w:val="24"/>
          <w:lang w:eastAsia="zh-CN"/>
        </w:rPr>
        <w:t>300</w:t>
      </w:r>
      <w:r w:rsidRPr="002C2B23">
        <w:rPr>
          <w:rFonts w:hint="eastAsia"/>
          <w:bCs/>
          <w:sz w:val="24"/>
          <w:lang w:eastAsia="zh-CN"/>
        </w:rPr>
        <w:t>指数由中证指数有限公司编制发布，指数代码为</w:t>
      </w:r>
      <w:r w:rsidRPr="002C2B23">
        <w:rPr>
          <w:rFonts w:hint="eastAsia"/>
          <w:bCs/>
          <w:sz w:val="24"/>
          <w:lang w:eastAsia="zh-CN"/>
        </w:rPr>
        <w:t>000300</w:t>
      </w:r>
      <w:r w:rsidRPr="002C2B23">
        <w:rPr>
          <w:rFonts w:hint="eastAsia"/>
          <w:bCs/>
          <w:sz w:val="24"/>
          <w:lang w:eastAsia="zh-CN"/>
        </w:rPr>
        <w:t>，具体信息详见中证指数有限公司网站，网址：</w:t>
      </w:r>
      <w:r w:rsidRPr="002C2B23">
        <w:rPr>
          <w:rFonts w:hint="eastAsia"/>
          <w:bCs/>
          <w:sz w:val="24"/>
          <w:lang w:eastAsia="zh-CN"/>
        </w:rPr>
        <w:t>www.csindex.com.cn</w:t>
      </w:r>
      <w:r w:rsidRPr="002C2B23">
        <w:rPr>
          <w:rFonts w:hint="eastAsia"/>
          <w:bCs/>
          <w:sz w:val="24"/>
          <w:lang w:eastAsia="zh-CN"/>
        </w:rPr>
        <w:t>。</w:t>
      </w:r>
    </w:p>
    <w:p w14:paraId="32BB3302" w14:textId="77777777" w:rsidR="005039DD" w:rsidRPr="002C2B23" w:rsidRDefault="0040620F">
      <w:pPr>
        <w:spacing w:line="360" w:lineRule="auto"/>
        <w:ind w:firstLine="480"/>
        <w:rPr>
          <w:bCs/>
          <w:sz w:val="24"/>
          <w:lang w:eastAsia="zh-CN"/>
        </w:rPr>
      </w:pPr>
      <w:r w:rsidRPr="002C2B23">
        <w:rPr>
          <w:rFonts w:hint="eastAsia"/>
          <w:bCs/>
          <w:sz w:val="24"/>
          <w:lang w:eastAsia="zh-CN"/>
        </w:rPr>
        <w:t>中证港股</w:t>
      </w:r>
      <w:proofErr w:type="gramStart"/>
      <w:r w:rsidRPr="002C2B23">
        <w:rPr>
          <w:rFonts w:hint="eastAsia"/>
          <w:bCs/>
          <w:sz w:val="24"/>
          <w:lang w:eastAsia="zh-CN"/>
        </w:rPr>
        <w:t>通综合</w:t>
      </w:r>
      <w:proofErr w:type="gramEnd"/>
      <w:r w:rsidRPr="002C2B23">
        <w:rPr>
          <w:rFonts w:hint="eastAsia"/>
          <w:bCs/>
          <w:sz w:val="24"/>
          <w:lang w:eastAsia="zh-CN"/>
        </w:rPr>
        <w:t>指数（人民币）由中证指数有限公司编制发布，指数代码为</w:t>
      </w:r>
      <w:r w:rsidRPr="002C2B23">
        <w:rPr>
          <w:rFonts w:hint="eastAsia"/>
          <w:bCs/>
          <w:sz w:val="24"/>
          <w:lang w:eastAsia="zh-CN"/>
        </w:rPr>
        <w:t>930933</w:t>
      </w:r>
      <w:r w:rsidRPr="002C2B23">
        <w:rPr>
          <w:rFonts w:hint="eastAsia"/>
          <w:bCs/>
          <w:sz w:val="24"/>
          <w:lang w:eastAsia="zh-CN"/>
        </w:rPr>
        <w:t>，具体信息详见中证指数有限公司网站，网址：</w:t>
      </w:r>
      <w:r w:rsidRPr="002C2B23">
        <w:rPr>
          <w:rFonts w:hint="eastAsia"/>
          <w:bCs/>
          <w:sz w:val="24"/>
          <w:lang w:eastAsia="zh-CN"/>
        </w:rPr>
        <w:t>www.csindex.com.cn</w:t>
      </w:r>
      <w:r w:rsidRPr="002C2B23">
        <w:rPr>
          <w:rFonts w:hint="eastAsia"/>
          <w:bCs/>
          <w:sz w:val="24"/>
          <w:lang w:eastAsia="zh-CN"/>
        </w:rPr>
        <w:t>。</w:t>
      </w:r>
    </w:p>
    <w:p w14:paraId="52A09B0F" w14:textId="77777777" w:rsidR="005039DD" w:rsidRPr="002C2B23" w:rsidRDefault="0040620F">
      <w:pPr>
        <w:spacing w:line="360" w:lineRule="auto"/>
        <w:ind w:firstLine="480"/>
        <w:rPr>
          <w:bCs/>
          <w:sz w:val="24"/>
          <w:lang w:eastAsia="zh-CN"/>
        </w:rPr>
      </w:pPr>
      <w:r w:rsidRPr="002C2B23">
        <w:rPr>
          <w:rFonts w:hint="eastAsia"/>
          <w:bCs/>
          <w:sz w:val="24"/>
          <w:lang w:eastAsia="zh-CN"/>
        </w:rPr>
        <w:t>中</w:t>
      </w:r>
      <w:proofErr w:type="gramStart"/>
      <w:r w:rsidRPr="002C2B23">
        <w:rPr>
          <w:rFonts w:hint="eastAsia"/>
          <w:bCs/>
          <w:sz w:val="24"/>
          <w:lang w:eastAsia="zh-CN"/>
        </w:rPr>
        <w:t>债综合全价指数</w:t>
      </w:r>
      <w:proofErr w:type="gramEnd"/>
      <w:r w:rsidRPr="002C2B23">
        <w:rPr>
          <w:rFonts w:hint="eastAsia"/>
          <w:bCs/>
          <w:sz w:val="24"/>
          <w:lang w:eastAsia="zh-CN"/>
        </w:rPr>
        <w:t>由中</w:t>
      </w:r>
      <w:proofErr w:type="gramStart"/>
      <w:r w:rsidRPr="002C2B23">
        <w:rPr>
          <w:rFonts w:hint="eastAsia"/>
          <w:bCs/>
          <w:sz w:val="24"/>
          <w:lang w:eastAsia="zh-CN"/>
        </w:rPr>
        <w:t>债金融</w:t>
      </w:r>
      <w:proofErr w:type="gramEnd"/>
      <w:r w:rsidRPr="002C2B23">
        <w:rPr>
          <w:rFonts w:hint="eastAsia"/>
          <w:bCs/>
          <w:sz w:val="24"/>
          <w:lang w:eastAsia="zh-CN"/>
        </w:rPr>
        <w:t>估值中心有限公司编制发布，指数代码为</w:t>
      </w:r>
      <w:r w:rsidRPr="002C2B23">
        <w:rPr>
          <w:rFonts w:hint="eastAsia"/>
          <w:bCs/>
          <w:sz w:val="24"/>
          <w:lang w:eastAsia="zh-CN"/>
        </w:rPr>
        <w:t>CBA00203</w:t>
      </w:r>
      <w:r w:rsidRPr="002C2B23">
        <w:rPr>
          <w:rFonts w:hint="eastAsia"/>
          <w:bCs/>
          <w:sz w:val="24"/>
          <w:lang w:eastAsia="zh-CN"/>
        </w:rPr>
        <w:t>，指数具体信息详见中国债券信息网，网址</w:t>
      </w:r>
      <w:r w:rsidRPr="002C2B23">
        <w:rPr>
          <w:rFonts w:hint="eastAsia"/>
          <w:bCs/>
          <w:sz w:val="24"/>
          <w:lang w:eastAsia="zh-CN"/>
        </w:rPr>
        <w:t xml:space="preserve"> </w:t>
      </w:r>
      <w:hyperlink r:id="rId21" w:history="1">
        <w:r w:rsidRPr="002C2B23">
          <w:rPr>
            <w:rStyle w:val="aff"/>
            <w:rFonts w:hint="eastAsia"/>
            <w:bCs/>
            <w:sz w:val="24"/>
            <w:lang w:eastAsia="zh-CN"/>
          </w:rPr>
          <w:t>www.chinabond.com.cn</w:t>
        </w:r>
      </w:hyperlink>
      <w:r w:rsidRPr="002C2B23">
        <w:rPr>
          <w:rFonts w:hint="eastAsia"/>
          <w:bCs/>
          <w:sz w:val="24"/>
          <w:lang w:eastAsia="zh-CN"/>
        </w:rPr>
        <w:t>。</w:t>
      </w:r>
    </w:p>
    <w:p w14:paraId="7669654A" w14:textId="77777777" w:rsidR="005039DD" w:rsidRPr="002C2B23" w:rsidRDefault="0040620F">
      <w:pPr>
        <w:spacing w:line="360" w:lineRule="auto"/>
        <w:ind w:firstLine="480"/>
        <w:rPr>
          <w:bCs/>
          <w:sz w:val="24"/>
          <w:lang w:eastAsia="zh-CN"/>
        </w:rPr>
      </w:pPr>
      <w:r w:rsidRPr="002C2B23">
        <w:rPr>
          <w:rFonts w:hint="eastAsia"/>
          <w:bCs/>
          <w:sz w:val="24"/>
          <w:lang w:eastAsia="zh-CN"/>
        </w:rPr>
        <w:t>3</w:t>
      </w:r>
      <w:r w:rsidRPr="002C2B23">
        <w:rPr>
          <w:rFonts w:hint="eastAsia"/>
          <w:bCs/>
          <w:sz w:val="24"/>
          <w:lang w:eastAsia="zh-CN"/>
        </w:rPr>
        <w:t>、业绩比较基准的计算方法</w:t>
      </w:r>
    </w:p>
    <w:p w14:paraId="445FB5BA" w14:textId="77777777" w:rsidR="005039DD" w:rsidRPr="002C2B23" w:rsidRDefault="0040620F">
      <w:pPr>
        <w:spacing w:line="360" w:lineRule="auto"/>
        <w:ind w:firstLine="480"/>
        <w:rPr>
          <w:bCs/>
          <w:sz w:val="24"/>
          <w:lang w:eastAsia="zh-CN"/>
        </w:rPr>
      </w:pPr>
      <w:r w:rsidRPr="002C2B23">
        <w:rPr>
          <w:rFonts w:hint="eastAsia"/>
          <w:bCs/>
          <w:sz w:val="24"/>
          <w:lang w:eastAsia="zh-CN"/>
        </w:rPr>
        <w:t>本基金业绩比较基准收益率的计算方法以每日收益率为基础，以时间加权为计算原则。本基金先分别计算业绩比较</w:t>
      </w:r>
      <w:proofErr w:type="gramStart"/>
      <w:r w:rsidRPr="002C2B23">
        <w:rPr>
          <w:rFonts w:hint="eastAsia"/>
          <w:bCs/>
          <w:sz w:val="24"/>
          <w:lang w:eastAsia="zh-CN"/>
        </w:rPr>
        <w:t>基准中沪深</w:t>
      </w:r>
      <w:proofErr w:type="gramEnd"/>
      <w:r w:rsidRPr="002C2B23">
        <w:rPr>
          <w:rFonts w:hint="eastAsia"/>
          <w:bCs/>
          <w:sz w:val="24"/>
          <w:lang w:eastAsia="zh-CN"/>
        </w:rPr>
        <w:t>300</w:t>
      </w:r>
      <w:r w:rsidRPr="002C2B23">
        <w:rPr>
          <w:rFonts w:hint="eastAsia"/>
          <w:bCs/>
          <w:sz w:val="24"/>
          <w:lang w:eastAsia="zh-CN"/>
        </w:rPr>
        <w:t>指数、中证港股</w:t>
      </w:r>
      <w:proofErr w:type="gramStart"/>
      <w:r w:rsidRPr="002C2B23">
        <w:rPr>
          <w:rFonts w:hint="eastAsia"/>
          <w:bCs/>
          <w:sz w:val="24"/>
          <w:lang w:eastAsia="zh-CN"/>
        </w:rPr>
        <w:t>通综合</w:t>
      </w:r>
      <w:proofErr w:type="gramEnd"/>
      <w:r w:rsidRPr="002C2B23">
        <w:rPr>
          <w:rFonts w:hint="eastAsia"/>
          <w:bCs/>
          <w:sz w:val="24"/>
          <w:lang w:eastAsia="zh-CN"/>
        </w:rPr>
        <w:t>指数（人民币）、中</w:t>
      </w:r>
      <w:proofErr w:type="gramStart"/>
      <w:r w:rsidRPr="002C2B23">
        <w:rPr>
          <w:rFonts w:hint="eastAsia"/>
          <w:bCs/>
          <w:sz w:val="24"/>
          <w:lang w:eastAsia="zh-CN"/>
        </w:rPr>
        <w:t>债综合全价指数</w:t>
      </w:r>
      <w:proofErr w:type="gramEnd"/>
      <w:r w:rsidRPr="002C2B23">
        <w:rPr>
          <w:rFonts w:hint="eastAsia"/>
          <w:bCs/>
          <w:sz w:val="24"/>
          <w:lang w:eastAsia="zh-CN"/>
        </w:rPr>
        <w:t>的每日收益率，再按照预设权重比例计算当日组合要素基准的日收益率，并连乘每日收益率。</w:t>
      </w:r>
    </w:p>
    <w:p w14:paraId="26CB8580" w14:textId="77777777" w:rsidR="005039DD" w:rsidRPr="002C2B23" w:rsidRDefault="0040620F">
      <w:pPr>
        <w:spacing w:line="360" w:lineRule="auto"/>
        <w:ind w:firstLine="480"/>
        <w:rPr>
          <w:bCs/>
          <w:sz w:val="24"/>
          <w:lang w:eastAsia="zh-CN"/>
        </w:rPr>
      </w:pPr>
      <w:r w:rsidRPr="002C2B23">
        <w:rPr>
          <w:rFonts w:hint="eastAsia"/>
          <w:bCs/>
          <w:sz w:val="24"/>
          <w:lang w:eastAsia="zh-CN"/>
        </w:rPr>
        <w:t>4</w:t>
      </w:r>
      <w:r w:rsidRPr="002C2B23">
        <w:rPr>
          <w:rFonts w:hint="eastAsia"/>
          <w:bCs/>
          <w:sz w:val="24"/>
          <w:lang w:eastAsia="zh-CN"/>
        </w:rPr>
        <w:t>、管理投资偏离业绩比较基准的定性或定量方法</w:t>
      </w:r>
    </w:p>
    <w:p w14:paraId="68CD4CAD" w14:textId="77777777" w:rsidR="005039DD" w:rsidRPr="002C2B23" w:rsidRDefault="0040620F">
      <w:pPr>
        <w:spacing w:line="360" w:lineRule="auto"/>
        <w:ind w:firstLine="480"/>
        <w:rPr>
          <w:bCs/>
          <w:sz w:val="24"/>
          <w:lang w:eastAsia="zh-CN"/>
        </w:rPr>
      </w:pPr>
      <w:r w:rsidRPr="002C2B23">
        <w:rPr>
          <w:rFonts w:hint="eastAsia"/>
          <w:bCs/>
          <w:sz w:val="24"/>
          <w:lang w:eastAsia="zh-CN"/>
        </w:rPr>
        <w:t>本基金管理人对基金实际投资与业绩比较基准的偏离情况进行动态跟踪与监测评估。基金管理人在监测业绩比较基准偏离过程中，可以采用合适的基金业绩表现类指标（信息比率、跟踪误差、超额收益、卡</w:t>
      </w:r>
      <w:proofErr w:type="gramStart"/>
      <w:r w:rsidRPr="002C2B23">
        <w:rPr>
          <w:rFonts w:hint="eastAsia"/>
          <w:bCs/>
          <w:sz w:val="24"/>
          <w:lang w:eastAsia="zh-CN"/>
        </w:rPr>
        <w:t>玛</w:t>
      </w:r>
      <w:proofErr w:type="gramEnd"/>
      <w:r w:rsidRPr="002C2B23">
        <w:rPr>
          <w:rFonts w:hint="eastAsia"/>
          <w:bCs/>
          <w:sz w:val="24"/>
          <w:lang w:eastAsia="zh-CN"/>
        </w:rPr>
        <w:t>比率等）；对于股票资产，可以采用股票配置偏离限额（</w:t>
      </w:r>
      <w:proofErr w:type="gramStart"/>
      <w:r w:rsidRPr="002C2B23">
        <w:rPr>
          <w:rFonts w:hint="eastAsia"/>
          <w:bCs/>
          <w:sz w:val="24"/>
          <w:lang w:eastAsia="zh-CN"/>
        </w:rPr>
        <w:t>仓位</w:t>
      </w:r>
      <w:proofErr w:type="gramEnd"/>
      <w:r w:rsidRPr="002C2B23">
        <w:rPr>
          <w:rFonts w:hint="eastAsia"/>
          <w:bCs/>
          <w:sz w:val="24"/>
          <w:lang w:eastAsia="zh-CN"/>
        </w:rPr>
        <w:t>、行业或风格结构偏离等）、基准成份</w:t>
      </w:r>
      <w:proofErr w:type="gramStart"/>
      <w:r w:rsidRPr="002C2B23">
        <w:rPr>
          <w:rFonts w:hint="eastAsia"/>
          <w:bCs/>
          <w:sz w:val="24"/>
          <w:lang w:eastAsia="zh-CN"/>
        </w:rPr>
        <w:t>券</w:t>
      </w:r>
      <w:proofErr w:type="gramEnd"/>
      <w:r w:rsidRPr="002C2B23">
        <w:rPr>
          <w:rFonts w:hint="eastAsia"/>
          <w:bCs/>
          <w:sz w:val="24"/>
          <w:lang w:eastAsia="zh-CN"/>
        </w:rPr>
        <w:t>覆盖率、主动比率等指标；对于债券资产，可以</w:t>
      </w:r>
      <w:proofErr w:type="gramStart"/>
      <w:r w:rsidRPr="002C2B23">
        <w:rPr>
          <w:rFonts w:hint="eastAsia"/>
          <w:bCs/>
          <w:sz w:val="24"/>
          <w:lang w:eastAsia="zh-CN"/>
        </w:rPr>
        <w:t>采用久期中枢</w:t>
      </w:r>
      <w:proofErr w:type="gramEnd"/>
      <w:r w:rsidRPr="002C2B23">
        <w:rPr>
          <w:rFonts w:hint="eastAsia"/>
          <w:bCs/>
          <w:sz w:val="24"/>
          <w:lang w:eastAsia="zh-CN"/>
        </w:rPr>
        <w:t>、信用风险暴露集中度、含权资产（如有）</w:t>
      </w:r>
      <w:proofErr w:type="gramStart"/>
      <w:r w:rsidRPr="002C2B23">
        <w:rPr>
          <w:rFonts w:hint="eastAsia"/>
          <w:bCs/>
          <w:sz w:val="24"/>
          <w:lang w:eastAsia="zh-CN"/>
        </w:rPr>
        <w:t>仓位</w:t>
      </w:r>
      <w:proofErr w:type="gramEnd"/>
      <w:r w:rsidRPr="002C2B23">
        <w:rPr>
          <w:rFonts w:hint="eastAsia"/>
          <w:bCs/>
          <w:sz w:val="24"/>
          <w:lang w:eastAsia="zh-CN"/>
        </w:rPr>
        <w:t>与结构、最大回撤等指标。</w:t>
      </w:r>
    </w:p>
    <w:p w14:paraId="27036623" w14:textId="77777777" w:rsidR="005039DD" w:rsidRPr="002C2B23" w:rsidRDefault="0040620F">
      <w:pPr>
        <w:spacing w:line="360" w:lineRule="auto"/>
        <w:ind w:firstLine="480"/>
        <w:rPr>
          <w:bCs/>
          <w:sz w:val="24"/>
          <w:lang w:eastAsia="zh-CN"/>
        </w:rPr>
      </w:pPr>
      <w:r w:rsidRPr="002C2B23">
        <w:rPr>
          <w:rFonts w:hint="eastAsia"/>
          <w:bCs/>
          <w:sz w:val="24"/>
          <w:lang w:eastAsia="zh-CN"/>
        </w:rPr>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w:t>
      </w:r>
      <w:proofErr w:type="gramStart"/>
      <w:r w:rsidRPr="002C2B23">
        <w:rPr>
          <w:rFonts w:hint="eastAsia"/>
          <w:bCs/>
          <w:sz w:val="24"/>
          <w:lang w:eastAsia="zh-CN"/>
        </w:rPr>
        <w:t>研判等</w:t>
      </w:r>
      <w:proofErr w:type="gramEnd"/>
      <w:r w:rsidRPr="002C2B23">
        <w:rPr>
          <w:rFonts w:hint="eastAsia"/>
          <w:bCs/>
          <w:sz w:val="24"/>
          <w:lang w:eastAsia="zh-CN"/>
        </w:rPr>
        <w:t>综合因素，自主构建投资组合，包括酌情投资于业绩比较基准要素成份证券外的证券。本基金投资组合相对业绩比较基准要素成份证券和权重可能存在偏离。</w:t>
      </w:r>
    </w:p>
    <w:p w14:paraId="487205A9" w14:textId="77777777" w:rsidR="005039DD" w:rsidRPr="002C2B23" w:rsidRDefault="0040620F">
      <w:pPr>
        <w:spacing w:line="360" w:lineRule="auto"/>
        <w:ind w:firstLine="480"/>
        <w:rPr>
          <w:bCs/>
          <w:sz w:val="24"/>
          <w:lang w:eastAsia="zh-CN"/>
        </w:rPr>
      </w:pPr>
      <w:r w:rsidRPr="002C2B23">
        <w:rPr>
          <w:rFonts w:hint="eastAsia"/>
          <w:bCs/>
          <w:sz w:val="24"/>
          <w:lang w:eastAsia="zh-CN"/>
        </w:rPr>
        <w:t>5</w:t>
      </w:r>
      <w:r w:rsidRPr="002C2B23">
        <w:rPr>
          <w:rFonts w:hint="eastAsia"/>
          <w:bCs/>
          <w:sz w:val="24"/>
          <w:lang w:eastAsia="zh-CN"/>
        </w:rPr>
        <w:t>、未来可能变更业绩比较基准的情况和程序</w:t>
      </w:r>
    </w:p>
    <w:p w14:paraId="59500008" w14:textId="77777777" w:rsidR="005039DD" w:rsidRPr="002C2B23" w:rsidRDefault="0040620F">
      <w:pPr>
        <w:spacing w:line="360" w:lineRule="auto"/>
        <w:ind w:firstLine="480"/>
        <w:rPr>
          <w:bCs/>
          <w:sz w:val="24"/>
          <w:lang w:eastAsia="zh-CN"/>
        </w:rPr>
      </w:pPr>
      <w:r w:rsidRPr="002C2B23">
        <w:rPr>
          <w:rFonts w:hint="eastAsia"/>
          <w:bCs/>
          <w:sz w:val="24"/>
          <w:lang w:eastAsia="zh-CN"/>
        </w:rPr>
        <w:t>业绩比较基准变更符合下列条件之一且对基金份额持有人利益无实质不利影响的，基金管理人应当与基金托管人协商，在新业绩比较基准生效前公告并充分说明变更原因、差异及影响，无需召开基金份额持有人大会：</w:t>
      </w:r>
    </w:p>
    <w:p w14:paraId="6D1E125D" w14:textId="77777777" w:rsidR="005039DD" w:rsidRPr="002C2B23" w:rsidRDefault="0040620F">
      <w:pPr>
        <w:spacing w:line="360" w:lineRule="auto"/>
        <w:ind w:firstLine="480"/>
        <w:rPr>
          <w:bCs/>
          <w:sz w:val="24"/>
          <w:lang w:eastAsia="zh-CN"/>
        </w:rPr>
      </w:pPr>
      <w:r w:rsidRPr="002C2B23">
        <w:rPr>
          <w:rFonts w:hint="eastAsia"/>
          <w:bCs/>
          <w:sz w:val="24"/>
          <w:lang w:eastAsia="zh-CN"/>
        </w:rPr>
        <w:t>（</w:t>
      </w:r>
      <w:r w:rsidRPr="002C2B23">
        <w:rPr>
          <w:rFonts w:hint="eastAsia"/>
          <w:bCs/>
          <w:sz w:val="24"/>
          <w:lang w:eastAsia="zh-CN"/>
        </w:rPr>
        <w:t>1</w:t>
      </w:r>
      <w:r w:rsidRPr="002C2B23">
        <w:rPr>
          <w:rFonts w:hint="eastAsia"/>
          <w:bCs/>
          <w:sz w:val="24"/>
          <w:lang w:eastAsia="zh-CN"/>
        </w:rPr>
        <w:t>）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35B3635C" w14:textId="77777777" w:rsidR="005039DD" w:rsidRPr="002C2B23" w:rsidRDefault="0040620F">
      <w:pPr>
        <w:spacing w:line="360" w:lineRule="auto"/>
        <w:ind w:firstLine="480"/>
        <w:rPr>
          <w:bCs/>
          <w:sz w:val="24"/>
          <w:lang w:eastAsia="zh-CN"/>
        </w:rPr>
      </w:pPr>
      <w:r w:rsidRPr="002C2B23">
        <w:rPr>
          <w:rFonts w:hint="eastAsia"/>
          <w:bCs/>
          <w:sz w:val="24"/>
          <w:lang w:eastAsia="zh-CN"/>
        </w:rPr>
        <w:t>（</w:t>
      </w:r>
      <w:r w:rsidRPr="002C2B23">
        <w:rPr>
          <w:rFonts w:hint="eastAsia"/>
          <w:bCs/>
          <w:sz w:val="24"/>
          <w:lang w:eastAsia="zh-CN"/>
        </w:rPr>
        <w:t>2</w:t>
      </w:r>
      <w:r w:rsidRPr="002C2B23">
        <w:rPr>
          <w:rFonts w:hint="eastAsia"/>
          <w:bCs/>
          <w:sz w:val="24"/>
          <w:lang w:eastAsia="zh-CN"/>
        </w:rPr>
        <w:t>）调整业绩比较基准的要素权重、更换相同或相近特征的要素等，使新业绩比较基准代表性更强，且符合相关法律法规规定的；</w:t>
      </w:r>
    </w:p>
    <w:p w14:paraId="3DF797B7" w14:textId="77777777" w:rsidR="005039DD" w:rsidRPr="002C2B23" w:rsidRDefault="0040620F">
      <w:pPr>
        <w:spacing w:line="360" w:lineRule="auto"/>
        <w:ind w:firstLine="480"/>
        <w:rPr>
          <w:bCs/>
          <w:sz w:val="24"/>
          <w:lang w:eastAsia="zh-CN"/>
        </w:rPr>
      </w:pPr>
      <w:r w:rsidRPr="002C2B23">
        <w:rPr>
          <w:rFonts w:hint="eastAsia"/>
          <w:bCs/>
          <w:sz w:val="24"/>
          <w:lang w:eastAsia="zh-CN"/>
        </w:rPr>
        <w:t>（</w:t>
      </w:r>
      <w:r w:rsidRPr="002C2B23">
        <w:rPr>
          <w:rFonts w:hint="eastAsia"/>
          <w:bCs/>
          <w:sz w:val="24"/>
          <w:lang w:eastAsia="zh-CN"/>
        </w:rPr>
        <w:t>3</w:t>
      </w:r>
      <w:r w:rsidRPr="002C2B23">
        <w:rPr>
          <w:rFonts w:hint="eastAsia"/>
          <w:bCs/>
          <w:sz w:val="24"/>
          <w:lang w:eastAsia="zh-CN"/>
        </w:rPr>
        <w:t>）中国证监会认可的其他情形。</w:t>
      </w:r>
    </w:p>
    <w:p w14:paraId="5E841268" w14:textId="77777777" w:rsidR="005039DD" w:rsidRPr="002C2B23" w:rsidRDefault="0040620F">
      <w:pPr>
        <w:spacing w:line="360" w:lineRule="auto"/>
        <w:ind w:firstLine="480"/>
        <w:rPr>
          <w:bCs/>
          <w:sz w:val="24"/>
          <w:lang w:eastAsia="zh-CN"/>
        </w:rPr>
      </w:pPr>
      <w:r w:rsidRPr="002C2B23">
        <w:rPr>
          <w:rFonts w:hint="eastAsia"/>
          <w:bCs/>
          <w:sz w:val="24"/>
          <w:lang w:eastAsia="zh-CN"/>
        </w:rPr>
        <w:t>业绩比较基准变更涉及以下情形的，基金管理人应当按照规定履行变更注册、召开基金份额持有人大会等程序，法律法规、中国证监会另有规定或基金合同另有约定的除外：</w:t>
      </w:r>
    </w:p>
    <w:p w14:paraId="0BC31233" w14:textId="77777777" w:rsidR="005039DD" w:rsidRPr="002C2B23" w:rsidRDefault="0040620F">
      <w:pPr>
        <w:spacing w:line="360" w:lineRule="auto"/>
        <w:ind w:firstLine="480"/>
        <w:rPr>
          <w:bCs/>
          <w:sz w:val="24"/>
          <w:lang w:eastAsia="zh-CN"/>
        </w:rPr>
      </w:pPr>
      <w:r w:rsidRPr="002C2B23">
        <w:rPr>
          <w:rFonts w:hint="eastAsia"/>
          <w:bCs/>
          <w:sz w:val="24"/>
          <w:lang w:eastAsia="zh-CN"/>
        </w:rPr>
        <w:t>（</w:t>
      </w:r>
      <w:r w:rsidRPr="002C2B23">
        <w:rPr>
          <w:rFonts w:hint="eastAsia"/>
          <w:bCs/>
          <w:sz w:val="24"/>
          <w:lang w:eastAsia="zh-CN"/>
        </w:rPr>
        <w:t>1</w:t>
      </w:r>
      <w:r w:rsidRPr="002C2B23">
        <w:rPr>
          <w:rFonts w:hint="eastAsia"/>
          <w:bCs/>
          <w:sz w:val="24"/>
          <w:lang w:eastAsia="zh-CN"/>
        </w:rPr>
        <w:t>）本基金投资目标、投资范围、投资策略、投资比例等拟进行重大调整，</w:t>
      </w:r>
    </w:p>
    <w:p w14:paraId="559DF004" w14:textId="77777777" w:rsidR="005039DD" w:rsidRPr="002C2B23" w:rsidRDefault="0040620F">
      <w:pPr>
        <w:spacing w:line="360" w:lineRule="auto"/>
        <w:ind w:firstLine="480"/>
        <w:rPr>
          <w:bCs/>
          <w:sz w:val="24"/>
          <w:lang w:eastAsia="zh-CN"/>
        </w:rPr>
      </w:pPr>
      <w:r w:rsidRPr="002C2B23">
        <w:rPr>
          <w:rFonts w:hint="eastAsia"/>
          <w:bCs/>
          <w:sz w:val="24"/>
          <w:lang w:eastAsia="zh-CN"/>
        </w:rPr>
        <w:t>并变更业绩比较基准的；</w:t>
      </w:r>
    </w:p>
    <w:p w14:paraId="270D99DA" w14:textId="77777777" w:rsidR="005039DD" w:rsidRPr="002C2B23" w:rsidRDefault="0040620F">
      <w:pPr>
        <w:spacing w:line="360" w:lineRule="auto"/>
        <w:ind w:firstLine="480"/>
        <w:rPr>
          <w:bCs/>
          <w:sz w:val="24"/>
          <w:lang w:eastAsia="zh-CN"/>
        </w:rPr>
      </w:pPr>
      <w:r w:rsidRPr="002C2B23">
        <w:rPr>
          <w:rFonts w:hint="eastAsia"/>
          <w:bCs/>
          <w:sz w:val="24"/>
          <w:lang w:eastAsia="zh-CN"/>
        </w:rPr>
        <w:t>（</w:t>
      </w:r>
      <w:r w:rsidRPr="002C2B23">
        <w:rPr>
          <w:rFonts w:hint="eastAsia"/>
          <w:bCs/>
          <w:sz w:val="24"/>
          <w:lang w:eastAsia="zh-CN"/>
        </w:rPr>
        <w:t>2</w:t>
      </w:r>
      <w:r w:rsidRPr="002C2B23">
        <w:rPr>
          <w:rFonts w:hint="eastAsia"/>
          <w:bCs/>
          <w:sz w:val="24"/>
          <w:lang w:eastAsia="zh-CN"/>
        </w:rPr>
        <w:t>）其他对基金份额持有人利益产生重大实质性影响的情形。</w:t>
      </w:r>
    </w:p>
    <w:p w14:paraId="4FD41636" w14:textId="77777777" w:rsidR="005039DD" w:rsidRPr="002C2B23" w:rsidRDefault="005039DD">
      <w:pPr>
        <w:spacing w:line="360" w:lineRule="auto"/>
        <w:ind w:firstLine="480"/>
        <w:rPr>
          <w:sz w:val="24"/>
          <w:lang w:eastAsia="zh-CN"/>
        </w:rPr>
      </w:pPr>
    </w:p>
    <w:p w14:paraId="1665038A" w14:textId="77777777" w:rsidR="005039DD" w:rsidRPr="002C2B23" w:rsidRDefault="0040620F">
      <w:pPr>
        <w:spacing w:line="360" w:lineRule="auto"/>
        <w:ind w:firstLine="480"/>
        <w:rPr>
          <w:bCs/>
          <w:sz w:val="24"/>
          <w:lang w:eastAsia="zh-CN"/>
        </w:rPr>
      </w:pPr>
      <w:r w:rsidRPr="002C2B23">
        <w:rPr>
          <w:bCs/>
          <w:sz w:val="24"/>
          <w:lang w:eastAsia="zh-CN"/>
        </w:rPr>
        <w:t>六、风险收益特征</w:t>
      </w:r>
    </w:p>
    <w:p w14:paraId="3C458A84" w14:textId="77777777" w:rsidR="005039DD" w:rsidRPr="002C2B23" w:rsidRDefault="0040620F">
      <w:pPr>
        <w:spacing w:line="360" w:lineRule="auto"/>
        <w:ind w:firstLine="480"/>
        <w:rPr>
          <w:bCs/>
          <w:sz w:val="24"/>
          <w:lang w:eastAsia="zh-CN"/>
        </w:rPr>
      </w:pPr>
      <w:r w:rsidRPr="002C2B23">
        <w:rPr>
          <w:bCs/>
          <w:sz w:val="24"/>
          <w:lang w:eastAsia="zh-CN"/>
        </w:rPr>
        <w:t>本基金是混合型证券投资基金，其预期收益和预期风险水平高于债券型基金和货币市场基金，低于股票型基金。本基金如果投资港股通标的股票，需承担汇率风险以及境外市场的风险。</w:t>
      </w:r>
    </w:p>
    <w:p w14:paraId="52DFCB6F" w14:textId="77777777" w:rsidR="005039DD" w:rsidRPr="002C2B23" w:rsidRDefault="005039DD">
      <w:pPr>
        <w:spacing w:line="360" w:lineRule="auto"/>
        <w:ind w:firstLine="480"/>
        <w:rPr>
          <w:bCs/>
          <w:sz w:val="24"/>
          <w:lang w:eastAsia="zh-CN"/>
        </w:rPr>
      </w:pPr>
    </w:p>
    <w:p w14:paraId="6E8C4739" w14:textId="77777777" w:rsidR="005039DD" w:rsidRPr="002C2B23" w:rsidRDefault="0040620F">
      <w:pPr>
        <w:spacing w:line="360" w:lineRule="auto"/>
        <w:ind w:firstLine="480"/>
        <w:rPr>
          <w:bCs/>
          <w:sz w:val="24"/>
          <w:lang w:eastAsia="zh-CN"/>
        </w:rPr>
      </w:pPr>
      <w:r w:rsidRPr="002C2B23">
        <w:rPr>
          <w:bCs/>
          <w:sz w:val="24"/>
          <w:lang w:eastAsia="zh-CN"/>
        </w:rPr>
        <w:t>七、基金管理人代表基金行使股东或债权人权利的处理原则及方法</w:t>
      </w:r>
    </w:p>
    <w:p w14:paraId="1695571C"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、基金管理人按照国家有关规定代表基金独立行使股东或债权人权利，保护基金份额持有人的利益；</w:t>
      </w:r>
      <w:r w:rsidRPr="002C2B23">
        <w:rPr>
          <w:bCs/>
          <w:sz w:val="24"/>
          <w:lang w:eastAsia="zh-CN"/>
        </w:rPr>
        <w:t xml:space="preserve"> </w:t>
      </w:r>
    </w:p>
    <w:p w14:paraId="7A3B9B52"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、不谋求对上市公司的控股；</w:t>
      </w:r>
    </w:p>
    <w:p w14:paraId="5BC283EF"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、有利于基金财产的安全与增值；</w:t>
      </w:r>
    </w:p>
    <w:p w14:paraId="504C5E6F" w14:textId="77777777" w:rsidR="005039DD" w:rsidRPr="002C2B23" w:rsidRDefault="0040620F">
      <w:pPr>
        <w:spacing w:line="360" w:lineRule="auto"/>
        <w:ind w:firstLine="480"/>
        <w:rPr>
          <w:bCs/>
          <w:sz w:val="24"/>
          <w:lang w:eastAsia="zh-CN"/>
        </w:rPr>
      </w:pPr>
      <w:r w:rsidRPr="002C2B23">
        <w:rPr>
          <w:bCs/>
          <w:sz w:val="24"/>
          <w:lang w:eastAsia="zh-CN"/>
        </w:rPr>
        <w:t>4</w:t>
      </w:r>
      <w:r w:rsidRPr="002C2B23">
        <w:rPr>
          <w:bCs/>
          <w:sz w:val="24"/>
          <w:lang w:eastAsia="zh-CN"/>
        </w:rPr>
        <w:t>、不通过关联交易为自身、雇员、授权代理人或任何存在利害关系的第三人牟取任何不当利益。</w:t>
      </w:r>
    </w:p>
    <w:p w14:paraId="1CCFB6C5" w14:textId="77777777" w:rsidR="005039DD" w:rsidRPr="002C2B23" w:rsidRDefault="005039DD">
      <w:pPr>
        <w:spacing w:line="360" w:lineRule="auto"/>
        <w:ind w:firstLine="480"/>
        <w:rPr>
          <w:bCs/>
          <w:sz w:val="24"/>
          <w:lang w:eastAsia="zh-CN"/>
        </w:rPr>
      </w:pPr>
    </w:p>
    <w:p w14:paraId="67A3735D" w14:textId="77777777" w:rsidR="005039DD" w:rsidRPr="002C2B23" w:rsidRDefault="0040620F">
      <w:pPr>
        <w:spacing w:line="360" w:lineRule="auto"/>
        <w:ind w:firstLine="480"/>
        <w:rPr>
          <w:bCs/>
          <w:sz w:val="24"/>
          <w:lang w:eastAsia="zh-CN"/>
        </w:rPr>
      </w:pPr>
      <w:r w:rsidRPr="002C2B23">
        <w:rPr>
          <w:bCs/>
          <w:sz w:val="24"/>
          <w:lang w:eastAsia="zh-CN"/>
        </w:rPr>
        <w:t>八、</w:t>
      </w:r>
      <w:proofErr w:type="gramStart"/>
      <w:r w:rsidRPr="002C2B23">
        <w:rPr>
          <w:bCs/>
          <w:sz w:val="24"/>
          <w:lang w:eastAsia="zh-CN"/>
        </w:rPr>
        <w:t>侧袋机制</w:t>
      </w:r>
      <w:proofErr w:type="gramEnd"/>
      <w:r w:rsidRPr="002C2B23">
        <w:rPr>
          <w:bCs/>
          <w:sz w:val="24"/>
          <w:lang w:eastAsia="zh-CN"/>
        </w:rPr>
        <w:t>的实施和投资运作安排</w:t>
      </w:r>
    </w:p>
    <w:p w14:paraId="048DA1C9" w14:textId="77777777" w:rsidR="005039DD" w:rsidRPr="002C2B23" w:rsidRDefault="0040620F">
      <w:pPr>
        <w:spacing w:line="360" w:lineRule="auto"/>
        <w:ind w:firstLine="480"/>
        <w:rPr>
          <w:bCs/>
          <w:sz w:val="24"/>
          <w:lang w:eastAsia="zh-CN"/>
        </w:rPr>
      </w:pPr>
      <w:r w:rsidRPr="002C2B23">
        <w:rPr>
          <w:bCs/>
          <w:sz w:val="24"/>
          <w:lang w:eastAsia="zh-CN"/>
        </w:rPr>
        <w:t>当基金持有特定资产且存在或潜在大额赎回申请时，根据最大限度保护基金份额持有人利益的原则，基金管理人经与基金托管人协商一致，并咨询会计师事务所意见后，可以依照法律法规及基金合同的约定</w:t>
      </w:r>
      <w:proofErr w:type="gramStart"/>
      <w:r w:rsidRPr="002C2B23">
        <w:rPr>
          <w:bCs/>
          <w:sz w:val="24"/>
          <w:lang w:eastAsia="zh-CN"/>
        </w:rPr>
        <w:t>启用侧袋机制</w:t>
      </w:r>
      <w:proofErr w:type="gramEnd"/>
      <w:r w:rsidRPr="002C2B23">
        <w:rPr>
          <w:bCs/>
          <w:sz w:val="24"/>
          <w:lang w:eastAsia="zh-CN"/>
        </w:rPr>
        <w:t>，无需召开基金份额持有人大会审议。</w:t>
      </w:r>
    </w:p>
    <w:p w14:paraId="48845E2E" w14:textId="77777777" w:rsidR="005039DD" w:rsidRPr="002C2B23" w:rsidRDefault="0040620F">
      <w:pPr>
        <w:spacing w:line="360" w:lineRule="auto"/>
        <w:ind w:firstLine="480"/>
        <w:rPr>
          <w:bCs/>
          <w:sz w:val="24"/>
          <w:lang w:eastAsia="zh-CN"/>
        </w:rPr>
      </w:pPr>
      <w:proofErr w:type="gramStart"/>
      <w:r w:rsidRPr="002C2B23">
        <w:rPr>
          <w:bCs/>
          <w:sz w:val="24"/>
          <w:lang w:eastAsia="zh-CN"/>
        </w:rPr>
        <w:t>侧袋机制</w:t>
      </w:r>
      <w:proofErr w:type="gramEnd"/>
      <w:r w:rsidRPr="002C2B23">
        <w:rPr>
          <w:bCs/>
          <w:sz w:val="24"/>
          <w:lang w:eastAsia="zh-CN"/>
        </w:rPr>
        <w:t>实施期间，本部分约定的投资组合比例、投资策略、组合限制、业绩比较基准、风险收益特征等约定仅</w:t>
      </w:r>
      <w:proofErr w:type="gramStart"/>
      <w:r w:rsidRPr="002C2B23">
        <w:rPr>
          <w:bCs/>
          <w:sz w:val="24"/>
          <w:lang w:eastAsia="zh-CN"/>
        </w:rPr>
        <w:t>适用于主袋账户</w:t>
      </w:r>
      <w:proofErr w:type="gramEnd"/>
      <w:r w:rsidRPr="002C2B23">
        <w:rPr>
          <w:bCs/>
          <w:sz w:val="24"/>
          <w:lang w:eastAsia="zh-CN"/>
        </w:rPr>
        <w:t>。</w:t>
      </w:r>
    </w:p>
    <w:p w14:paraId="191DF377" w14:textId="77777777" w:rsidR="005039DD" w:rsidRPr="002C2B23" w:rsidRDefault="0040620F">
      <w:pPr>
        <w:spacing w:line="360" w:lineRule="auto"/>
        <w:ind w:firstLine="480"/>
        <w:rPr>
          <w:bCs/>
          <w:sz w:val="24"/>
          <w:lang w:eastAsia="zh-CN"/>
        </w:rPr>
      </w:pPr>
      <w:proofErr w:type="gramStart"/>
      <w:r w:rsidRPr="002C2B23">
        <w:rPr>
          <w:bCs/>
          <w:sz w:val="24"/>
          <w:lang w:eastAsia="zh-CN"/>
        </w:rPr>
        <w:t>侧袋账户</w:t>
      </w:r>
      <w:proofErr w:type="gramEnd"/>
      <w:r w:rsidRPr="002C2B23">
        <w:rPr>
          <w:bCs/>
          <w:sz w:val="24"/>
          <w:lang w:eastAsia="zh-CN"/>
        </w:rPr>
        <w:t>的实施条件、实施程序、运作安排、投资安排、特定资产的处置变现和支付等对投资者权益有重大影响的事项详见招募说明书的规定。</w:t>
      </w:r>
    </w:p>
    <w:p w14:paraId="3ADA32B5" w14:textId="77777777" w:rsidR="005039DD" w:rsidRPr="002C2B23" w:rsidRDefault="005039DD">
      <w:pPr>
        <w:spacing w:line="360" w:lineRule="auto"/>
        <w:ind w:firstLine="480"/>
        <w:rPr>
          <w:bCs/>
          <w:sz w:val="24"/>
          <w:lang w:eastAsia="zh-CN"/>
        </w:rPr>
        <w:sectPr w:rsidR="005039DD" w:rsidRPr="002C2B23">
          <w:footerReference w:type="default" r:id="rId22"/>
          <w:pgSz w:w="12240" w:h="15840"/>
          <w:pgMar w:top="1440" w:right="1800" w:bottom="1440" w:left="1800" w:header="720" w:footer="720" w:gutter="0"/>
          <w:cols w:space="720"/>
          <w:docGrid w:linePitch="312"/>
        </w:sectPr>
      </w:pPr>
    </w:p>
    <w:p w14:paraId="5FD80B3D" w14:textId="77777777" w:rsidR="005039DD" w:rsidRPr="002C2B23" w:rsidRDefault="0040620F">
      <w:pPr>
        <w:pStyle w:val="112"/>
        <w:spacing w:before="0" w:after="0"/>
        <w:jc w:val="center"/>
        <w:rPr>
          <w:rFonts w:ascii="Times New Roman"/>
          <w:sz w:val="30"/>
          <w:lang w:eastAsia="zh-CN"/>
        </w:rPr>
      </w:pPr>
      <w:bookmarkStart w:id="308" w:name="_Toc93226145"/>
      <w:bookmarkStart w:id="309" w:name="_Toc92662704"/>
      <w:bookmarkStart w:id="310" w:name="_Toc109141373"/>
      <w:bookmarkStart w:id="311" w:name="_Toc26114"/>
      <w:bookmarkStart w:id="312" w:name="_Toc128310496"/>
      <w:bookmarkStart w:id="313" w:name="_Toc31611"/>
      <w:bookmarkStart w:id="314" w:name="_Toc20782"/>
      <w:bookmarkStart w:id="315" w:name="_Toc20102"/>
      <w:bookmarkStart w:id="316" w:name="_Toc139991743"/>
      <w:bookmarkStart w:id="317" w:name="_Toc3054"/>
      <w:bookmarkStart w:id="318" w:name="_Toc13819"/>
      <w:bookmarkStart w:id="319" w:name="_Toc29561"/>
      <w:bookmarkStart w:id="320" w:name="_Toc141703893"/>
      <w:bookmarkStart w:id="321" w:name="_Toc18000"/>
      <w:bookmarkStart w:id="322" w:name="_Toc21642"/>
      <w:bookmarkStart w:id="323" w:name="_Toc32030"/>
      <w:bookmarkStart w:id="324" w:name="_Toc24474"/>
      <w:r w:rsidRPr="002C2B23">
        <w:rPr>
          <w:rFonts w:ascii="Times New Roman"/>
          <w:sz w:val="30"/>
          <w:lang w:eastAsia="zh-CN"/>
        </w:rPr>
        <w:t>第十三部分</w:t>
      </w:r>
      <w:r w:rsidRPr="002C2B23">
        <w:rPr>
          <w:rFonts w:ascii="Times New Roman"/>
          <w:sz w:val="30"/>
          <w:lang w:eastAsia="zh-CN"/>
        </w:rPr>
        <w:t xml:space="preserve">  </w:t>
      </w:r>
      <w:r w:rsidRPr="002C2B23">
        <w:rPr>
          <w:rFonts w:ascii="Times New Roman"/>
          <w:sz w:val="30"/>
          <w:lang w:eastAsia="zh-CN"/>
        </w:rPr>
        <w:t>基金</w:t>
      </w:r>
      <w:bookmarkEnd w:id="308"/>
      <w:bookmarkEnd w:id="309"/>
      <w:r w:rsidRPr="002C2B23">
        <w:rPr>
          <w:rFonts w:ascii="Times New Roman"/>
          <w:sz w:val="30"/>
          <w:lang w:eastAsia="zh-CN"/>
        </w:rPr>
        <w:t>的财产</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14:paraId="7E3419EB" w14:textId="77777777" w:rsidR="005039DD" w:rsidRPr="002C2B23" w:rsidRDefault="005039DD">
      <w:pPr>
        <w:spacing w:line="360" w:lineRule="auto"/>
        <w:ind w:firstLine="480"/>
        <w:rPr>
          <w:bCs/>
          <w:sz w:val="24"/>
          <w:lang w:eastAsia="zh-CN"/>
        </w:rPr>
      </w:pPr>
    </w:p>
    <w:p w14:paraId="2FD348C1" w14:textId="77777777" w:rsidR="005039DD" w:rsidRPr="002C2B23" w:rsidRDefault="0040620F">
      <w:pPr>
        <w:spacing w:line="360" w:lineRule="auto"/>
        <w:ind w:firstLine="480"/>
        <w:rPr>
          <w:bCs/>
          <w:sz w:val="24"/>
          <w:lang w:eastAsia="zh-CN"/>
        </w:rPr>
      </w:pPr>
      <w:r w:rsidRPr="002C2B23">
        <w:rPr>
          <w:bCs/>
          <w:sz w:val="24"/>
          <w:lang w:eastAsia="zh-CN"/>
        </w:rPr>
        <w:t>一、基金资产总值</w:t>
      </w:r>
    </w:p>
    <w:p w14:paraId="579ADBAB" w14:textId="77777777" w:rsidR="005039DD" w:rsidRPr="002C2B23" w:rsidRDefault="0040620F">
      <w:pPr>
        <w:spacing w:line="360" w:lineRule="auto"/>
        <w:ind w:firstLine="480"/>
        <w:rPr>
          <w:bCs/>
          <w:sz w:val="24"/>
          <w:lang w:eastAsia="zh-CN"/>
        </w:rPr>
      </w:pPr>
      <w:r w:rsidRPr="002C2B23">
        <w:rPr>
          <w:bCs/>
          <w:sz w:val="24"/>
          <w:lang w:eastAsia="zh-CN"/>
        </w:rPr>
        <w:t>基金资产总值是指基金拥有的各类有价证券、银行存款本息、基金应收款项及其他</w:t>
      </w:r>
      <w:r w:rsidRPr="002C2B23">
        <w:rPr>
          <w:rFonts w:ascii="宋体" w:hAnsi="宋体" w:hint="eastAsia"/>
          <w:sz w:val="24"/>
          <w:szCs w:val="24"/>
          <w:lang w:eastAsia="zh-CN"/>
        </w:rPr>
        <w:t>投资所形成</w:t>
      </w:r>
      <w:r w:rsidRPr="002C2B23">
        <w:rPr>
          <w:bCs/>
          <w:sz w:val="24"/>
          <w:lang w:eastAsia="zh-CN"/>
        </w:rPr>
        <w:t>的价值总和。</w:t>
      </w:r>
    </w:p>
    <w:p w14:paraId="6AEA1ADE" w14:textId="77777777" w:rsidR="005039DD" w:rsidRPr="002C2B23" w:rsidRDefault="005039DD">
      <w:pPr>
        <w:spacing w:line="360" w:lineRule="auto"/>
        <w:ind w:firstLine="480"/>
        <w:rPr>
          <w:bCs/>
          <w:sz w:val="24"/>
          <w:lang w:eastAsia="zh-CN"/>
        </w:rPr>
      </w:pPr>
    </w:p>
    <w:p w14:paraId="32159822" w14:textId="77777777" w:rsidR="005039DD" w:rsidRPr="002C2B23" w:rsidRDefault="0040620F">
      <w:pPr>
        <w:spacing w:line="360" w:lineRule="auto"/>
        <w:ind w:firstLine="480"/>
        <w:rPr>
          <w:bCs/>
          <w:sz w:val="24"/>
          <w:lang w:eastAsia="zh-CN"/>
        </w:rPr>
      </w:pPr>
      <w:r w:rsidRPr="002C2B23">
        <w:rPr>
          <w:bCs/>
          <w:sz w:val="24"/>
          <w:lang w:eastAsia="zh-CN"/>
        </w:rPr>
        <w:t>二、基金资产净值</w:t>
      </w:r>
    </w:p>
    <w:p w14:paraId="017A0FF8" w14:textId="77777777" w:rsidR="005039DD" w:rsidRPr="002C2B23" w:rsidRDefault="0040620F">
      <w:pPr>
        <w:spacing w:line="360" w:lineRule="auto"/>
        <w:ind w:firstLine="480"/>
        <w:rPr>
          <w:bCs/>
          <w:sz w:val="24"/>
          <w:lang w:eastAsia="zh-CN"/>
        </w:rPr>
      </w:pPr>
      <w:r w:rsidRPr="002C2B23">
        <w:rPr>
          <w:bCs/>
          <w:sz w:val="24"/>
          <w:lang w:eastAsia="zh-CN"/>
        </w:rPr>
        <w:t>基金资产净值是指基金资产总值减去基金负债后的价值。</w:t>
      </w:r>
    </w:p>
    <w:p w14:paraId="42C358BD" w14:textId="77777777" w:rsidR="005039DD" w:rsidRPr="002C2B23" w:rsidRDefault="005039DD">
      <w:pPr>
        <w:spacing w:line="360" w:lineRule="auto"/>
        <w:ind w:firstLine="480"/>
        <w:rPr>
          <w:bCs/>
          <w:sz w:val="24"/>
          <w:lang w:eastAsia="zh-CN"/>
        </w:rPr>
      </w:pPr>
    </w:p>
    <w:p w14:paraId="5B30149D" w14:textId="77777777" w:rsidR="005039DD" w:rsidRPr="002C2B23" w:rsidRDefault="0040620F">
      <w:pPr>
        <w:spacing w:line="360" w:lineRule="auto"/>
        <w:ind w:firstLine="480"/>
        <w:rPr>
          <w:bCs/>
          <w:sz w:val="24"/>
          <w:lang w:eastAsia="zh-CN"/>
        </w:rPr>
      </w:pPr>
      <w:r w:rsidRPr="002C2B23">
        <w:rPr>
          <w:bCs/>
          <w:sz w:val="24"/>
          <w:lang w:eastAsia="zh-CN"/>
        </w:rPr>
        <w:t>三、基金财产的账户</w:t>
      </w:r>
    </w:p>
    <w:p w14:paraId="5E93BB0D" w14:textId="77777777" w:rsidR="005039DD" w:rsidRPr="002C2B23" w:rsidRDefault="0040620F">
      <w:pPr>
        <w:spacing w:line="360" w:lineRule="auto"/>
        <w:ind w:firstLine="480"/>
        <w:rPr>
          <w:bCs/>
          <w:sz w:val="24"/>
          <w:lang w:eastAsia="zh-CN"/>
        </w:rPr>
      </w:pPr>
      <w:r w:rsidRPr="002C2B23">
        <w:rPr>
          <w:bCs/>
          <w:sz w:val="24"/>
          <w:lang w:eastAsia="zh-CN"/>
        </w:rPr>
        <w:t>基金托管人根据相关法律法规、规范性文件为本基金开立资金账户、证券账户以及投资所需的其他专用账户。开立的基金专用账户与基金管理人、基金托管人、基金销售机构和基金登记机构自有的财产账户以及其他基金财产账户相独立。</w:t>
      </w:r>
    </w:p>
    <w:p w14:paraId="647BD0C4" w14:textId="77777777" w:rsidR="005039DD" w:rsidRPr="002C2B23" w:rsidRDefault="005039DD">
      <w:pPr>
        <w:spacing w:line="360" w:lineRule="auto"/>
        <w:ind w:firstLine="480"/>
        <w:rPr>
          <w:lang w:eastAsia="zh-CN"/>
        </w:rPr>
      </w:pPr>
    </w:p>
    <w:p w14:paraId="7D04D062" w14:textId="77777777" w:rsidR="005039DD" w:rsidRPr="002C2B23" w:rsidRDefault="0040620F">
      <w:pPr>
        <w:spacing w:line="360" w:lineRule="auto"/>
        <w:ind w:firstLine="480"/>
        <w:rPr>
          <w:bCs/>
          <w:sz w:val="24"/>
          <w:lang w:eastAsia="zh-CN"/>
        </w:rPr>
      </w:pPr>
      <w:r w:rsidRPr="002C2B23">
        <w:rPr>
          <w:bCs/>
          <w:sz w:val="24"/>
          <w:lang w:eastAsia="zh-CN"/>
        </w:rPr>
        <w:t>四、基金财产的保管和处分</w:t>
      </w:r>
    </w:p>
    <w:p w14:paraId="3CBB2FFF" w14:textId="77777777" w:rsidR="005039DD" w:rsidRPr="002C2B23" w:rsidRDefault="0040620F">
      <w:pPr>
        <w:spacing w:line="360" w:lineRule="auto"/>
        <w:ind w:firstLine="480"/>
        <w:rPr>
          <w:bCs/>
          <w:sz w:val="24"/>
          <w:lang w:eastAsia="zh-CN"/>
        </w:rPr>
      </w:pPr>
      <w:r w:rsidRPr="002C2B23">
        <w:rPr>
          <w:bCs/>
          <w:sz w:val="24"/>
          <w:lang w:eastAsia="zh-CN"/>
        </w:rPr>
        <w:t>本基金财产独立于基金管理人、基金托管人和基金销售机构的财产，并由基金托管人保管。基金管理人、基金托管人、基金登记机构和基金销售机构以其自有的财产承担其自身的法律责任，其债权人不得对本基金财产行使请求冻结、扣押或其他权利。除依法</w:t>
      </w:r>
      <w:proofErr w:type="gramStart"/>
      <w:r w:rsidRPr="002C2B23">
        <w:rPr>
          <w:bCs/>
          <w:sz w:val="24"/>
          <w:lang w:eastAsia="zh-CN"/>
        </w:rPr>
        <w:t>律法规</w:t>
      </w:r>
      <w:proofErr w:type="gramEnd"/>
      <w:r w:rsidRPr="002C2B23">
        <w:rPr>
          <w:bCs/>
          <w:sz w:val="24"/>
          <w:lang w:eastAsia="zh-CN"/>
        </w:rPr>
        <w:t>和《基金合同》的规定处分外，基金财产不得被处分。</w:t>
      </w:r>
    </w:p>
    <w:p w14:paraId="742D0ECB" w14:textId="77777777" w:rsidR="005039DD" w:rsidRPr="002C2B23" w:rsidRDefault="0040620F">
      <w:pPr>
        <w:spacing w:line="360" w:lineRule="auto"/>
        <w:ind w:firstLine="480"/>
        <w:rPr>
          <w:bCs/>
          <w:sz w:val="24"/>
          <w:lang w:eastAsia="zh-CN"/>
        </w:rPr>
      </w:pPr>
      <w:r w:rsidRPr="002C2B23">
        <w:rPr>
          <w:bCs/>
          <w:sz w:val="24"/>
          <w:lang w:eastAsia="zh-CN"/>
        </w:rPr>
        <w:t>基金管理人、基金托管人因依法解散、被依法撤销或者被依法宣告破产等原因进行清算的，基金财产不属于其清算财产。基金管理人管理运作基金财产所产生的债权，不得与其固有资产产生的债务相互</w:t>
      </w:r>
      <w:proofErr w:type="gramStart"/>
      <w:r w:rsidRPr="002C2B23">
        <w:rPr>
          <w:bCs/>
          <w:sz w:val="24"/>
          <w:lang w:eastAsia="zh-CN"/>
        </w:rPr>
        <w:t>抵销</w:t>
      </w:r>
      <w:proofErr w:type="gramEnd"/>
      <w:r w:rsidRPr="002C2B23">
        <w:rPr>
          <w:bCs/>
          <w:sz w:val="24"/>
          <w:lang w:eastAsia="zh-CN"/>
        </w:rPr>
        <w:t>；基金管理人管理运作不同基金的基金财产所产生的债权债务不得相互</w:t>
      </w:r>
      <w:proofErr w:type="gramStart"/>
      <w:r w:rsidRPr="002C2B23">
        <w:rPr>
          <w:bCs/>
          <w:sz w:val="24"/>
          <w:lang w:eastAsia="zh-CN"/>
        </w:rPr>
        <w:t>抵销</w:t>
      </w:r>
      <w:proofErr w:type="gramEnd"/>
      <w:r w:rsidRPr="002C2B23">
        <w:rPr>
          <w:bCs/>
          <w:sz w:val="24"/>
          <w:lang w:eastAsia="zh-CN"/>
        </w:rPr>
        <w:t>。非因基金财产本身承担的债务，不得对基金财产强制执行。</w:t>
      </w:r>
      <w:bookmarkStart w:id="325" w:name="_Hlt88900062"/>
      <w:bookmarkStart w:id="326" w:name="_Hlt88841837"/>
      <w:bookmarkEnd w:id="325"/>
      <w:bookmarkEnd w:id="326"/>
    </w:p>
    <w:p w14:paraId="7F9D74AF" w14:textId="77777777" w:rsidR="005039DD" w:rsidRPr="002C2B23" w:rsidRDefault="005039DD">
      <w:pPr>
        <w:spacing w:line="360" w:lineRule="auto"/>
        <w:ind w:firstLine="480"/>
        <w:rPr>
          <w:bCs/>
          <w:sz w:val="24"/>
          <w:lang w:eastAsia="zh-CN"/>
        </w:rPr>
      </w:pPr>
    </w:p>
    <w:p w14:paraId="75DBDD1B" w14:textId="77777777" w:rsidR="005039DD" w:rsidRPr="002C2B23" w:rsidRDefault="005039DD">
      <w:pPr>
        <w:spacing w:line="360" w:lineRule="auto"/>
        <w:ind w:firstLine="480"/>
        <w:rPr>
          <w:bCs/>
          <w:sz w:val="24"/>
          <w:lang w:eastAsia="zh-CN"/>
        </w:rPr>
        <w:sectPr w:rsidR="005039DD" w:rsidRPr="002C2B23">
          <w:footerReference w:type="default" r:id="rId23"/>
          <w:pgSz w:w="12240" w:h="15840"/>
          <w:pgMar w:top="1440" w:right="1800" w:bottom="1440" w:left="1800" w:header="720" w:footer="720" w:gutter="0"/>
          <w:cols w:space="720"/>
          <w:docGrid w:linePitch="312"/>
        </w:sectPr>
      </w:pPr>
    </w:p>
    <w:p w14:paraId="0EBE4D12" w14:textId="77777777" w:rsidR="005039DD" w:rsidRPr="002C2B23" w:rsidRDefault="0040620F">
      <w:pPr>
        <w:pStyle w:val="112"/>
        <w:spacing w:before="0" w:after="0"/>
        <w:jc w:val="center"/>
        <w:rPr>
          <w:rFonts w:ascii="Times New Roman"/>
          <w:sz w:val="30"/>
          <w:lang w:eastAsia="zh-CN"/>
        </w:rPr>
      </w:pPr>
      <w:bookmarkStart w:id="327" w:name="_Toc17782"/>
      <w:bookmarkStart w:id="328" w:name="_Toc19714"/>
      <w:bookmarkStart w:id="329" w:name="_Toc109141374"/>
      <w:bookmarkStart w:id="330" w:name="_Toc871"/>
      <w:bookmarkStart w:id="331" w:name="_Toc2623"/>
      <w:bookmarkStart w:id="332" w:name="_Toc7802"/>
      <w:bookmarkStart w:id="333" w:name="_Toc31917"/>
      <w:bookmarkStart w:id="334" w:name="_Toc27832"/>
      <w:bookmarkStart w:id="335" w:name="_Toc139991744"/>
      <w:bookmarkStart w:id="336" w:name="_Toc141703894"/>
      <w:r w:rsidRPr="002C2B23">
        <w:rPr>
          <w:rFonts w:ascii="Times New Roman"/>
          <w:sz w:val="30"/>
          <w:lang w:eastAsia="zh-CN"/>
        </w:rPr>
        <w:t>第十四部分</w:t>
      </w:r>
      <w:r w:rsidRPr="002C2B23">
        <w:rPr>
          <w:rFonts w:ascii="Times New Roman"/>
          <w:sz w:val="30"/>
          <w:lang w:eastAsia="zh-CN"/>
        </w:rPr>
        <w:t xml:space="preserve">  </w:t>
      </w:r>
      <w:r w:rsidRPr="002C2B23">
        <w:rPr>
          <w:rFonts w:ascii="Times New Roman"/>
          <w:sz w:val="30"/>
          <w:lang w:eastAsia="zh-CN"/>
        </w:rPr>
        <w:t>基金资产估值</w:t>
      </w:r>
      <w:bookmarkEnd w:id="327"/>
      <w:bookmarkEnd w:id="328"/>
      <w:bookmarkEnd w:id="329"/>
      <w:bookmarkEnd w:id="330"/>
      <w:bookmarkEnd w:id="331"/>
      <w:bookmarkEnd w:id="332"/>
      <w:bookmarkEnd w:id="333"/>
      <w:bookmarkEnd w:id="334"/>
    </w:p>
    <w:p w14:paraId="359F738C" w14:textId="77777777" w:rsidR="005039DD" w:rsidRPr="002C2B23" w:rsidRDefault="005039DD">
      <w:pPr>
        <w:spacing w:line="360" w:lineRule="auto"/>
        <w:ind w:firstLine="480"/>
        <w:rPr>
          <w:bCs/>
          <w:sz w:val="24"/>
          <w:lang w:eastAsia="zh-CN"/>
        </w:rPr>
      </w:pPr>
    </w:p>
    <w:p w14:paraId="41208AB1" w14:textId="77777777" w:rsidR="005039DD" w:rsidRPr="002C2B23" w:rsidRDefault="0040620F">
      <w:pPr>
        <w:spacing w:line="360" w:lineRule="auto"/>
        <w:ind w:firstLine="480"/>
        <w:rPr>
          <w:bCs/>
          <w:sz w:val="24"/>
          <w:lang w:eastAsia="zh-CN"/>
        </w:rPr>
      </w:pPr>
      <w:bookmarkStart w:id="337" w:name="_Toc139991745"/>
      <w:bookmarkStart w:id="338" w:name="_Toc32046"/>
      <w:bookmarkStart w:id="339" w:name="_Toc141703895"/>
      <w:bookmarkEnd w:id="335"/>
      <w:bookmarkEnd w:id="336"/>
      <w:r w:rsidRPr="002C2B23">
        <w:rPr>
          <w:bCs/>
          <w:sz w:val="24"/>
          <w:lang w:eastAsia="zh-CN"/>
        </w:rPr>
        <w:t>一、估值日</w:t>
      </w:r>
    </w:p>
    <w:p w14:paraId="1875710F" w14:textId="77777777" w:rsidR="005039DD" w:rsidRPr="002C2B23" w:rsidRDefault="0040620F">
      <w:pPr>
        <w:spacing w:line="360" w:lineRule="auto"/>
        <w:ind w:firstLine="480"/>
        <w:rPr>
          <w:bCs/>
          <w:sz w:val="24"/>
          <w:lang w:eastAsia="zh-CN"/>
        </w:rPr>
      </w:pPr>
      <w:r w:rsidRPr="002C2B23">
        <w:rPr>
          <w:bCs/>
          <w:sz w:val="24"/>
          <w:lang w:eastAsia="zh-CN"/>
        </w:rPr>
        <w:t>本基金的估值日为本基金相关的证券交易场所的交易日以及国家法律法规规定需要对外披露基金净值的</w:t>
      </w:r>
      <w:proofErr w:type="gramStart"/>
      <w:r w:rsidRPr="002C2B23">
        <w:rPr>
          <w:bCs/>
          <w:sz w:val="24"/>
          <w:lang w:eastAsia="zh-CN"/>
        </w:rPr>
        <w:t>非交易</w:t>
      </w:r>
      <w:proofErr w:type="gramEnd"/>
      <w:r w:rsidRPr="002C2B23">
        <w:rPr>
          <w:bCs/>
          <w:sz w:val="24"/>
          <w:lang w:eastAsia="zh-CN"/>
        </w:rPr>
        <w:t>日。</w:t>
      </w:r>
    </w:p>
    <w:p w14:paraId="6C7F0E3C" w14:textId="77777777" w:rsidR="005039DD" w:rsidRPr="002C2B23" w:rsidRDefault="005039DD">
      <w:pPr>
        <w:spacing w:line="360" w:lineRule="auto"/>
        <w:ind w:firstLine="480"/>
        <w:rPr>
          <w:bCs/>
          <w:sz w:val="24"/>
          <w:lang w:eastAsia="zh-CN"/>
        </w:rPr>
      </w:pPr>
    </w:p>
    <w:p w14:paraId="61520011" w14:textId="77777777" w:rsidR="005039DD" w:rsidRPr="002C2B23" w:rsidRDefault="0040620F">
      <w:pPr>
        <w:spacing w:line="360" w:lineRule="auto"/>
        <w:ind w:firstLine="480"/>
        <w:rPr>
          <w:bCs/>
          <w:sz w:val="24"/>
          <w:lang w:eastAsia="zh-CN"/>
        </w:rPr>
      </w:pPr>
      <w:bookmarkStart w:id="340" w:name="_Hlk96415911"/>
      <w:r w:rsidRPr="002C2B23">
        <w:rPr>
          <w:bCs/>
          <w:sz w:val="24"/>
          <w:lang w:eastAsia="zh-CN"/>
        </w:rPr>
        <w:t>二、估值对象</w:t>
      </w:r>
    </w:p>
    <w:p w14:paraId="21D97826" w14:textId="77777777" w:rsidR="005039DD" w:rsidRPr="002C2B23" w:rsidRDefault="0040620F">
      <w:pPr>
        <w:spacing w:line="360" w:lineRule="auto"/>
        <w:ind w:firstLine="480"/>
        <w:rPr>
          <w:bCs/>
          <w:sz w:val="24"/>
          <w:lang w:eastAsia="zh-CN"/>
        </w:rPr>
      </w:pPr>
      <w:r w:rsidRPr="002C2B23">
        <w:rPr>
          <w:bCs/>
          <w:sz w:val="24"/>
          <w:lang w:eastAsia="zh-CN"/>
        </w:rPr>
        <w:t>基金所拥有的股票、</w:t>
      </w:r>
      <w:bookmarkStart w:id="341" w:name="_Hlk31791737"/>
      <w:r w:rsidRPr="002C2B23">
        <w:rPr>
          <w:bCs/>
          <w:sz w:val="24"/>
          <w:lang w:eastAsia="zh-CN"/>
        </w:rPr>
        <w:t>股指期货合约、国债期货合约、</w:t>
      </w:r>
      <w:bookmarkEnd w:id="341"/>
      <w:r w:rsidRPr="002C2B23">
        <w:rPr>
          <w:rFonts w:hint="eastAsia"/>
          <w:bCs/>
          <w:sz w:val="24"/>
          <w:lang w:eastAsia="zh-CN"/>
        </w:rPr>
        <w:t>股票期权合约、</w:t>
      </w:r>
      <w:r w:rsidRPr="002C2B23">
        <w:rPr>
          <w:bCs/>
          <w:sz w:val="24"/>
          <w:lang w:eastAsia="zh-CN"/>
        </w:rPr>
        <w:t>债券和银行存款本息、应收款项、</w:t>
      </w:r>
      <w:bookmarkStart w:id="342" w:name="_Hlk36119170"/>
      <w:r w:rsidRPr="002C2B23">
        <w:rPr>
          <w:bCs/>
          <w:sz w:val="24"/>
          <w:lang w:eastAsia="zh-CN"/>
        </w:rPr>
        <w:t>资产支持证券、</w:t>
      </w:r>
      <w:bookmarkEnd w:id="342"/>
      <w:r w:rsidRPr="002C2B23">
        <w:rPr>
          <w:bCs/>
          <w:sz w:val="24"/>
          <w:lang w:eastAsia="zh-CN"/>
        </w:rPr>
        <w:t>其它投资等资产及负债。</w:t>
      </w:r>
    </w:p>
    <w:p w14:paraId="2EE319D4" w14:textId="77777777" w:rsidR="005039DD" w:rsidRPr="002C2B23" w:rsidRDefault="005039DD">
      <w:pPr>
        <w:spacing w:line="360" w:lineRule="auto"/>
        <w:ind w:firstLine="480"/>
        <w:rPr>
          <w:bCs/>
          <w:sz w:val="24"/>
          <w:lang w:eastAsia="zh-CN"/>
        </w:rPr>
      </w:pPr>
    </w:p>
    <w:bookmarkEnd w:id="340"/>
    <w:p w14:paraId="5962B38E" w14:textId="77777777" w:rsidR="005039DD" w:rsidRPr="002C2B23" w:rsidRDefault="0040620F">
      <w:pPr>
        <w:spacing w:line="360" w:lineRule="auto"/>
        <w:ind w:firstLine="480"/>
        <w:rPr>
          <w:bCs/>
          <w:sz w:val="24"/>
          <w:lang w:eastAsia="zh-CN"/>
        </w:rPr>
      </w:pPr>
      <w:r w:rsidRPr="002C2B23">
        <w:rPr>
          <w:bCs/>
          <w:sz w:val="24"/>
          <w:lang w:eastAsia="zh-CN"/>
        </w:rPr>
        <w:t>三、估值原则</w:t>
      </w:r>
    </w:p>
    <w:p w14:paraId="3A8F2AC0" w14:textId="77777777" w:rsidR="005039DD" w:rsidRPr="002C2B23" w:rsidRDefault="0040620F">
      <w:pPr>
        <w:spacing w:line="360" w:lineRule="auto"/>
        <w:ind w:firstLine="480"/>
        <w:rPr>
          <w:bCs/>
          <w:sz w:val="24"/>
          <w:lang w:eastAsia="zh-CN"/>
        </w:rPr>
      </w:pPr>
      <w:r w:rsidRPr="002C2B23">
        <w:rPr>
          <w:bCs/>
          <w:sz w:val="24"/>
          <w:lang w:eastAsia="zh-CN"/>
        </w:rPr>
        <w:t>基金管理人在确定相关金融资产和金融负债的公允价值时，应符合《企业会计准则》、监管部门有关规定。</w:t>
      </w:r>
    </w:p>
    <w:p w14:paraId="2167CB43" w14:textId="77777777" w:rsidR="005039DD" w:rsidRPr="002C2B23" w:rsidRDefault="0040620F">
      <w:pPr>
        <w:spacing w:line="360" w:lineRule="auto"/>
        <w:ind w:firstLine="480"/>
        <w:rPr>
          <w:bCs/>
          <w:sz w:val="24"/>
          <w:lang w:eastAsia="zh-CN"/>
        </w:rPr>
      </w:pPr>
      <w:r w:rsidRPr="002C2B23">
        <w:rPr>
          <w:bCs/>
          <w:sz w:val="24"/>
          <w:lang w:eastAsia="zh-CN"/>
        </w:rPr>
        <w:t>（一）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25ED9611" w14:textId="77777777" w:rsidR="005039DD" w:rsidRPr="002C2B23" w:rsidRDefault="0040620F">
      <w:pPr>
        <w:spacing w:line="360" w:lineRule="auto"/>
        <w:ind w:firstLine="480"/>
        <w:rPr>
          <w:bCs/>
          <w:sz w:val="24"/>
          <w:lang w:eastAsia="zh-CN"/>
        </w:rPr>
      </w:pPr>
      <w:r w:rsidRPr="002C2B23">
        <w:rPr>
          <w:bCs/>
          <w:sz w:val="24"/>
          <w:lang w:eastAsia="zh-CN"/>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26A2E404" w14:textId="77777777" w:rsidR="005039DD" w:rsidRPr="002C2B23" w:rsidRDefault="0040620F">
      <w:pPr>
        <w:spacing w:line="360" w:lineRule="auto"/>
        <w:ind w:firstLine="480"/>
        <w:rPr>
          <w:bCs/>
          <w:sz w:val="24"/>
          <w:lang w:eastAsia="zh-CN"/>
        </w:rPr>
      </w:pPr>
      <w:r w:rsidRPr="002C2B23">
        <w:rPr>
          <w:bCs/>
          <w:sz w:val="24"/>
          <w:lang w:eastAsia="zh-CN"/>
        </w:rPr>
        <w:t>（二）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52123F20" w14:textId="77777777" w:rsidR="005039DD" w:rsidRPr="002C2B23" w:rsidRDefault="0040620F">
      <w:pPr>
        <w:spacing w:line="360" w:lineRule="auto"/>
        <w:ind w:firstLine="480"/>
        <w:rPr>
          <w:bCs/>
          <w:sz w:val="24"/>
          <w:lang w:eastAsia="zh-CN"/>
        </w:rPr>
      </w:pPr>
      <w:r w:rsidRPr="002C2B23">
        <w:rPr>
          <w:bCs/>
          <w:sz w:val="24"/>
          <w:lang w:eastAsia="zh-CN"/>
        </w:rPr>
        <w:t>（三）如经济环境发生重大变化或证券发行人发生影响证券价格的重大事件，使潜在估值调整对前一估值日的基金资产净值的影响在</w:t>
      </w:r>
      <w:r w:rsidRPr="002C2B23">
        <w:rPr>
          <w:bCs/>
          <w:sz w:val="24"/>
          <w:lang w:eastAsia="zh-CN"/>
        </w:rPr>
        <w:t>0.25%</w:t>
      </w:r>
      <w:r w:rsidRPr="002C2B23">
        <w:rPr>
          <w:bCs/>
          <w:sz w:val="24"/>
          <w:lang w:eastAsia="zh-CN"/>
        </w:rPr>
        <w:t>以上的，应对估值进行调整并确定公允价值。</w:t>
      </w:r>
    </w:p>
    <w:p w14:paraId="210C8804" w14:textId="77777777" w:rsidR="005039DD" w:rsidRPr="002C2B23" w:rsidRDefault="005039DD">
      <w:pPr>
        <w:spacing w:line="360" w:lineRule="auto"/>
        <w:ind w:firstLine="480"/>
        <w:rPr>
          <w:bCs/>
          <w:sz w:val="24"/>
          <w:lang w:eastAsia="zh-CN"/>
        </w:rPr>
      </w:pPr>
    </w:p>
    <w:p w14:paraId="78CACFAD" w14:textId="77777777" w:rsidR="005039DD" w:rsidRPr="002C2B23" w:rsidRDefault="0040620F">
      <w:pPr>
        <w:spacing w:line="360" w:lineRule="auto"/>
        <w:ind w:firstLine="480"/>
        <w:rPr>
          <w:bCs/>
          <w:sz w:val="24"/>
          <w:lang w:eastAsia="zh-CN"/>
        </w:rPr>
      </w:pPr>
      <w:bookmarkStart w:id="343" w:name="_Hlk96415926"/>
      <w:r w:rsidRPr="002C2B23">
        <w:rPr>
          <w:bCs/>
          <w:sz w:val="24"/>
          <w:lang w:eastAsia="zh-CN"/>
        </w:rPr>
        <w:t>四、估值方法</w:t>
      </w:r>
    </w:p>
    <w:p w14:paraId="178E11F7"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、证券交易所上市的有价证券的估值</w:t>
      </w:r>
    </w:p>
    <w:p w14:paraId="4053FCC8"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交易所上市的有价证券（包括股票等），以其估值日在证券交易所挂牌的市价（收盘价）估值；估值日无交易的，最近交易日后经济环境未发生重大变化且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71156C81" w14:textId="753D18AA"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）交易所上市交易或挂牌转让的</w:t>
      </w:r>
      <w:r w:rsidRPr="002C2B23">
        <w:rPr>
          <w:rFonts w:hint="eastAsia"/>
          <w:bCs/>
          <w:sz w:val="24"/>
          <w:lang w:eastAsia="zh-CN"/>
        </w:rPr>
        <w:t>不含</w:t>
      </w:r>
      <w:proofErr w:type="gramStart"/>
      <w:r w:rsidRPr="002C2B23">
        <w:rPr>
          <w:rFonts w:hint="eastAsia"/>
          <w:bCs/>
          <w:sz w:val="24"/>
          <w:lang w:eastAsia="zh-CN"/>
        </w:rPr>
        <w:t>权</w:t>
      </w:r>
      <w:r w:rsidRPr="002C2B23">
        <w:rPr>
          <w:bCs/>
          <w:sz w:val="24"/>
          <w:lang w:eastAsia="zh-CN"/>
        </w:rPr>
        <w:t>固定</w:t>
      </w:r>
      <w:proofErr w:type="gramEnd"/>
      <w:r w:rsidRPr="002C2B23">
        <w:rPr>
          <w:bCs/>
          <w:sz w:val="24"/>
          <w:lang w:eastAsia="zh-CN"/>
        </w:rPr>
        <w:t>收益品种（本基金合同另有规定的除外），</w:t>
      </w:r>
      <w:r w:rsidRPr="002C2B23">
        <w:rPr>
          <w:rFonts w:hint="eastAsia"/>
          <w:bCs/>
          <w:sz w:val="24"/>
          <w:lang w:eastAsia="zh-CN"/>
        </w:rPr>
        <w:t>选取估值日第三方估值机构提供的相应品种当日的估值全价；交易所上市交易或挂牌转让的含</w:t>
      </w:r>
      <w:proofErr w:type="gramStart"/>
      <w:r w:rsidRPr="002C2B23">
        <w:rPr>
          <w:rFonts w:hint="eastAsia"/>
          <w:bCs/>
          <w:sz w:val="24"/>
          <w:lang w:eastAsia="zh-CN"/>
        </w:rPr>
        <w:t>权固定</w:t>
      </w:r>
      <w:proofErr w:type="gramEnd"/>
      <w:r w:rsidRPr="002C2B23">
        <w:rPr>
          <w:rFonts w:hint="eastAsia"/>
          <w:bCs/>
          <w:sz w:val="24"/>
          <w:lang w:eastAsia="zh-CN"/>
        </w:rPr>
        <w:t>收益品种，选取估值日第三方估值机构提供的相应品种当日的唯一估值全价或推荐估值全价。</w:t>
      </w:r>
      <w:r w:rsidRPr="002C2B23">
        <w:rPr>
          <w:bCs/>
          <w:sz w:val="24"/>
          <w:lang w:eastAsia="zh-CN"/>
        </w:rPr>
        <w:t>具体估值机构由基金管理人与基金托管人另行协商约定；</w:t>
      </w:r>
    </w:p>
    <w:p w14:paraId="7CD9C1DD"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3</w:t>
      </w:r>
      <w:r w:rsidRPr="002C2B23">
        <w:rPr>
          <w:bCs/>
          <w:sz w:val="24"/>
          <w:lang w:eastAsia="zh-CN"/>
        </w:rPr>
        <w:t>）</w:t>
      </w:r>
      <w:r w:rsidRPr="002C2B23">
        <w:rPr>
          <w:rFonts w:hint="eastAsia"/>
          <w:bCs/>
          <w:sz w:val="24"/>
          <w:lang w:eastAsia="zh-CN"/>
        </w:rPr>
        <w:t>交易所上市交易的公开发行的可转换债券等有活跃市场的含转股权的债券，实行全价交易的债券选取估值日收盘价作为估值全价；实行净价交易的债券选取估值日收盘价并加计每百元税前应计利息作为估值全价。</w:t>
      </w:r>
    </w:p>
    <w:p w14:paraId="48EF4946" w14:textId="3D27E3AB" w:rsidR="005039DD" w:rsidRPr="002C2B23" w:rsidRDefault="005039DD">
      <w:pPr>
        <w:spacing w:line="360" w:lineRule="auto"/>
        <w:ind w:firstLine="480"/>
        <w:rPr>
          <w:bCs/>
          <w:sz w:val="24"/>
          <w:lang w:eastAsia="zh-CN"/>
        </w:rPr>
      </w:pPr>
    </w:p>
    <w:p w14:paraId="5A7A1C3D" w14:textId="7BA57243"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4</w:t>
      </w:r>
      <w:r w:rsidRPr="002C2B23">
        <w:rPr>
          <w:bCs/>
          <w:sz w:val="24"/>
          <w:lang w:eastAsia="zh-CN"/>
        </w:rPr>
        <w:t>）交易所上市不存在活跃市场的有价证券，采用估值技术确定公允价值。。</w:t>
      </w:r>
    </w:p>
    <w:p w14:paraId="4E9CC1E1"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、处于未上市期间的有价证券应区分如下情况处理：</w:t>
      </w:r>
    </w:p>
    <w:p w14:paraId="6EC6C6C7"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）送股、转增股、配股和公开增发的新股，按估值日在证券交易所挂牌的同一股票的估值方法估值；该日无交易的，以最近一日的市价（收盘价）估值；</w:t>
      </w:r>
    </w:p>
    <w:p w14:paraId="5AC4ABAA" w14:textId="27CA5646"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）首次公开发行未上市或未挂牌转让的股票，采用估值技术确定公允价值；</w:t>
      </w:r>
    </w:p>
    <w:p w14:paraId="487C879A"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3</w:t>
      </w:r>
      <w:r w:rsidRPr="002C2B23">
        <w:rPr>
          <w:bCs/>
          <w:sz w:val="24"/>
          <w:lang w:eastAsia="zh-CN"/>
        </w:rPr>
        <w:t>）流通受限的股票，指在发行时明确一定期限限售期的股票，包括但不限于非公开发行股票、首次公开发行股票时公司股东公开发售股份、通过大宗交易取得的带限售期的股票等（不包括停牌、新发行未上市、回购交易中的质押</w:t>
      </w:r>
      <w:proofErr w:type="gramStart"/>
      <w:r w:rsidRPr="002C2B23">
        <w:rPr>
          <w:bCs/>
          <w:sz w:val="24"/>
          <w:lang w:eastAsia="zh-CN"/>
        </w:rPr>
        <w:t>券</w:t>
      </w:r>
      <w:proofErr w:type="gramEnd"/>
      <w:r w:rsidRPr="002C2B23">
        <w:rPr>
          <w:bCs/>
          <w:sz w:val="24"/>
          <w:lang w:eastAsia="zh-CN"/>
        </w:rPr>
        <w:t>等流通受限股票），按监管机构或行业协会有关规定确定公允价值。</w:t>
      </w:r>
    </w:p>
    <w:p w14:paraId="6C6AFF00" w14:textId="77777777" w:rsidR="005039DD" w:rsidRPr="002C2B23" w:rsidRDefault="0040620F">
      <w:pPr>
        <w:spacing w:line="360" w:lineRule="auto"/>
        <w:ind w:firstLine="480"/>
        <w:rPr>
          <w:bCs/>
          <w:sz w:val="24"/>
          <w:lang w:eastAsia="zh-CN"/>
        </w:rPr>
      </w:pPr>
      <w:r w:rsidRPr="002C2B23">
        <w:rPr>
          <w:rFonts w:hint="eastAsia"/>
          <w:bCs/>
          <w:sz w:val="24"/>
          <w:lang w:eastAsia="zh-CN"/>
        </w:rPr>
        <w:t>（</w:t>
      </w:r>
      <w:r w:rsidRPr="002C2B23">
        <w:rPr>
          <w:rFonts w:hint="eastAsia"/>
          <w:bCs/>
          <w:sz w:val="24"/>
          <w:lang w:eastAsia="zh-CN"/>
        </w:rPr>
        <w:t>4</w:t>
      </w:r>
      <w:r w:rsidRPr="002C2B23">
        <w:rPr>
          <w:rFonts w:hint="eastAsia"/>
          <w:bCs/>
          <w:sz w:val="24"/>
          <w:lang w:eastAsia="zh-CN"/>
        </w:rPr>
        <w:t>）交易所未上市或未挂牌转让且不存在活跃市场的固定收益品种，应采用在当前情况下适用并且有足够可利用数据和其他信息支持的估值技术确定其公允价值。</w:t>
      </w:r>
    </w:p>
    <w:p w14:paraId="3B499CB1"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w:t>
      </w:r>
      <w:r w:rsidRPr="002C2B23">
        <w:rPr>
          <w:rFonts w:hint="eastAsia"/>
          <w:bCs/>
          <w:sz w:val="24"/>
          <w:lang w:eastAsia="zh-CN"/>
        </w:rPr>
        <w:t>对全国银行间市场上不含权的固定收益品种，选取估值日第三方估值机构提供的相应品种当日的估值全价；对全国银行间市场上含权的固定收益品种，选取估值日第三方估值机构提供的相应品种当日的唯一估值全价或推荐估值全价。</w:t>
      </w:r>
    </w:p>
    <w:p w14:paraId="120D003B" w14:textId="311F7D87" w:rsidR="005039DD" w:rsidRPr="002C2B23" w:rsidRDefault="0040620F">
      <w:pPr>
        <w:spacing w:line="360" w:lineRule="auto"/>
        <w:ind w:firstLine="480"/>
        <w:rPr>
          <w:bCs/>
          <w:sz w:val="24"/>
          <w:lang w:eastAsia="zh-CN"/>
        </w:rPr>
      </w:pPr>
      <w:r w:rsidRPr="002C2B23">
        <w:rPr>
          <w:rFonts w:hint="eastAsia"/>
          <w:bCs/>
          <w:sz w:val="24"/>
          <w:lang w:eastAsia="zh-CN"/>
        </w:rPr>
        <w:t>对全国银行间市场未上市或未挂牌转让且不存在活跃市场的固定收益品种，应采用在当前情况下适用并且有足够可利用数据和其他信息支持的估值技术确定其公允价值。</w:t>
      </w:r>
    </w:p>
    <w:p w14:paraId="6929E486" w14:textId="77777777" w:rsidR="005039DD" w:rsidRPr="002C2B23" w:rsidRDefault="0040620F">
      <w:pPr>
        <w:spacing w:line="360" w:lineRule="auto"/>
        <w:ind w:firstLine="480"/>
        <w:rPr>
          <w:bCs/>
          <w:sz w:val="24"/>
          <w:lang w:eastAsia="zh-CN"/>
        </w:rPr>
      </w:pPr>
      <w:r w:rsidRPr="002C2B23">
        <w:rPr>
          <w:rFonts w:hint="eastAsia"/>
          <w:bCs/>
          <w:sz w:val="24"/>
          <w:lang w:eastAsia="zh-CN"/>
        </w:rPr>
        <w:t>4</w:t>
      </w:r>
      <w:r w:rsidRPr="002C2B23">
        <w:rPr>
          <w:rFonts w:hint="eastAsia"/>
          <w:bCs/>
          <w:sz w:val="24"/>
          <w:lang w:eastAsia="zh-CN"/>
        </w:rPr>
        <w:t>、对于含投资者回售权的固定收益品种，行使回售权的，在回售登记日至实际收款日期间选取第三方估值基准服务机构提供的相应品种的唯一估值全价或推荐估值全价。回售登记期截止日（含当日）后未行使回售权的按照长待偿期所对应的价格进行估值。</w:t>
      </w:r>
    </w:p>
    <w:p w14:paraId="0730C811" w14:textId="77777777" w:rsidR="005039DD" w:rsidRPr="002C2B23" w:rsidRDefault="0040620F">
      <w:pPr>
        <w:spacing w:line="360" w:lineRule="auto"/>
        <w:ind w:firstLine="480"/>
        <w:rPr>
          <w:bCs/>
          <w:sz w:val="24"/>
          <w:lang w:eastAsia="zh-CN"/>
        </w:rPr>
      </w:pPr>
      <w:r w:rsidRPr="002C2B23">
        <w:rPr>
          <w:rFonts w:hint="eastAsia"/>
          <w:bCs/>
          <w:sz w:val="24"/>
          <w:lang w:eastAsia="zh-CN"/>
        </w:rPr>
        <w:t>5</w:t>
      </w:r>
      <w:r w:rsidRPr="002C2B23">
        <w:rPr>
          <w:rFonts w:hint="eastAsia"/>
          <w:bCs/>
          <w:sz w:val="24"/>
          <w:lang w:eastAsia="zh-CN"/>
        </w:rPr>
        <w:t>、对于发行人已破产、发行人未能按时足额偿付本金或利息，或者有其它可靠信息表明本金或利息无法按时足额偿付的债券投资品种，第三方估值基准服务机构可在提供推荐价格的同时提供价格区间作为公允价值的参考范围以及公允价值存在重大不确定性的相关提示。基金管理人在与托管人协商一致后，可采用价格区间中的数据作为该债券投资品种的公允价值。</w:t>
      </w:r>
    </w:p>
    <w:p w14:paraId="154F1436" w14:textId="201F67C8" w:rsidR="005039DD" w:rsidRPr="002C2B23" w:rsidRDefault="0040620F">
      <w:pPr>
        <w:spacing w:line="360" w:lineRule="auto"/>
        <w:ind w:firstLine="480"/>
        <w:rPr>
          <w:bCs/>
          <w:sz w:val="24"/>
          <w:lang w:eastAsia="zh-CN"/>
        </w:rPr>
      </w:pPr>
      <w:r w:rsidRPr="002C2B23">
        <w:rPr>
          <w:rFonts w:hint="eastAsia"/>
          <w:bCs/>
          <w:sz w:val="24"/>
          <w:lang w:eastAsia="zh-CN"/>
        </w:rPr>
        <w:t>6</w:t>
      </w:r>
      <w:r w:rsidRPr="002C2B23">
        <w:rPr>
          <w:bCs/>
          <w:sz w:val="24"/>
          <w:lang w:eastAsia="zh-CN"/>
        </w:rPr>
        <w:t>、同一证券同时在两个或两个以上市场交易的，按证券所处的市场分别估值。</w:t>
      </w:r>
    </w:p>
    <w:p w14:paraId="15C71F48" w14:textId="6FDD1EEC" w:rsidR="005039DD" w:rsidRPr="002C2B23" w:rsidRDefault="0040620F">
      <w:pPr>
        <w:spacing w:line="360" w:lineRule="auto"/>
        <w:ind w:firstLine="480"/>
        <w:rPr>
          <w:bCs/>
          <w:sz w:val="24"/>
          <w:lang w:eastAsia="zh-CN"/>
        </w:rPr>
      </w:pPr>
      <w:r w:rsidRPr="002C2B23">
        <w:rPr>
          <w:rFonts w:hint="eastAsia"/>
          <w:bCs/>
          <w:sz w:val="24"/>
          <w:lang w:eastAsia="zh-CN"/>
        </w:rPr>
        <w:t>7</w:t>
      </w:r>
      <w:r w:rsidRPr="002C2B23">
        <w:rPr>
          <w:bCs/>
          <w:sz w:val="24"/>
          <w:lang w:eastAsia="zh-CN"/>
        </w:rPr>
        <w:t>、本基金投资股指期货合约、国债期货合约，一般以估值当日结算价进行估值，估值当日无结算价的，且最近交易日后经济环境未发生重大变化的，采用最近交易日结算价估值。</w:t>
      </w:r>
    </w:p>
    <w:p w14:paraId="1307C176" w14:textId="10F83794" w:rsidR="005039DD" w:rsidRPr="002C2B23" w:rsidRDefault="0040620F">
      <w:pPr>
        <w:spacing w:line="360" w:lineRule="auto"/>
        <w:ind w:firstLine="480"/>
        <w:rPr>
          <w:bCs/>
          <w:sz w:val="24"/>
          <w:lang w:eastAsia="zh-CN"/>
        </w:rPr>
      </w:pPr>
      <w:r w:rsidRPr="002C2B23">
        <w:rPr>
          <w:rFonts w:hint="eastAsia"/>
          <w:bCs/>
          <w:sz w:val="24"/>
          <w:lang w:eastAsia="zh-CN"/>
        </w:rPr>
        <w:t>8</w:t>
      </w:r>
      <w:r w:rsidRPr="002C2B23">
        <w:rPr>
          <w:bCs/>
          <w:sz w:val="24"/>
          <w:lang w:eastAsia="zh-CN"/>
        </w:rPr>
        <w:t>、本基金投资股票期权，根据相关法律法规以及监管部门的规定估值。</w:t>
      </w:r>
    </w:p>
    <w:p w14:paraId="2B95771A" w14:textId="1D78D55A" w:rsidR="005039DD" w:rsidRPr="002C2B23" w:rsidRDefault="0040620F">
      <w:pPr>
        <w:spacing w:line="360" w:lineRule="auto"/>
        <w:ind w:firstLine="480"/>
        <w:rPr>
          <w:bCs/>
          <w:sz w:val="24"/>
          <w:lang w:eastAsia="zh-CN"/>
        </w:rPr>
      </w:pPr>
      <w:r w:rsidRPr="002C2B23">
        <w:rPr>
          <w:rFonts w:hint="eastAsia"/>
          <w:bCs/>
          <w:sz w:val="24"/>
          <w:lang w:eastAsia="zh-CN"/>
        </w:rPr>
        <w:t>9</w:t>
      </w:r>
      <w:r w:rsidRPr="002C2B23">
        <w:rPr>
          <w:rFonts w:hint="eastAsia"/>
          <w:bCs/>
          <w:sz w:val="24"/>
          <w:lang w:eastAsia="zh-CN"/>
        </w:rPr>
        <w:t>、</w:t>
      </w:r>
      <w:r w:rsidRPr="002C2B23">
        <w:rPr>
          <w:bCs/>
          <w:sz w:val="24"/>
          <w:lang w:eastAsia="zh-CN"/>
        </w:rPr>
        <w:t>汇率</w:t>
      </w:r>
    </w:p>
    <w:p w14:paraId="2006F2DE" w14:textId="1B47319D" w:rsidR="005039DD" w:rsidRPr="002C2B23" w:rsidRDefault="0040620F">
      <w:pPr>
        <w:spacing w:line="360" w:lineRule="auto"/>
        <w:ind w:firstLine="480"/>
        <w:rPr>
          <w:bCs/>
          <w:sz w:val="24"/>
          <w:lang w:eastAsia="zh-CN"/>
        </w:rPr>
      </w:pPr>
      <w:r w:rsidRPr="002C2B23">
        <w:rPr>
          <w:bCs/>
          <w:sz w:val="24"/>
          <w:lang w:eastAsia="zh-CN"/>
        </w:rPr>
        <w:t>本基金外币资产价值计算中，涉及主要货币对人民币汇率的，应当以基金估值日中国人民银行或其授权机构公布的人民币汇率中间价为准。</w:t>
      </w:r>
    </w:p>
    <w:p w14:paraId="26530204" w14:textId="77777777" w:rsidR="005039DD" w:rsidRPr="002C2B23" w:rsidRDefault="0040620F">
      <w:pPr>
        <w:spacing w:line="360" w:lineRule="auto"/>
        <w:ind w:firstLine="480"/>
        <w:rPr>
          <w:bCs/>
          <w:sz w:val="24"/>
          <w:lang w:eastAsia="zh-CN"/>
        </w:rPr>
      </w:pPr>
      <w:r w:rsidRPr="002C2B23">
        <w:rPr>
          <w:rFonts w:hint="eastAsia"/>
          <w:bCs/>
          <w:sz w:val="24"/>
          <w:lang w:eastAsia="zh-CN"/>
        </w:rPr>
        <w:t>税收：对于按照中国法律法规和基金投资境内外股票市场交易互联互通机制涉及的境外交易场所所在地的法律法规规定应交纳的各项税金，本基金将按权责发生制原则进行估值；对于因税收规定调整或其他原因导致基金实际交纳税金与估算的应交税金有差异的，基金将在相关税金调整日或实际支付日进行相应的估值调整。</w:t>
      </w:r>
    </w:p>
    <w:p w14:paraId="4A26B9C4" w14:textId="15472629" w:rsidR="005039DD" w:rsidRPr="002C2B23" w:rsidRDefault="0040620F">
      <w:pPr>
        <w:spacing w:line="360" w:lineRule="auto"/>
        <w:ind w:firstLine="480"/>
        <w:rPr>
          <w:bCs/>
          <w:sz w:val="24"/>
          <w:lang w:eastAsia="zh-CN"/>
        </w:rPr>
      </w:pPr>
      <w:r w:rsidRPr="002C2B23">
        <w:rPr>
          <w:rFonts w:hint="eastAsia"/>
          <w:bCs/>
          <w:sz w:val="24"/>
          <w:lang w:eastAsia="zh-CN"/>
        </w:rPr>
        <w:t>10</w:t>
      </w:r>
      <w:r w:rsidRPr="002C2B23">
        <w:rPr>
          <w:bCs/>
          <w:sz w:val="24"/>
          <w:lang w:eastAsia="zh-CN"/>
        </w:rPr>
        <w:t>、本基金投资存托凭证的估值核算，依照境内上市交易的股票执行。</w:t>
      </w:r>
    </w:p>
    <w:p w14:paraId="702F5D01" w14:textId="65133336" w:rsidR="005039DD" w:rsidRPr="002C2B23" w:rsidRDefault="0040620F">
      <w:pPr>
        <w:spacing w:line="360" w:lineRule="auto"/>
        <w:ind w:firstLine="480"/>
        <w:rPr>
          <w:bCs/>
          <w:sz w:val="24"/>
          <w:lang w:eastAsia="zh-CN"/>
        </w:rPr>
      </w:pPr>
      <w:r w:rsidRPr="002C2B23">
        <w:rPr>
          <w:rFonts w:hint="eastAsia"/>
          <w:bCs/>
          <w:sz w:val="24"/>
          <w:lang w:eastAsia="zh-CN"/>
        </w:rPr>
        <w:t>11</w:t>
      </w:r>
      <w:r w:rsidRPr="002C2B23">
        <w:rPr>
          <w:rFonts w:hint="eastAsia"/>
          <w:bCs/>
          <w:sz w:val="24"/>
          <w:lang w:eastAsia="zh-CN"/>
        </w:rPr>
        <w:t>、当发生大额申购或赎回情形时，基金管理人可以采用摆动定价机制，以确保基金估值的公平性。具体处理原则与操作规范遵循相关法律法规以及监管部门、自律规则的规定。</w:t>
      </w:r>
    </w:p>
    <w:p w14:paraId="640FE659" w14:textId="24032920" w:rsidR="005039DD" w:rsidRPr="002C2B23" w:rsidRDefault="0040620F">
      <w:pPr>
        <w:spacing w:line="360" w:lineRule="auto"/>
        <w:ind w:firstLine="480"/>
        <w:rPr>
          <w:bCs/>
          <w:sz w:val="24"/>
          <w:lang w:eastAsia="zh-CN"/>
        </w:rPr>
      </w:pPr>
      <w:r w:rsidRPr="002C2B23">
        <w:rPr>
          <w:bCs/>
          <w:sz w:val="24"/>
          <w:lang w:eastAsia="zh-CN"/>
        </w:rPr>
        <w:t>1</w:t>
      </w:r>
      <w:r w:rsidRPr="002C2B23">
        <w:rPr>
          <w:rFonts w:hint="eastAsia"/>
          <w:bCs/>
          <w:sz w:val="24"/>
          <w:lang w:eastAsia="zh-CN"/>
        </w:rPr>
        <w:t>2</w:t>
      </w:r>
      <w:r w:rsidRPr="002C2B23">
        <w:rPr>
          <w:bCs/>
          <w:sz w:val="24"/>
          <w:lang w:eastAsia="zh-CN"/>
        </w:rPr>
        <w:t>、</w:t>
      </w:r>
      <w:r w:rsidRPr="002C2B23">
        <w:rPr>
          <w:rFonts w:hint="eastAsia"/>
          <w:bCs/>
          <w:sz w:val="24"/>
          <w:lang w:eastAsia="zh-CN"/>
        </w:rPr>
        <w:t>本基金可以采用第三方估值机构按照上述公允价值确定原则提供的估值价格数据。</w:t>
      </w:r>
    </w:p>
    <w:p w14:paraId="5104CF41" w14:textId="77777777" w:rsidR="005039DD" w:rsidRPr="002C2B23" w:rsidRDefault="0040620F">
      <w:pPr>
        <w:spacing w:line="360" w:lineRule="auto"/>
        <w:ind w:firstLine="480"/>
        <w:rPr>
          <w:bCs/>
          <w:sz w:val="24"/>
          <w:lang w:eastAsia="zh-CN"/>
        </w:rPr>
      </w:pPr>
      <w:r w:rsidRPr="002C2B23">
        <w:rPr>
          <w:rFonts w:hint="eastAsia"/>
          <w:bCs/>
          <w:sz w:val="24"/>
          <w:lang w:eastAsia="zh-CN"/>
        </w:rPr>
        <w:t>13</w:t>
      </w:r>
      <w:r w:rsidRPr="002C2B23">
        <w:rPr>
          <w:rFonts w:hint="eastAsia"/>
          <w:bCs/>
          <w:sz w:val="24"/>
          <w:lang w:eastAsia="zh-CN"/>
        </w:rPr>
        <w:t>、</w:t>
      </w:r>
      <w:r w:rsidRPr="002C2B23">
        <w:rPr>
          <w:bCs/>
          <w:sz w:val="24"/>
          <w:lang w:eastAsia="zh-CN"/>
        </w:rPr>
        <w:t>如有确凿证据表明按上述方法进行估值不能客观反映其公允价值的，基金管理人可根据具体情况与基金托管人商定后，按最能反映公允价值的价格估值。</w:t>
      </w:r>
    </w:p>
    <w:p w14:paraId="408FD22C" w14:textId="77777777" w:rsidR="005039DD" w:rsidRPr="002C2B23" w:rsidRDefault="0040620F">
      <w:pPr>
        <w:spacing w:line="360" w:lineRule="auto"/>
        <w:ind w:firstLine="480"/>
        <w:rPr>
          <w:sz w:val="24"/>
          <w:lang w:eastAsia="zh-CN"/>
        </w:rPr>
      </w:pPr>
      <w:r w:rsidRPr="002C2B23">
        <w:rPr>
          <w:rFonts w:hint="eastAsia"/>
          <w:sz w:val="24"/>
          <w:lang w:eastAsia="zh-CN"/>
        </w:rPr>
        <w:t>14</w:t>
      </w:r>
      <w:r w:rsidRPr="002C2B23">
        <w:rPr>
          <w:rFonts w:hint="eastAsia"/>
          <w:sz w:val="24"/>
          <w:lang w:eastAsia="zh-CN"/>
        </w:rPr>
        <w:t>、使用模型估值的，应当审慎确定模型参数，不得随意调整。</w:t>
      </w:r>
    </w:p>
    <w:p w14:paraId="687EA87D" w14:textId="77777777" w:rsidR="005039DD" w:rsidRPr="002C2B23" w:rsidRDefault="0040620F">
      <w:pPr>
        <w:spacing w:line="360" w:lineRule="auto"/>
        <w:ind w:firstLine="480"/>
        <w:rPr>
          <w:sz w:val="24"/>
          <w:lang w:eastAsia="zh-CN"/>
        </w:rPr>
      </w:pPr>
      <w:r w:rsidRPr="002C2B23">
        <w:rPr>
          <w:rFonts w:hint="eastAsia"/>
          <w:sz w:val="24"/>
          <w:lang w:eastAsia="zh-CN"/>
        </w:rPr>
        <w:t>15</w:t>
      </w:r>
      <w:r w:rsidRPr="002C2B23">
        <w:rPr>
          <w:rFonts w:hint="eastAsia"/>
          <w:sz w:val="24"/>
          <w:lang w:eastAsia="zh-CN"/>
        </w:rPr>
        <w:t>、对于仅依赖管理人所提供数据（包括不限于管理人自建模型定价）且无法从其他渠道获取可靠数据进行会计核算的投资品种，管理人应对该估值数据的真实性、准确性、完整性、合</w:t>
      </w:r>
      <w:proofErr w:type="gramStart"/>
      <w:r w:rsidRPr="002C2B23">
        <w:rPr>
          <w:rFonts w:hint="eastAsia"/>
          <w:sz w:val="24"/>
          <w:lang w:eastAsia="zh-CN"/>
        </w:rPr>
        <w:t>规</w:t>
      </w:r>
      <w:proofErr w:type="gramEnd"/>
      <w:r w:rsidRPr="002C2B23">
        <w:rPr>
          <w:rFonts w:hint="eastAsia"/>
          <w:sz w:val="24"/>
          <w:lang w:eastAsia="zh-CN"/>
        </w:rPr>
        <w:t>性负责，因上述估值数据错误导致估值结果的不真实、不准确、不完整、不合</w:t>
      </w:r>
      <w:proofErr w:type="gramStart"/>
      <w:r w:rsidRPr="002C2B23">
        <w:rPr>
          <w:rFonts w:hint="eastAsia"/>
          <w:sz w:val="24"/>
          <w:lang w:eastAsia="zh-CN"/>
        </w:rPr>
        <w:t>规</w:t>
      </w:r>
      <w:proofErr w:type="gramEnd"/>
      <w:r w:rsidRPr="002C2B23">
        <w:rPr>
          <w:rFonts w:hint="eastAsia"/>
          <w:sz w:val="24"/>
          <w:lang w:eastAsia="zh-CN"/>
        </w:rPr>
        <w:t>，托管人不承担任何责任。</w:t>
      </w:r>
    </w:p>
    <w:p w14:paraId="107714C1" w14:textId="3EB7EC14" w:rsidR="005039DD" w:rsidRPr="002C2B23" w:rsidRDefault="0040620F">
      <w:pPr>
        <w:spacing w:line="360" w:lineRule="auto"/>
        <w:ind w:firstLine="480"/>
        <w:rPr>
          <w:bCs/>
          <w:sz w:val="24"/>
          <w:lang w:eastAsia="zh-CN"/>
        </w:rPr>
      </w:pPr>
      <w:r w:rsidRPr="002C2B23">
        <w:rPr>
          <w:bCs/>
          <w:sz w:val="24"/>
          <w:lang w:eastAsia="zh-CN"/>
        </w:rPr>
        <w:t>1</w:t>
      </w:r>
      <w:r w:rsidRPr="002C2B23">
        <w:rPr>
          <w:rFonts w:hint="eastAsia"/>
          <w:bCs/>
          <w:sz w:val="24"/>
          <w:lang w:eastAsia="zh-CN"/>
        </w:rPr>
        <w:t>6</w:t>
      </w:r>
      <w:r w:rsidRPr="002C2B23">
        <w:rPr>
          <w:bCs/>
          <w:sz w:val="24"/>
          <w:lang w:eastAsia="zh-CN"/>
        </w:rPr>
        <w:t>、相关法律法规以及监管部门有强制规定的，从其规定。如有新增事项，按国家最新规定估值。</w:t>
      </w:r>
    </w:p>
    <w:p w14:paraId="4363EA68" w14:textId="77777777" w:rsidR="005039DD" w:rsidRPr="002C2B23" w:rsidRDefault="0040620F">
      <w:pPr>
        <w:spacing w:line="360" w:lineRule="auto"/>
        <w:ind w:firstLine="480"/>
        <w:rPr>
          <w:rStyle w:val="read"/>
          <w:bCs/>
          <w:sz w:val="24"/>
          <w:lang w:eastAsia="zh-CN"/>
        </w:rPr>
      </w:pPr>
      <w:r w:rsidRPr="002C2B23">
        <w:rPr>
          <w:rStyle w:val="read"/>
          <w:bCs/>
          <w:sz w:val="24"/>
          <w:lang w:eastAsia="zh-CN"/>
        </w:rPr>
        <w:t>如基金管理人或基金托管人发现基金估值违反基金合同订明的估值方法、程序及相关法律法规的规定或者未能充分维护基金份额持有人利益时，应立即通知对方，共同查明原因，双方协商解决。</w:t>
      </w:r>
    </w:p>
    <w:p w14:paraId="6B247DC2" w14:textId="30E89D0C" w:rsidR="005039DD" w:rsidRPr="002C2B23" w:rsidRDefault="0040620F">
      <w:pPr>
        <w:spacing w:line="360" w:lineRule="auto"/>
        <w:ind w:firstLine="480"/>
        <w:rPr>
          <w:bCs/>
          <w:sz w:val="24"/>
          <w:lang w:eastAsia="zh-CN"/>
        </w:rPr>
      </w:pPr>
      <w:r w:rsidRPr="002C2B23">
        <w:rPr>
          <w:bCs/>
          <w:sz w:val="24"/>
          <w:lang w:eastAsia="zh-CN"/>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w:t>
      </w:r>
      <w:r w:rsidRPr="002C2B23">
        <w:rPr>
          <w:rFonts w:hint="eastAsia"/>
          <w:bCs/>
          <w:sz w:val="24"/>
          <w:lang w:eastAsia="zh-CN"/>
        </w:rPr>
        <w:t>基金管理人向基金托管人出具盖章的书面说明后，</w:t>
      </w:r>
      <w:r w:rsidRPr="002C2B23">
        <w:rPr>
          <w:bCs/>
          <w:sz w:val="24"/>
          <w:lang w:eastAsia="zh-CN"/>
        </w:rPr>
        <w:t>按照基金管理人对基金净值的计算结果对外予以公布。</w:t>
      </w:r>
    </w:p>
    <w:p w14:paraId="16FF6CA2" w14:textId="77777777" w:rsidR="005039DD" w:rsidRPr="002C2B23" w:rsidRDefault="005039DD">
      <w:pPr>
        <w:spacing w:line="360" w:lineRule="auto"/>
        <w:ind w:firstLine="480"/>
        <w:rPr>
          <w:bCs/>
          <w:sz w:val="24"/>
          <w:lang w:eastAsia="zh-CN"/>
        </w:rPr>
      </w:pPr>
    </w:p>
    <w:p w14:paraId="5FF73427" w14:textId="77777777" w:rsidR="005039DD" w:rsidRPr="002C2B23" w:rsidRDefault="0040620F">
      <w:pPr>
        <w:spacing w:line="360" w:lineRule="auto"/>
        <w:ind w:firstLine="480"/>
        <w:rPr>
          <w:bCs/>
          <w:sz w:val="24"/>
          <w:lang w:eastAsia="zh-CN"/>
        </w:rPr>
      </w:pPr>
      <w:r w:rsidRPr="002C2B23">
        <w:rPr>
          <w:bCs/>
          <w:sz w:val="24"/>
          <w:lang w:eastAsia="zh-CN"/>
        </w:rPr>
        <w:t>五、估值程序</w:t>
      </w:r>
    </w:p>
    <w:p w14:paraId="2998A9F1"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、各类基金份额净值是按照每个工作日闭市后，各类基金资产净值除以当日该类基金份额的余额数量计算，均精确到</w:t>
      </w:r>
      <w:r w:rsidRPr="002C2B23">
        <w:rPr>
          <w:bCs/>
          <w:sz w:val="24"/>
          <w:lang w:eastAsia="zh-CN"/>
        </w:rPr>
        <w:t>0.0001</w:t>
      </w:r>
      <w:r w:rsidRPr="002C2B23">
        <w:rPr>
          <w:bCs/>
          <w:sz w:val="24"/>
          <w:lang w:eastAsia="zh-CN"/>
        </w:rPr>
        <w:t>元，小数点后第</w:t>
      </w:r>
      <w:r w:rsidRPr="002C2B23">
        <w:rPr>
          <w:bCs/>
          <w:sz w:val="24"/>
          <w:lang w:eastAsia="zh-CN"/>
        </w:rPr>
        <w:t>5</w:t>
      </w:r>
      <w:r w:rsidRPr="002C2B23">
        <w:rPr>
          <w:bCs/>
          <w:sz w:val="24"/>
          <w:lang w:eastAsia="zh-CN"/>
        </w:rPr>
        <w:t>位四舍五入。基金管理人可以设立大额赎回情形下的净值精度应急调整机制。国家另有规定的，从其规定。</w:t>
      </w:r>
    </w:p>
    <w:p w14:paraId="60BC39FF" w14:textId="77777777" w:rsidR="005039DD" w:rsidRPr="002C2B23" w:rsidRDefault="0040620F">
      <w:pPr>
        <w:spacing w:line="360" w:lineRule="auto"/>
        <w:ind w:firstLine="480"/>
        <w:rPr>
          <w:bCs/>
          <w:sz w:val="24"/>
          <w:lang w:eastAsia="zh-CN"/>
        </w:rPr>
      </w:pPr>
      <w:r w:rsidRPr="002C2B23">
        <w:rPr>
          <w:bCs/>
          <w:sz w:val="24"/>
          <w:lang w:eastAsia="zh-CN"/>
        </w:rPr>
        <w:t>基金管理人于每个工作日计算基金资产净值及各类基金份额净值，并按规定公告。</w:t>
      </w:r>
    </w:p>
    <w:p w14:paraId="3009D55D"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、基金管理人</w:t>
      </w:r>
      <w:proofErr w:type="gramStart"/>
      <w:r w:rsidRPr="002C2B23">
        <w:rPr>
          <w:bCs/>
          <w:sz w:val="24"/>
          <w:lang w:eastAsia="zh-CN"/>
        </w:rPr>
        <w:t>应每个</w:t>
      </w:r>
      <w:proofErr w:type="gramEnd"/>
      <w:r w:rsidRPr="002C2B23">
        <w:rPr>
          <w:bCs/>
          <w:sz w:val="24"/>
          <w:lang w:eastAsia="zh-CN"/>
        </w:rPr>
        <w:t>工作日对基金资产估值。但基金管理人根据法律法规或本基金合同的规定暂停估值时除外。基金管理人每个工作日对基金资产估值后，将各类基金份额净值结果发送基金托管人，经基金托管人复核无误后，由基金管理人按规定对外公布。</w:t>
      </w:r>
    </w:p>
    <w:p w14:paraId="044B0F94" w14:textId="77777777" w:rsidR="005039DD" w:rsidRPr="002C2B23" w:rsidRDefault="005039DD">
      <w:pPr>
        <w:spacing w:line="360" w:lineRule="auto"/>
        <w:ind w:firstLine="480"/>
        <w:rPr>
          <w:bCs/>
          <w:sz w:val="24"/>
          <w:lang w:eastAsia="zh-CN"/>
        </w:rPr>
      </w:pPr>
    </w:p>
    <w:bookmarkEnd w:id="343"/>
    <w:p w14:paraId="4EA15C7C" w14:textId="77777777" w:rsidR="005039DD" w:rsidRPr="002C2B23" w:rsidRDefault="0040620F">
      <w:pPr>
        <w:spacing w:line="360" w:lineRule="auto"/>
        <w:ind w:firstLine="480"/>
        <w:rPr>
          <w:bCs/>
          <w:sz w:val="24"/>
          <w:lang w:eastAsia="zh-CN"/>
        </w:rPr>
      </w:pPr>
      <w:r w:rsidRPr="002C2B23">
        <w:rPr>
          <w:bCs/>
          <w:sz w:val="24"/>
          <w:lang w:eastAsia="zh-CN"/>
        </w:rPr>
        <w:t>六、估值错误的处理</w:t>
      </w:r>
    </w:p>
    <w:p w14:paraId="1F65D1F9" w14:textId="77777777" w:rsidR="005039DD" w:rsidRPr="002C2B23" w:rsidRDefault="0040620F">
      <w:pPr>
        <w:spacing w:line="360" w:lineRule="auto"/>
        <w:ind w:firstLine="480"/>
        <w:rPr>
          <w:bCs/>
          <w:sz w:val="24"/>
          <w:lang w:eastAsia="zh-CN"/>
        </w:rPr>
      </w:pPr>
      <w:r w:rsidRPr="002C2B23">
        <w:rPr>
          <w:bCs/>
          <w:sz w:val="24"/>
          <w:lang w:eastAsia="zh-CN"/>
        </w:rPr>
        <w:t>基金管理人和基金托管人将采取必要、适当、合理的措施确保基金资产估值的准确性、及时性。当任一类基金份额净值小数点后</w:t>
      </w:r>
      <w:r w:rsidRPr="002C2B23">
        <w:rPr>
          <w:bCs/>
          <w:sz w:val="24"/>
          <w:lang w:eastAsia="zh-CN"/>
        </w:rPr>
        <w:t>4</w:t>
      </w:r>
      <w:r w:rsidRPr="002C2B23">
        <w:rPr>
          <w:bCs/>
          <w:sz w:val="24"/>
          <w:lang w:eastAsia="zh-CN"/>
        </w:rPr>
        <w:t>位以内（含第</w:t>
      </w:r>
      <w:r w:rsidRPr="002C2B23">
        <w:rPr>
          <w:bCs/>
          <w:sz w:val="24"/>
          <w:lang w:eastAsia="zh-CN"/>
        </w:rPr>
        <w:t>4</w:t>
      </w:r>
      <w:r w:rsidRPr="002C2B23">
        <w:rPr>
          <w:bCs/>
          <w:sz w:val="24"/>
          <w:lang w:eastAsia="zh-CN"/>
        </w:rPr>
        <w:t>位）发生估值错误时，视为该类基金份额净值错误。</w:t>
      </w:r>
    </w:p>
    <w:p w14:paraId="2034F787" w14:textId="77777777" w:rsidR="005039DD" w:rsidRPr="002C2B23" w:rsidRDefault="0040620F">
      <w:pPr>
        <w:spacing w:line="360" w:lineRule="auto"/>
        <w:ind w:firstLine="480"/>
        <w:rPr>
          <w:bCs/>
          <w:sz w:val="24"/>
          <w:lang w:eastAsia="zh-CN"/>
        </w:rPr>
      </w:pPr>
      <w:r w:rsidRPr="002C2B23">
        <w:rPr>
          <w:bCs/>
          <w:sz w:val="24"/>
          <w:lang w:eastAsia="zh-CN"/>
        </w:rPr>
        <w:t>本基金合同的当事人应按照以下约定处理：</w:t>
      </w:r>
    </w:p>
    <w:p w14:paraId="2B08C71E"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、估值错误类型</w:t>
      </w:r>
    </w:p>
    <w:p w14:paraId="0ACB91E8" w14:textId="77777777" w:rsidR="005039DD" w:rsidRPr="002C2B23" w:rsidRDefault="0040620F">
      <w:pPr>
        <w:spacing w:line="360" w:lineRule="auto"/>
        <w:ind w:firstLine="480"/>
        <w:rPr>
          <w:bCs/>
          <w:sz w:val="24"/>
          <w:lang w:eastAsia="zh-CN"/>
        </w:rPr>
      </w:pPr>
      <w:r w:rsidRPr="002C2B23">
        <w:rPr>
          <w:bCs/>
          <w:sz w:val="24"/>
          <w:lang w:eastAsia="zh-CN"/>
        </w:rPr>
        <w:t>本基金运作过程中，如果由于基金管理人或基金托管人、或登记机构、或销售机构、或投资人自身的过错造成估值错误，导致其他当事人遭受损失的，过错的责任人应当对由于该估值错误遭受损失当事人（</w:t>
      </w:r>
      <w:r w:rsidRPr="002C2B23">
        <w:rPr>
          <w:rFonts w:hint="eastAsia"/>
          <w:bCs/>
          <w:sz w:val="24"/>
          <w:lang w:eastAsia="zh-CN"/>
        </w:rPr>
        <w:t>“</w:t>
      </w:r>
      <w:r w:rsidRPr="002C2B23">
        <w:rPr>
          <w:bCs/>
          <w:sz w:val="24"/>
          <w:lang w:eastAsia="zh-CN"/>
        </w:rPr>
        <w:t>受损方</w:t>
      </w:r>
      <w:r w:rsidRPr="002C2B23">
        <w:rPr>
          <w:rFonts w:hint="eastAsia"/>
          <w:bCs/>
          <w:sz w:val="24"/>
          <w:lang w:eastAsia="zh-CN"/>
        </w:rPr>
        <w:t>”</w:t>
      </w:r>
      <w:r w:rsidRPr="002C2B23">
        <w:rPr>
          <w:bCs/>
          <w:sz w:val="24"/>
          <w:lang w:eastAsia="zh-CN"/>
        </w:rPr>
        <w:t>）的直接损失按下述</w:t>
      </w:r>
      <w:r w:rsidRPr="002C2B23">
        <w:rPr>
          <w:rFonts w:hint="eastAsia"/>
          <w:bCs/>
          <w:sz w:val="24"/>
          <w:lang w:eastAsia="zh-CN"/>
        </w:rPr>
        <w:t>“</w:t>
      </w:r>
      <w:r w:rsidRPr="002C2B23">
        <w:rPr>
          <w:bCs/>
          <w:sz w:val="24"/>
          <w:lang w:eastAsia="zh-CN"/>
        </w:rPr>
        <w:t>估值错误处理原则</w:t>
      </w:r>
      <w:r w:rsidRPr="002C2B23">
        <w:rPr>
          <w:rFonts w:hint="eastAsia"/>
          <w:bCs/>
          <w:sz w:val="24"/>
          <w:lang w:eastAsia="zh-CN"/>
        </w:rPr>
        <w:t>”</w:t>
      </w:r>
      <w:r w:rsidRPr="002C2B23">
        <w:rPr>
          <w:bCs/>
          <w:sz w:val="24"/>
          <w:lang w:eastAsia="zh-CN"/>
        </w:rPr>
        <w:t>给予赔偿，承担赔偿责任。</w:t>
      </w:r>
    </w:p>
    <w:p w14:paraId="3EA93A1D" w14:textId="77777777" w:rsidR="005039DD" w:rsidRPr="002C2B23" w:rsidRDefault="0040620F">
      <w:pPr>
        <w:spacing w:line="360" w:lineRule="auto"/>
        <w:ind w:firstLine="480"/>
        <w:rPr>
          <w:bCs/>
          <w:sz w:val="24"/>
          <w:lang w:eastAsia="zh-CN"/>
        </w:rPr>
      </w:pPr>
      <w:r w:rsidRPr="002C2B23">
        <w:rPr>
          <w:bCs/>
          <w:sz w:val="24"/>
          <w:lang w:eastAsia="zh-CN"/>
        </w:rPr>
        <w:t>上述估值错误的主要类型包括但不限于：资料申报差错、数据传输差错、数据计算差错、系统故障差错、下达指令差错等。</w:t>
      </w:r>
    </w:p>
    <w:p w14:paraId="7D27334A"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、估值错误处理原则</w:t>
      </w:r>
    </w:p>
    <w:p w14:paraId="63E78608"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440DCD54"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）估值错误的责任方对有关当事人的直接损失负责，不对间接损失负责，并且仅对估值错误的有关直接当事人负责，不对第三方负责。</w:t>
      </w:r>
    </w:p>
    <w:p w14:paraId="608AE2FC"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3</w:t>
      </w:r>
      <w:r w:rsidRPr="002C2B23">
        <w:rPr>
          <w:bCs/>
          <w:sz w:val="24"/>
          <w:lang w:eastAsia="zh-CN"/>
        </w:rPr>
        <w:t>）因估值错误而获得不当得利的当事人负有及时返还不当得利的义务。但估值错误责任方仍应对估值错误负责。如果由于获得不当得利的当事人</w:t>
      </w:r>
      <w:proofErr w:type="gramStart"/>
      <w:r w:rsidRPr="002C2B23">
        <w:rPr>
          <w:bCs/>
          <w:sz w:val="24"/>
          <w:lang w:eastAsia="zh-CN"/>
        </w:rPr>
        <w:t>不</w:t>
      </w:r>
      <w:proofErr w:type="gramEnd"/>
      <w:r w:rsidRPr="002C2B23">
        <w:rPr>
          <w:bCs/>
          <w:sz w:val="24"/>
          <w:lang w:eastAsia="zh-CN"/>
        </w:rPr>
        <w:t>返还或不全部返还不当得利造成其他当事人的利益损失（</w:t>
      </w:r>
      <w:r w:rsidRPr="002C2B23">
        <w:rPr>
          <w:rFonts w:hint="eastAsia"/>
          <w:bCs/>
          <w:sz w:val="24"/>
          <w:lang w:eastAsia="zh-CN"/>
        </w:rPr>
        <w:t>“</w:t>
      </w:r>
      <w:r w:rsidRPr="002C2B23">
        <w:rPr>
          <w:bCs/>
          <w:sz w:val="24"/>
          <w:lang w:eastAsia="zh-CN"/>
        </w:rPr>
        <w:t>受损方</w:t>
      </w:r>
      <w:r w:rsidRPr="002C2B23">
        <w:rPr>
          <w:rFonts w:hint="eastAsia"/>
          <w:bCs/>
          <w:sz w:val="24"/>
          <w:lang w:eastAsia="zh-CN"/>
        </w:rPr>
        <w:t>”</w:t>
      </w:r>
      <w:r w:rsidRPr="002C2B23">
        <w:rPr>
          <w:bCs/>
          <w:sz w:val="24"/>
          <w:lang w:eastAsia="zh-CN"/>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4B32C4B9"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4</w:t>
      </w:r>
      <w:r w:rsidRPr="002C2B23">
        <w:rPr>
          <w:bCs/>
          <w:sz w:val="24"/>
          <w:lang w:eastAsia="zh-CN"/>
        </w:rPr>
        <w:t>）估值错误调整采用尽量恢复至假设未发生估值错误的正确情形的方式。</w:t>
      </w:r>
    </w:p>
    <w:p w14:paraId="75B1CB9D"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、估值错误处理程序</w:t>
      </w:r>
    </w:p>
    <w:p w14:paraId="40DD4125" w14:textId="77777777" w:rsidR="005039DD" w:rsidRPr="002C2B23" w:rsidRDefault="0040620F">
      <w:pPr>
        <w:spacing w:line="360" w:lineRule="auto"/>
        <w:ind w:firstLine="480"/>
        <w:rPr>
          <w:bCs/>
          <w:sz w:val="24"/>
          <w:lang w:eastAsia="zh-CN"/>
        </w:rPr>
      </w:pPr>
      <w:r w:rsidRPr="002C2B23">
        <w:rPr>
          <w:bCs/>
          <w:sz w:val="24"/>
          <w:lang w:eastAsia="zh-CN"/>
        </w:rPr>
        <w:t>估值错误被发现后，有关的当事人应当及时进行处理，处理的程序如下：</w:t>
      </w:r>
    </w:p>
    <w:p w14:paraId="0318ECB5"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）查明估值错误发生的原因，列明所有的当事人，并根据估值错误发生的原因确定估值错误的责任方；</w:t>
      </w:r>
    </w:p>
    <w:p w14:paraId="6E3D7B12"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）根据估值错误处理原则或当事人协商的方法对因估值错误造成的损失进行评估；</w:t>
      </w:r>
    </w:p>
    <w:p w14:paraId="47A75EE5"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3</w:t>
      </w:r>
      <w:r w:rsidRPr="002C2B23">
        <w:rPr>
          <w:bCs/>
          <w:sz w:val="24"/>
          <w:lang w:eastAsia="zh-CN"/>
        </w:rPr>
        <w:t>）根据估值错误处理原则或当事人协商的方法由估值错误的责任方进行更正和赔偿损失；</w:t>
      </w:r>
    </w:p>
    <w:p w14:paraId="7AF0639C"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4</w:t>
      </w:r>
      <w:r w:rsidRPr="002C2B23">
        <w:rPr>
          <w:bCs/>
          <w:sz w:val="24"/>
          <w:lang w:eastAsia="zh-CN"/>
        </w:rPr>
        <w:t>）根据估值错误处理的方法，需要修改基金登记机构交易数据的，由基金登记机构进行更正，并就估值错误的更正向有关当事人进行确认。</w:t>
      </w:r>
    </w:p>
    <w:p w14:paraId="732A5181" w14:textId="77777777" w:rsidR="005039DD" w:rsidRPr="002C2B23" w:rsidRDefault="0040620F">
      <w:pPr>
        <w:spacing w:line="360" w:lineRule="auto"/>
        <w:ind w:firstLine="480"/>
        <w:rPr>
          <w:bCs/>
          <w:sz w:val="24"/>
          <w:lang w:eastAsia="zh-CN"/>
        </w:rPr>
      </w:pPr>
      <w:r w:rsidRPr="002C2B23">
        <w:rPr>
          <w:bCs/>
          <w:sz w:val="24"/>
          <w:lang w:eastAsia="zh-CN"/>
        </w:rPr>
        <w:t>4</w:t>
      </w:r>
      <w:r w:rsidRPr="002C2B23">
        <w:rPr>
          <w:bCs/>
          <w:sz w:val="24"/>
          <w:lang w:eastAsia="zh-CN"/>
        </w:rPr>
        <w:t>、基金份额净值估值错误处理的方法如下：</w:t>
      </w:r>
    </w:p>
    <w:p w14:paraId="3985A931"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）基金份额净值计算出现错误时，基金管理人应当立即予以纠正，通报基金托管人，并采取合理的措施防止损失进一步扩大。</w:t>
      </w:r>
    </w:p>
    <w:p w14:paraId="57B882DC"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）错误偏差达到该类基金份额净值的</w:t>
      </w:r>
      <w:r w:rsidRPr="002C2B23">
        <w:rPr>
          <w:bCs/>
          <w:sz w:val="24"/>
          <w:lang w:eastAsia="zh-CN"/>
        </w:rPr>
        <w:t>0.25%</w:t>
      </w:r>
      <w:r w:rsidRPr="002C2B23">
        <w:rPr>
          <w:bCs/>
          <w:sz w:val="24"/>
          <w:lang w:eastAsia="zh-CN"/>
        </w:rPr>
        <w:t>时，基金管理人应当通报基金托管人并报中国证监会备案；错误偏差达到该类基金份额净值的</w:t>
      </w:r>
      <w:r w:rsidRPr="002C2B23">
        <w:rPr>
          <w:bCs/>
          <w:sz w:val="24"/>
          <w:lang w:eastAsia="zh-CN"/>
        </w:rPr>
        <w:t>0.5%</w:t>
      </w:r>
      <w:r w:rsidRPr="002C2B23">
        <w:rPr>
          <w:bCs/>
          <w:sz w:val="24"/>
          <w:lang w:eastAsia="zh-CN"/>
        </w:rPr>
        <w:t>时，基金管理人应当公告，并报中国证监会备案。</w:t>
      </w:r>
    </w:p>
    <w:p w14:paraId="5C810564"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3</w:t>
      </w:r>
      <w:r w:rsidRPr="002C2B23">
        <w:rPr>
          <w:bCs/>
          <w:sz w:val="24"/>
          <w:lang w:eastAsia="zh-CN"/>
        </w:rPr>
        <w:t>）前述内容如法律法规或监管机关另有规定的，从其规定处理。如果行业另有通行做法，基金管理人、基金托管人应本着平等和保护基金份额持有人利益的原则进行协商。</w:t>
      </w:r>
    </w:p>
    <w:p w14:paraId="5CB8B481" w14:textId="77777777" w:rsidR="005039DD" w:rsidRPr="002C2B23" w:rsidRDefault="005039DD">
      <w:pPr>
        <w:spacing w:line="360" w:lineRule="auto"/>
        <w:ind w:firstLine="480"/>
        <w:rPr>
          <w:bCs/>
          <w:sz w:val="24"/>
          <w:lang w:eastAsia="zh-CN"/>
        </w:rPr>
      </w:pPr>
    </w:p>
    <w:p w14:paraId="34F19746" w14:textId="77777777" w:rsidR="005039DD" w:rsidRPr="002C2B23" w:rsidRDefault="0040620F">
      <w:pPr>
        <w:spacing w:line="360" w:lineRule="auto"/>
        <w:ind w:firstLine="480"/>
        <w:rPr>
          <w:bCs/>
          <w:sz w:val="24"/>
          <w:lang w:eastAsia="zh-CN"/>
        </w:rPr>
      </w:pPr>
      <w:r w:rsidRPr="002C2B23">
        <w:rPr>
          <w:bCs/>
          <w:sz w:val="24"/>
          <w:lang w:eastAsia="zh-CN"/>
        </w:rPr>
        <w:t>七、暂停估值的情形</w:t>
      </w:r>
    </w:p>
    <w:p w14:paraId="33452D2D"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、基金投资所涉及的证券、期货交易市场或外汇市场遇法定节假日或因其他原因暂停营业时；</w:t>
      </w:r>
    </w:p>
    <w:p w14:paraId="7FE2DB87"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、因不可抗力致使基金管理人、基金托管人无法准确评估基金资产价值时；</w:t>
      </w:r>
    </w:p>
    <w:p w14:paraId="3D0CD57C" w14:textId="77777777" w:rsidR="005039DD" w:rsidRPr="002C2B23" w:rsidRDefault="0040620F">
      <w:pPr>
        <w:spacing w:line="360" w:lineRule="auto"/>
        <w:ind w:firstLine="480"/>
        <w:rPr>
          <w:sz w:val="24"/>
          <w:lang w:eastAsia="zh-CN"/>
        </w:rPr>
      </w:pPr>
      <w:r w:rsidRPr="002C2B23">
        <w:rPr>
          <w:bCs/>
          <w:sz w:val="24"/>
          <w:lang w:eastAsia="zh-CN"/>
        </w:rPr>
        <w:t>3</w:t>
      </w:r>
      <w:r w:rsidRPr="002C2B23">
        <w:rPr>
          <w:bCs/>
          <w:sz w:val="24"/>
          <w:lang w:eastAsia="zh-CN"/>
        </w:rPr>
        <w:t>、</w:t>
      </w:r>
      <w:r w:rsidRPr="002C2B23">
        <w:rPr>
          <w:sz w:val="24"/>
          <w:lang w:eastAsia="zh-CN"/>
        </w:rPr>
        <w:t>当特定资产占前一估值日基金资产净值</w:t>
      </w:r>
      <w:r w:rsidRPr="002C2B23">
        <w:rPr>
          <w:sz w:val="24"/>
          <w:lang w:eastAsia="zh-CN"/>
        </w:rPr>
        <w:t>50%</w:t>
      </w:r>
      <w:r w:rsidRPr="002C2B23">
        <w:rPr>
          <w:sz w:val="24"/>
          <w:lang w:eastAsia="zh-CN"/>
        </w:rPr>
        <w:t>以上的，经与基金托管人协商确认后，基金管理人应当暂停估值；</w:t>
      </w:r>
    </w:p>
    <w:p w14:paraId="3066D13C" w14:textId="77777777" w:rsidR="005039DD" w:rsidRPr="002C2B23" w:rsidRDefault="0040620F">
      <w:pPr>
        <w:spacing w:line="360" w:lineRule="auto"/>
        <w:ind w:firstLine="480"/>
        <w:rPr>
          <w:bCs/>
          <w:sz w:val="24"/>
          <w:lang w:eastAsia="zh-CN"/>
        </w:rPr>
      </w:pPr>
      <w:r w:rsidRPr="002C2B23">
        <w:rPr>
          <w:bCs/>
          <w:sz w:val="24"/>
          <w:lang w:eastAsia="zh-CN"/>
        </w:rPr>
        <w:t>4</w:t>
      </w:r>
      <w:r w:rsidRPr="002C2B23">
        <w:rPr>
          <w:bCs/>
          <w:sz w:val="24"/>
          <w:lang w:eastAsia="zh-CN"/>
        </w:rPr>
        <w:t>、法律法规规定、中国证监会和基金合同认定的其它情形。</w:t>
      </w:r>
    </w:p>
    <w:p w14:paraId="7375C6CE" w14:textId="77777777" w:rsidR="005039DD" w:rsidRPr="002C2B23" w:rsidRDefault="005039DD">
      <w:pPr>
        <w:spacing w:line="360" w:lineRule="auto"/>
        <w:ind w:firstLine="480"/>
        <w:rPr>
          <w:bCs/>
          <w:sz w:val="24"/>
          <w:lang w:eastAsia="zh-CN"/>
        </w:rPr>
      </w:pPr>
    </w:p>
    <w:p w14:paraId="0858CF24" w14:textId="77777777" w:rsidR="005039DD" w:rsidRPr="002C2B23" w:rsidRDefault="0040620F">
      <w:pPr>
        <w:spacing w:line="360" w:lineRule="auto"/>
        <w:ind w:firstLine="480"/>
        <w:rPr>
          <w:bCs/>
          <w:sz w:val="24"/>
          <w:lang w:eastAsia="zh-CN"/>
        </w:rPr>
      </w:pPr>
      <w:r w:rsidRPr="002C2B23">
        <w:rPr>
          <w:bCs/>
          <w:sz w:val="24"/>
          <w:lang w:eastAsia="zh-CN"/>
        </w:rPr>
        <w:t>八、基金净值的确认</w:t>
      </w:r>
    </w:p>
    <w:p w14:paraId="520F46C2" w14:textId="77777777" w:rsidR="005039DD" w:rsidRPr="002C2B23" w:rsidRDefault="0040620F">
      <w:pPr>
        <w:spacing w:line="360" w:lineRule="auto"/>
        <w:ind w:firstLine="480"/>
        <w:rPr>
          <w:bCs/>
          <w:sz w:val="24"/>
          <w:lang w:eastAsia="zh-CN"/>
        </w:rPr>
      </w:pPr>
      <w:r w:rsidRPr="002C2B23">
        <w:rPr>
          <w:bCs/>
          <w:sz w:val="24"/>
          <w:lang w:eastAsia="zh-CN"/>
        </w:rPr>
        <w:t>基金资产净值和各类基金份额净值由基金管理人负责计算，基金托管人负责进行复核。基金管理人应于每个工作日交易结束后计算当日的基金资产净值和各类基金份额净值并发送给基金托管人。基金托管人对净值计算结果复核确认后发送给基金管理人，由基金管理人对基金净值按约定予以公布。</w:t>
      </w:r>
    </w:p>
    <w:p w14:paraId="2F1A6089" w14:textId="77777777" w:rsidR="005039DD" w:rsidRPr="002C2B23" w:rsidRDefault="005039DD">
      <w:pPr>
        <w:spacing w:line="360" w:lineRule="auto"/>
        <w:ind w:firstLine="480"/>
        <w:rPr>
          <w:bCs/>
          <w:sz w:val="24"/>
          <w:lang w:eastAsia="zh-CN"/>
        </w:rPr>
      </w:pPr>
    </w:p>
    <w:p w14:paraId="21F63C5E" w14:textId="77777777" w:rsidR="005039DD" w:rsidRPr="002C2B23" w:rsidRDefault="0040620F">
      <w:pPr>
        <w:spacing w:line="360" w:lineRule="auto"/>
        <w:ind w:firstLine="480"/>
        <w:rPr>
          <w:bCs/>
          <w:sz w:val="24"/>
          <w:lang w:eastAsia="zh-CN"/>
        </w:rPr>
      </w:pPr>
      <w:r w:rsidRPr="002C2B23">
        <w:rPr>
          <w:bCs/>
          <w:sz w:val="24"/>
          <w:lang w:eastAsia="zh-CN"/>
        </w:rPr>
        <w:t>九、特殊情况的处理</w:t>
      </w:r>
    </w:p>
    <w:p w14:paraId="7E769865" w14:textId="060F72A0"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、基金管理人或基金托管人按估值方法的第</w:t>
      </w:r>
      <w:r w:rsidRPr="002C2B23">
        <w:rPr>
          <w:rFonts w:hint="eastAsia"/>
          <w:bCs/>
          <w:sz w:val="24"/>
          <w:lang w:eastAsia="zh-CN"/>
        </w:rPr>
        <w:t>13</w:t>
      </w:r>
      <w:r w:rsidRPr="002C2B23">
        <w:rPr>
          <w:bCs/>
          <w:sz w:val="24"/>
          <w:lang w:eastAsia="zh-CN"/>
        </w:rPr>
        <w:t>项进行估值时，所造成的误差不作为基金资产估值错误处理。</w:t>
      </w:r>
    </w:p>
    <w:p w14:paraId="5FF47587"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、由于有关会计制度变化或不可抗力原因，或由于证券、期货交易所或登记结算公司</w:t>
      </w:r>
      <w:bookmarkStart w:id="344" w:name="_Hlk31791987"/>
      <w:r w:rsidRPr="002C2B23">
        <w:rPr>
          <w:bCs/>
          <w:sz w:val="24"/>
          <w:lang w:eastAsia="zh-CN"/>
        </w:rPr>
        <w:t>及存款银行等第三方机构</w:t>
      </w:r>
      <w:bookmarkEnd w:id="344"/>
      <w:r w:rsidRPr="002C2B23">
        <w:rPr>
          <w:bCs/>
          <w:sz w:val="24"/>
          <w:lang w:eastAsia="zh-CN"/>
        </w:rPr>
        <w:t>发送的数据错误等原因，基金管理人和基金托管人虽然已经采取必要、适当、合理的措施进行检查，但是未能发现该错误</w:t>
      </w:r>
      <w:r w:rsidRPr="002C2B23">
        <w:rPr>
          <w:rFonts w:hint="eastAsia"/>
          <w:bCs/>
          <w:sz w:val="24"/>
          <w:lang w:eastAsia="zh-CN"/>
        </w:rPr>
        <w:t>或即使发现错误但因前述原因无法及时更正</w:t>
      </w:r>
      <w:r w:rsidRPr="002C2B23">
        <w:rPr>
          <w:bCs/>
          <w:sz w:val="24"/>
          <w:lang w:eastAsia="zh-CN"/>
        </w:rPr>
        <w:t>的，由此造成的基金资产估值错误，基金管理人和基金托管人应当免除赔偿责任。但基金管理人和基金托管人应当积极采取必要的措施消除或减轻由此造成的影响。</w:t>
      </w:r>
    </w:p>
    <w:p w14:paraId="404D9F19" w14:textId="77777777" w:rsidR="005039DD" w:rsidRPr="002C2B23" w:rsidRDefault="005039DD">
      <w:pPr>
        <w:spacing w:line="360" w:lineRule="auto"/>
        <w:ind w:firstLine="480"/>
        <w:rPr>
          <w:bCs/>
          <w:sz w:val="24"/>
          <w:lang w:eastAsia="zh-CN"/>
        </w:rPr>
      </w:pPr>
    </w:p>
    <w:p w14:paraId="7CDD60DD" w14:textId="77777777" w:rsidR="005039DD" w:rsidRPr="002C2B23" w:rsidRDefault="0040620F">
      <w:pPr>
        <w:spacing w:line="360" w:lineRule="auto"/>
        <w:ind w:firstLine="480"/>
        <w:rPr>
          <w:bCs/>
          <w:sz w:val="24"/>
          <w:lang w:eastAsia="zh-CN"/>
        </w:rPr>
      </w:pPr>
      <w:r w:rsidRPr="002C2B23">
        <w:rPr>
          <w:bCs/>
          <w:sz w:val="24"/>
          <w:lang w:eastAsia="zh-CN"/>
        </w:rPr>
        <w:t>十、实施</w:t>
      </w:r>
      <w:proofErr w:type="gramStart"/>
      <w:r w:rsidRPr="002C2B23">
        <w:rPr>
          <w:bCs/>
          <w:sz w:val="24"/>
          <w:lang w:eastAsia="zh-CN"/>
        </w:rPr>
        <w:t>侧袋机制</w:t>
      </w:r>
      <w:proofErr w:type="gramEnd"/>
      <w:r w:rsidRPr="002C2B23">
        <w:rPr>
          <w:bCs/>
          <w:sz w:val="24"/>
          <w:lang w:eastAsia="zh-CN"/>
        </w:rPr>
        <w:t>期间的基金资产估值</w:t>
      </w:r>
    </w:p>
    <w:p w14:paraId="63811497" w14:textId="1FDF8716" w:rsidR="005039DD" w:rsidRPr="002C2B23" w:rsidRDefault="0040620F">
      <w:pPr>
        <w:spacing w:line="360" w:lineRule="auto"/>
        <w:ind w:firstLine="480"/>
        <w:rPr>
          <w:bCs/>
          <w:sz w:val="24"/>
          <w:lang w:eastAsia="zh-CN"/>
        </w:rPr>
        <w:sectPr w:rsidR="005039DD" w:rsidRPr="002C2B23">
          <w:footerReference w:type="default" r:id="rId24"/>
          <w:pgSz w:w="12240" w:h="15840"/>
          <w:pgMar w:top="1440" w:right="1800" w:bottom="1440" w:left="1800" w:header="720" w:footer="720" w:gutter="0"/>
          <w:cols w:space="720"/>
          <w:docGrid w:linePitch="312"/>
        </w:sectPr>
      </w:pPr>
      <w:r w:rsidRPr="002C2B23">
        <w:rPr>
          <w:bCs/>
          <w:sz w:val="24"/>
          <w:lang w:eastAsia="zh-CN"/>
        </w:rPr>
        <w:t>本基金实施</w:t>
      </w:r>
      <w:proofErr w:type="gramStart"/>
      <w:r w:rsidRPr="002C2B23">
        <w:rPr>
          <w:bCs/>
          <w:sz w:val="24"/>
          <w:lang w:eastAsia="zh-CN"/>
        </w:rPr>
        <w:t>侧袋机制</w:t>
      </w:r>
      <w:proofErr w:type="gramEnd"/>
      <w:r w:rsidRPr="002C2B23">
        <w:rPr>
          <w:bCs/>
          <w:sz w:val="24"/>
          <w:lang w:eastAsia="zh-CN"/>
        </w:rPr>
        <w:t>的，应根据本部分的约定</w:t>
      </w:r>
      <w:proofErr w:type="gramStart"/>
      <w:r w:rsidRPr="002C2B23">
        <w:rPr>
          <w:bCs/>
          <w:sz w:val="24"/>
          <w:lang w:eastAsia="zh-CN"/>
        </w:rPr>
        <w:t>对主袋账户</w:t>
      </w:r>
      <w:proofErr w:type="gramEnd"/>
      <w:r w:rsidRPr="002C2B23">
        <w:rPr>
          <w:bCs/>
          <w:sz w:val="24"/>
          <w:lang w:eastAsia="zh-CN"/>
        </w:rPr>
        <w:t>资产进行估值并</w:t>
      </w:r>
      <w:proofErr w:type="gramStart"/>
      <w:r w:rsidRPr="002C2B23">
        <w:rPr>
          <w:bCs/>
          <w:sz w:val="24"/>
          <w:lang w:eastAsia="zh-CN"/>
        </w:rPr>
        <w:t>披露主袋账户</w:t>
      </w:r>
      <w:proofErr w:type="gramEnd"/>
      <w:r w:rsidRPr="002C2B23">
        <w:rPr>
          <w:bCs/>
          <w:sz w:val="24"/>
          <w:lang w:eastAsia="zh-CN"/>
        </w:rPr>
        <w:t>的基金净值信息，暂停</w:t>
      </w:r>
      <w:proofErr w:type="gramStart"/>
      <w:r w:rsidRPr="002C2B23">
        <w:rPr>
          <w:bCs/>
          <w:sz w:val="24"/>
          <w:lang w:eastAsia="zh-CN"/>
        </w:rPr>
        <w:t>披露侧袋账户</w:t>
      </w:r>
      <w:proofErr w:type="gramEnd"/>
      <w:r w:rsidRPr="002C2B23">
        <w:rPr>
          <w:rFonts w:hint="eastAsia"/>
          <w:bCs/>
          <w:sz w:val="24"/>
          <w:lang w:eastAsia="zh-CN"/>
        </w:rPr>
        <w:t>份额</w:t>
      </w:r>
      <w:r w:rsidRPr="002C2B23">
        <w:rPr>
          <w:bCs/>
          <w:sz w:val="24"/>
          <w:lang w:eastAsia="zh-CN"/>
        </w:rPr>
        <w:t>净值。</w:t>
      </w:r>
    </w:p>
    <w:p w14:paraId="16965E0F" w14:textId="77777777" w:rsidR="005039DD" w:rsidRPr="002C2B23" w:rsidRDefault="0040620F">
      <w:pPr>
        <w:pStyle w:val="112"/>
        <w:spacing w:before="0" w:after="0"/>
        <w:jc w:val="center"/>
        <w:rPr>
          <w:rFonts w:ascii="Times New Roman"/>
          <w:sz w:val="30"/>
          <w:lang w:eastAsia="zh-CN"/>
        </w:rPr>
      </w:pPr>
      <w:bookmarkStart w:id="345" w:name="_Toc19752"/>
      <w:bookmarkStart w:id="346" w:name="_Toc32227"/>
      <w:bookmarkStart w:id="347" w:name="_Toc3365"/>
      <w:bookmarkStart w:id="348" w:name="_Toc109141375"/>
      <w:bookmarkStart w:id="349" w:name="_Toc12105"/>
      <w:bookmarkStart w:id="350" w:name="_Toc19706"/>
      <w:bookmarkStart w:id="351" w:name="_Toc15779"/>
      <w:bookmarkStart w:id="352" w:name="_Toc24601"/>
      <w:bookmarkStart w:id="353" w:name="_Toc13987"/>
      <w:bookmarkStart w:id="354" w:name="_Toc32041"/>
      <w:bookmarkStart w:id="355" w:name="_Toc6493"/>
      <w:r w:rsidRPr="002C2B23">
        <w:rPr>
          <w:rFonts w:ascii="Times New Roman"/>
          <w:sz w:val="30"/>
          <w:lang w:eastAsia="zh-CN"/>
        </w:rPr>
        <w:t>第十五部分</w:t>
      </w:r>
      <w:r w:rsidRPr="002C2B23">
        <w:rPr>
          <w:rFonts w:ascii="Times New Roman"/>
          <w:sz w:val="30"/>
          <w:lang w:eastAsia="zh-CN"/>
        </w:rPr>
        <w:t xml:space="preserve">  </w:t>
      </w:r>
      <w:r w:rsidRPr="002C2B23">
        <w:rPr>
          <w:rFonts w:ascii="Times New Roman"/>
          <w:sz w:val="30"/>
          <w:lang w:eastAsia="zh-CN"/>
        </w:rPr>
        <w:t>基金费用与税收</w:t>
      </w:r>
      <w:bookmarkEnd w:id="337"/>
      <w:bookmarkEnd w:id="338"/>
      <w:bookmarkEnd w:id="339"/>
      <w:bookmarkEnd w:id="345"/>
      <w:bookmarkEnd w:id="346"/>
      <w:bookmarkEnd w:id="347"/>
      <w:bookmarkEnd w:id="348"/>
      <w:bookmarkEnd w:id="349"/>
      <w:bookmarkEnd w:id="350"/>
      <w:bookmarkEnd w:id="351"/>
      <w:bookmarkEnd w:id="352"/>
      <w:bookmarkEnd w:id="353"/>
      <w:bookmarkEnd w:id="354"/>
      <w:bookmarkEnd w:id="355"/>
    </w:p>
    <w:p w14:paraId="21A32045" w14:textId="77777777" w:rsidR="005039DD" w:rsidRPr="002C2B23" w:rsidRDefault="005039DD">
      <w:pPr>
        <w:spacing w:line="360" w:lineRule="auto"/>
        <w:ind w:firstLine="480"/>
        <w:rPr>
          <w:bCs/>
          <w:sz w:val="24"/>
          <w:lang w:eastAsia="zh-CN"/>
        </w:rPr>
      </w:pPr>
    </w:p>
    <w:p w14:paraId="0A19C119" w14:textId="77777777" w:rsidR="005039DD" w:rsidRPr="002C2B23" w:rsidRDefault="0040620F">
      <w:pPr>
        <w:spacing w:line="360" w:lineRule="auto"/>
        <w:ind w:firstLine="480"/>
        <w:rPr>
          <w:bCs/>
          <w:sz w:val="24"/>
          <w:lang w:eastAsia="zh-CN"/>
        </w:rPr>
      </w:pPr>
      <w:r w:rsidRPr="002C2B23">
        <w:rPr>
          <w:bCs/>
          <w:sz w:val="24"/>
          <w:lang w:eastAsia="zh-CN"/>
        </w:rPr>
        <w:t>一、基金费用的种类</w:t>
      </w:r>
    </w:p>
    <w:p w14:paraId="1911A13E"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、基金管理人的管理费；</w:t>
      </w:r>
    </w:p>
    <w:p w14:paraId="54639419"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、基金托管人的托管费；</w:t>
      </w:r>
    </w:p>
    <w:p w14:paraId="0B35755A"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w:t>
      </w:r>
      <w:r w:rsidRPr="002C2B23">
        <w:rPr>
          <w:bCs/>
          <w:sz w:val="24"/>
          <w:lang w:eastAsia="zh-CN"/>
        </w:rPr>
        <w:t>C</w:t>
      </w:r>
      <w:r w:rsidRPr="002C2B23">
        <w:rPr>
          <w:bCs/>
          <w:sz w:val="24"/>
          <w:lang w:eastAsia="zh-CN"/>
        </w:rPr>
        <w:t>类基金份额的销售服务费；</w:t>
      </w:r>
    </w:p>
    <w:p w14:paraId="1CE3B140" w14:textId="77777777" w:rsidR="005039DD" w:rsidRPr="002C2B23" w:rsidRDefault="0040620F">
      <w:pPr>
        <w:spacing w:line="360" w:lineRule="auto"/>
        <w:ind w:firstLine="480"/>
        <w:rPr>
          <w:bCs/>
          <w:sz w:val="24"/>
          <w:lang w:eastAsia="zh-CN"/>
        </w:rPr>
      </w:pPr>
      <w:r w:rsidRPr="002C2B23">
        <w:rPr>
          <w:bCs/>
          <w:sz w:val="24"/>
          <w:lang w:eastAsia="zh-CN"/>
        </w:rPr>
        <w:t>4</w:t>
      </w:r>
      <w:r w:rsidRPr="002C2B23">
        <w:rPr>
          <w:bCs/>
          <w:sz w:val="24"/>
          <w:lang w:eastAsia="zh-CN"/>
        </w:rPr>
        <w:t>、《基金合同》生效后与基金相关的信息披露费用，法律法规、中国证监会另有规定的除外；</w:t>
      </w:r>
    </w:p>
    <w:p w14:paraId="66139686" w14:textId="77777777" w:rsidR="005039DD" w:rsidRPr="002C2B23" w:rsidRDefault="0040620F">
      <w:pPr>
        <w:spacing w:line="360" w:lineRule="auto"/>
        <w:ind w:firstLine="480"/>
        <w:rPr>
          <w:bCs/>
          <w:sz w:val="24"/>
          <w:lang w:eastAsia="zh-CN"/>
        </w:rPr>
      </w:pPr>
      <w:r w:rsidRPr="002C2B23">
        <w:rPr>
          <w:bCs/>
          <w:sz w:val="24"/>
          <w:lang w:eastAsia="zh-CN"/>
        </w:rPr>
        <w:t>5</w:t>
      </w:r>
      <w:r w:rsidRPr="002C2B23">
        <w:rPr>
          <w:bCs/>
          <w:sz w:val="24"/>
          <w:lang w:eastAsia="zh-CN"/>
        </w:rPr>
        <w:t>、《基金合同》生效后与基金相关的会计师费、律师费、公证费</w:t>
      </w:r>
      <w:r w:rsidRPr="002C2B23">
        <w:rPr>
          <w:rFonts w:hint="eastAsia"/>
          <w:bCs/>
          <w:sz w:val="24"/>
          <w:lang w:eastAsia="zh-CN"/>
        </w:rPr>
        <w:t>、</w:t>
      </w:r>
      <w:r w:rsidRPr="002C2B23">
        <w:rPr>
          <w:bCs/>
          <w:sz w:val="24"/>
          <w:lang w:eastAsia="zh-CN"/>
        </w:rPr>
        <w:t>诉讼费和仲裁费；</w:t>
      </w:r>
    </w:p>
    <w:p w14:paraId="18828E50" w14:textId="77777777" w:rsidR="005039DD" w:rsidRPr="002C2B23" w:rsidRDefault="0040620F">
      <w:pPr>
        <w:spacing w:line="360" w:lineRule="auto"/>
        <w:ind w:firstLine="480"/>
        <w:rPr>
          <w:bCs/>
          <w:sz w:val="24"/>
          <w:lang w:eastAsia="zh-CN"/>
        </w:rPr>
      </w:pPr>
      <w:r w:rsidRPr="002C2B23">
        <w:rPr>
          <w:bCs/>
          <w:sz w:val="24"/>
          <w:lang w:eastAsia="zh-CN"/>
        </w:rPr>
        <w:t>6</w:t>
      </w:r>
      <w:r w:rsidRPr="002C2B23">
        <w:rPr>
          <w:bCs/>
          <w:sz w:val="24"/>
          <w:lang w:eastAsia="zh-CN"/>
        </w:rPr>
        <w:t>、基金份额持有人大会费用；</w:t>
      </w:r>
    </w:p>
    <w:p w14:paraId="639A61A9" w14:textId="77777777" w:rsidR="005039DD" w:rsidRPr="002C2B23" w:rsidRDefault="0040620F">
      <w:pPr>
        <w:spacing w:line="360" w:lineRule="auto"/>
        <w:ind w:firstLine="480"/>
        <w:rPr>
          <w:bCs/>
          <w:sz w:val="24"/>
          <w:lang w:eastAsia="zh-CN"/>
        </w:rPr>
      </w:pPr>
      <w:r w:rsidRPr="002C2B23">
        <w:rPr>
          <w:bCs/>
          <w:sz w:val="24"/>
          <w:lang w:eastAsia="zh-CN"/>
        </w:rPr>
        <w:t>7</w:t>
      </w:r>
      <w:r w:rsidRPr="002C2B23">
        <w:rPr>
          <w:bCs/>
          <w:sz w:val="24"/>
          <w:lang w:eastAsia="zh-CN"/>
        </w:rPr>
        <w:t>、基金的证券、期货</w:t>
      </w:r>
      <w:r w:rsidRPr="002C2B23">
        <w:rPr>
          <w:rFonts w:hint="eastAsia"/>
          <w:bCs/>
          <w:sz w:val="24"/>
          <w:lang w:eastAsia="zh-CN"/>
        </w:rPr>
        <w:t>、股票期权</w:t>
      </w:r>
      <w:r w:rsidRPr="002C2B23">
        <w:rPr>
          <w:bCs/>
          <w:sz w:val="24"/>
          <w:lang w:eastAsia="zh-CN"/>
        </w:rPr>
        <w:t>交易费用；</w:t>
      </w:r>
    </w:p>
    <w:p w14:paraId="34A17EFD" w14:textId="77777777" w:rsidR="005039DD" w:rsidRPr="002C2B23" w:rsidRDefault="0040620F">
      <w:pPr>
        <w:spacing w:line="360" w:lineRule="auto"/>
        <w:ind w:firstLine="480"/>
        <w:rPr>
          <w:bCs/>
          <w:sz w:val="24"/>
          <w:lang w:eastAsia="zh-CN"/>
        </w:rPr>
      </w:pPr>
      <w:r w:rsidRPr="002C2B23">
        <w:rPr>
          <w:bCs/>
          <w:sz w:val="24"/>
          <w:lang w:eastAsia="zh-CN"/>
        </w:rPr>
        <w:t>8</w:t>
      </w:r>
      <w:r w:rsidRPr="002C2B23">
        <w:rPr>
          <w:bCs/>
          <w:sz w:val="24"/>
          <w:lang w:eastAsia="zh-CN"/>
        </w:rPr>
        <w:t>、基金的银行汇划费用；</w:t>
      </w:r>
    </w:p>
    <w:p w14:paraId="32918DA6" w14:textId="77777777" w:rsidR="005039DD" w:rsidRPr="002C2B23" w:rsidRDefault="0040620F">
      <w:pPr>
        <w:spacing w:line="360" w:lineRule="auto"/>
        <w:ind w:firstLine="480"/>
        <w:rPr>
          <w:bCs/>
          <w:sz w:val="24"/>
          <w:lang w:eastAsia="zh-CN"/>
        </w:rPr>
      </w:pPr>
      <w:r w:rsidRPr="002C2B23">
        <w:rPr>
          <w:bCs/>
          <w:sz w:val="24"/>
          <w:lang w:eastAsia="zh-CN"/>
        </w:rPr>
        <w:t>9</w:t>
      </w:r>
      <w:r w:rsidRPr="002C2B23">
        <w:rPr>
          <w:bCs/>
          <w:sz w:val="24"/>
          <w:lang w:eastAsia="zh-CN"/>
        </w:rPr>
        <w:t>、账户开户费用、账户维护费用；</w:t>
      </w:r>
    </w:p>
    <w:p w14:paraId="14F3D5B3" w14:textId="77777777" w:rsidR="005039DD" w:rsidRPr="002C2B23" w:rsidRDefault="0040620F">
      <w:pPr>
        <w:spacing w:line="360" w:lineRule="auto"/>
        <w:ind w:firstLine="480"/>
        <w:rPr>
          <w:bCs/>
          <w:sz w:val="24"/>
          <w:lang w:eastAsia="zh-CN"/>
        </w:rPr>
      </w:pPr>
      <w:r w:rsidRPr="002C2B23">
        <w:rPr>
          <w:bCs/>
          <w:sz w:val="24"/>
          <w:lang w:eastAsia="zh-CN"/>
        </w:rPr>
        <w:t>10</w:t>
      </w:r>
      <w:r w:rsidRPr="002C2B23">
        <w:rPr>
          <w:bCs/>
          <w:sz w:val="24"/>
          <w:lang w:eastAsia="zh-CN"/>
        </w:rPr>
        <w:t>、因投资港股通标的股票而产生的各项合理费用；</w:t>
      </w:r>
    </w:p>
    <w:p w14:paraId="6959F6F0" w14:textId="77777777" w:rsidR="005039DD" w:rsidRPr="002C2B23" w:rsidRDefault="0040620F">
      <w:pPr>
        <w:spacing w:line="360" w:lineRule="auto"/>
        <w:ind w:firstLine="480"/>
        <w:rPr>
          <w:bCs/>
          <w:sz w:val="24"/>
          <w:lang w:eastAsia="zh-CN"/>
        </w:rPr>
      </w:pPr>
      <w:r w:rsidRPr="002C2B23">
        <w:rPr>
          <w:bCs/>
          <w:sz w:val="24"/>
          <w:lang w:eastAsia="zh-CN"/>
        </w:rPr>
        <w:t>11</w:t>
      </w:r>
      <w:r w:rsidRPr="002C2B23">
        <w:rPr>
          <w:bCs/>
          <w:sz w:val="24"/>
          <w:lang w:eastAsia="zh-CN"/>
        </w:rPr>
        <w:t>、按照国家有关规定和《基金合同》约定，可以在基金财产中列支的其他费用。</w:t>
      </w:r>
    </w:p>
    <w:p w14:paraId="3B6336E5" w14:textId="77777777" w:rsidR="005039DD" w:rsidRPr="002C2B23" w:rsidRDefault="005039DD">
      <w:pPr>
        <w:spacing w:line="360" w:lineRule="auto"/>
        <w:ind w:firstLine="480"/>
        <w:rPr>
          <w:bCs/>
          <w:sz w:val="24"/>
          <w:lang w:eastAsia="zh-CN"/>
        </w:rPr>
      </w:pPr>
    </w:p>
    <w:p w14:paraId="683DC3A2" w14:textId="77777777" w:rsidR="005039DD" w:rsidRPr="002C2B23" w:rsidRDefault="0040620F">
      <w:pPr>
        <w:spacing w:line="360" w:lineRule="auto"/>
        <w:ind w:firstLine="480"/>
        <w:rPr>
          <w:bCs/>
          <w:sz w:val="24"/>
          <w:lang w:eastAsia="zh-CN"/>
        </w:rPr>
      </w:pPr>
      <w:r w:rsidRPr="002C2B23">
        <w:rPr>
          <w:bCs/>
          <w:sz w:val="24"/>
          <w:lang w:eastAsia="zh-CN"/>
        </w:rPr>
        <w:t>二、基金费用计提方法、计提标准和支付方式</w:t>
      </w:r>
    </w:p>
    <w:p w14:paraId="248712E4" w14:textId="77777777" w:rsidR="005039DD" w:rsidRPr="002C2B23" w:rsidRDefault="0040620F">
      <w:pPr>
        <w:spacing w:line="360" w:lineRule="auto"/>
        <w:ind w:firstLine="480"/>
        <w:rPr>
          <w:bCs/>
          <w:sz w:val="24"/>
          <w:lang w:eastAsia="zh-CN"/>
        </w:rPr>
      </w:pPr>
      <w:bookmarkStart w:id="356" w:name="_Hlk96415802"/>
      <w:r w:rsidRPr="002C2B23">
        <w:rPr>
          <w:bCs/>
          <w:sz w:val="24"/>
          <w:lang w:eastAsia="zh-CN"/>
        </w:rPr>
        <w:t>1</w:t>
      </w:r>
      <w:r w:rsidRPr="002C2B23">
        <w:rPr>
          <w:bCs/>
          <w:sz w:val="24"/>
          <w:lang w:eastAsia="zh-CN"/>
        </w:rPr>
        <w:t>、基金管理人的管理费</w:t>
      </w:r>
      <w:r w:rsidRPr="002C2B23">
        <w:rPr>
          <w:bCs/>
          <w:sz w:val="24"/>
          <w:lang w:eastAsia="zh-CN"/>
        </w:rPr>
        <w:t xml:space="preserve"> </w:t>
      </w:r>
    </w:p>
    <w:p w14:paraId="6CEC8406" w14:textId="77777777" w:rsidR="005039DD" w:rsidRPr="002C2B23" w:rsidRDefault="0040620F">
      <w:pPr>
        <w:spacing w:line="360" w:lineRule="auto"/>
        <w:ind w:firstLine="480"/>
        <w:rPr>
          <w:bCs/>
          <w:sz w:val="24"/>
          <w:lang w:eastAsia="zh-CN"/>
        </w:rPr>
      </w:pPr>
      <w:r w:rsidRPr="002C2B23">
        <w:rPr>
          <w:bCs/>
          <w:sz w:val="24"/>
          <w:lang w:eastAsia="zh-CN"/>
        </w:rPr>
        <w:t>本基金的管理费按前一日基金资产净值的</w:t>
      </w:r>
      <w:r w:rsidRPr="002C2B23">
        <w:rPr>
          <w:bCs/>
          <w:sz w:val="24"/>
          <w:lang w:eastAsia="zh-CN"/>
        </w:rPr>
        <w:t>1.20%</w:t>
      </w:r>
      <w:r w:rsidRPr="002C2B23">
        <w:rPr>
          <w:bCs/>
          <w:sz w:val="24"/>
          <w:lang w:eastAsia="zh-CN"/>
        </w:rPr>
        <w:t>的年费率计提。管理费的计算方法如下：</w:t>
      </w:r>
    </w:p>
    <w:p w14:paraId="4891DA28" w14:textId="77777777" w:rsidR="005039DD" w:rsidRPr="002C2B23" w:rsidRDefault="0040620F">
      <w:pPr>
        <w:spacing w:line="360" w:lineRule="auto"/>
        <w:ind w:firstLine="480"/>
        <w:rPr>
          <w:bCs/>
          <w:sz w:val="24"/>
          <w:lang w:eastAsia="zh-CN"/>
        </w:rPr>
      </w:pPr>
      <w:r w:rsidRPr="002C2B23">
        <w:rPr>
          <w:bCs/>
          <w:sz w:val="24"/>
          <w:lang w:eastAsia="zh-CN"/>
        </w:rPr>
        <w:t>H</w:t>
      </w:r>
      <w:r w:rsidRPr="002C2B23">
        <w:rPr>
          <w:bCs/>
          <w:sz w:val="24"/>
          <w:lang w:eastAsia="zh-CN"/>
        </w:rPr>
        <w:t>＝</w:t>
      </w:r>
      <w:r w:rsidRPr="002C2B23">
        <w:rPr>
          <w:bCs/>
          <w:sz w:val="24"/>
          <w:lang w:eastAsia="zh-CN"/>
        </w:rPr>
        <w:t>E×1.20%÷</w:t>
      </w:r>
      <w:r w:rsidRPr="002C2B23">
        <w:rPr>
          <w:bCs/>
          <w:sz w:val="24"/>
          <w:lang w:eastAsia="zh-CN"/>
        </w:rPr>
        <w:t>当年天数</w:t>
      </w:r>
    </w:p>
    <w:p w14:paraId="1E6B13AA" w14:textId="77777777" w:rsidR="005039DD" w:rsidRPr="002C2B23" w:rsidRDefault="0040620F">
      <w:pPr>
        <w:spacing w:line="360" w:lineRule="auto"/>
        <w:ind w:firstLine="480"/>
        <w:rPr>
          <w:bCs/>
          <w:sz w:val="24"/>
          <w:lang w:eastAsia="zh-CN"/>
        </w:rPr>
      </w:pPr>
      <w:r w:rsidRPr="002C2B23">
        <w:rPr>
          <w:bCs/>
          <w:sz w:val="24"/>
          <w:lang w:eastAsia="zh-CN"/>
        </w:rPr>
        <w:t>H</w:t>
      </w:r>
      <w:r w:rsidRPr="002C2B23">
        <w:rPr>
          <w:bCs/>
          <w:sz w:val="24"/>
          <w:lang w:eastAsia="zh-CN"/>
        </w:rPr>
        <w:t>为每日应计提的基金管理费</w:t>
      </w:r>
    </w:p>
    <w:p w14:paraId="0CDE2027" w14:textId="77777777" w:rsidR="005039DD" w:rsidRPr="002C2B23" w:rsidRDefault="0040620F">
      <w:pPr>
        <w:spacing w:line="360" w:lineRule="auto"/>
        <w:ind w:firstLine="480"/>
        <w:rPr>
          <w:bCs/>
          <w:sz w:val="24"/>
          <w:lang w:eastAsia="zh-CN"/>
        </w:rPr>
      </w:pPr>
      <w:r w:rsidRPr="002C2B23">
        <w:rPr>
          <w:bCs/>
          <w:sz w:val="24"/>
          <w:lang w:eastAsia="zh-CN"/>
        </w:rPr>
        <w:t>E</w:t>
      </w:r>
      <w:r w:rsidRPr="002C2B23">
        <w:rPr>
          <w:bCs/>
          <w:sz w:val="24"/>
          <w:lang w:eastAsia="zh-CN"/>
        </w:rPr>
        <w:t>为前一日的基金资产净值</w:t>
      </w:r>
    </w:p>
    <w:p w14:paraId="40841EE8" w14:textId="5D4E1841" w:rsidR="005039DD" w:rsidRPr="002C2B23" w:rsidRDefault="0040620F">
      <w:pPr>
        <w:spacing w:line="360" w:lineRule="auto"/>
        <w:ind w:firstLine="480"/>
        <w:rPr>
          <w:bCs/>
          <w:sz w:val="24"/>
          <w:lang w:eastAsia="zh-CN"/>
        </w:rPr>
      </w:pPr>
      <w:bookmarkStart w:id="357" w:name="_Hlk31792980"/>
      <w:r w:rsidRPr="002C2B23">
        <w:rPr>
          <w:bCs/>
          <w:sz w:val="24"/>
          <w:lang w:eastAsia="zh-CN"/>
        </w:rPr>
        <w:t>基金管理费每日计</w:t>
      </w:r>
      <w:r w:rsidRPr="002C2B23">
        <w:rPr>
          <w:rFonts w:hint="eastAsia"/>
          <w:bCs/>
          <w:sz w:val="24"/>
          <w:lang w:eastAsia="zh-CN"/>
        </w:rPr>
        <w:t>提</w:t>
      </w:r>
      <w:r w:rsidRPr="002C2B23">
        <w:rPr>
          <w:bCs/>
          <w:sz w:val="24"/>
          <w:lang w:eastAsia="zh-CN"/>
        </w:rPr>
        <w:t>，逐日累计至每月月末，按月支付，</w:t>
      </w:r>
      <w:r w:rsidRPr="002C2B23">
        <w:rPr>
          <w:rFonts w:hint="eastAsia"/>
          <w:bCs/>
          <w:sz w:val="24"/>
          <w:lang w:eastAsia="zh-CN"/>
        </w:rPr>
        <w:t>由基金托管人根据与基金管理人核对一致的财务数据，基金托管人自动于月初</w:t>
      </w:r>
      <w:r w:rsidRPr="002C2B23">
        <w:rPr>
          <w:rFonts w:hint="eastAsia"/>
          <w:bCs/>
          <w:sz w:val="24"/>
          <w:lang w:eastAsia="zh-CN"/>
        </w:rPr>
        <w:t>5</w:t>
      </w:r>
      <w:proofErr w:type="gramStart"/>
      <w:r w:rsidRPr="002C2B23">
        <w:rPr>
          <w:rFonts w:hint="eastAsia"/>
          <w:bCs/>
          <w:sz w:val="24"/>
          <w:lang w:eastAsia="zh-CN"/>
        </w:rPr>
        <w:t>个</w:t>
      </w:r>
      <w:proofErr w:type="gramEnd"/>
      <w:r w:rsidRPr="002C2B23">
        <w:rPr>
          <w:rFonts w:hint="eastAsia"/>
          <w:bCs/>
          <w:sz w:val="24"/>
          <w:lang w:eastAsia="zh-CN"/>
        </w:rPr>
        <w:t>工作日内、按照指定的账户路径从基金财产中一次性支付，基金管理人无需再出具资金划拨指令。若遇法定节假日、休息日、不可抗力等，支付日期顺延。</w:t>
      </w:r>
      <w:bookmarkEnd w:id="357"/>
      <w:r w:rsidRPr="002C2B23">
        <w:rPr>
          <w:rFonts w:hint="eastAsia"/>
          <w:bCs/>
          <w:sz w:val="24"/>
          <w:lang w:eastAsia="zh-CN"/>
        </w:rPr>
        <w:t>费用自动扣划后，管理人应进行核对，如发现数据不符，及时联系托管人协商解决。</w:t>
      </w:r>
    </w:p>
    <w:p w14:paraId="202C5104"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、基金托管人的托管费</w:t>
      </w:r>
    </w:p>
    <w:p w14:paraId="5F2CBB5A" w14:textId="77777777" w:rsidR="005039DD" w:rsidRPr="002C2B23" w:rsidRDefault="0040620F">
      <w:pPr>
        <w:spacing w:line="360" w:lineRule="auto"/>
        <w:ind w:firstLine="480"/>
        <w:rPr>
          <w:bCs/>
          <w:sz w:val="24"/>
          <w:lang w:eastAsia="zh-CN"/>
        </w:rPr>
      </w:pPr>
      <w:r w:rsidRPr="002C2B23">
        <w:rPr>
          <w:bCs/>
          <w:sz w:val="24"/>
          <w:lang w:eastAsia="zh-CN"/>
        </w:rPr>
        <w:t>本基金的托管费按前一日基金资产净值的</w:t>
      </w:r>
      <w:r w:rsidRPr="002C2B23">
        <w:rPr>
          <w:bCs/>
          <w:sz w:val="24"/>
          <w:lang w:eastAsia="zh-CN"/>
        </w:rPr>
        <w:t>0.20%</w:t>
      </w:r>
      <w:r w:rsidRPr="002C2B23">
        <w:rPr>
          <w:bCs/>
          <w:sz w:val="24"/>
          <w:lang w:eastAsia="zh-CN"/>
        </w:rPr>
        <w:t>的年费率计提。托管费的计算方法如下：</w:t>
      </w:r>
    </w:p>
    <w:p w14:paraId="521C4EAD" w14:textId="77777777" w:rsidR="005039DD" w:rsidRPr="002C2B23" w:rsidRDefault="0040620F">
      <w:pPr>
        <w:spacing w:line="360" w:lineRule="auto"/>
        <w:ind w:firstLine="480"/>
        <w:rPr>
          <w:bCs/>
          <w:sz w:val="24"/>
          <w:lang w:eastAsia="zh-CN"/>
        </w:rPr>
      </w:pPr>
      <w:r w:rsidRPr="002C2B23">
        <w:rPr>
          <w:bCs/>
          <w:sz w:val="24"/>
          <w:lang w:eastAsia="zh-CN"/>
        </w:rPr>
        <w:t>H</w:t>
      </w:r>
      <w:r w:rsidRPr="002C2B23">
        <w:rPr>
          <w:bCs/>
          <w:sz w:val="24"/>
          <w:lang w:eastAsia="zh-CN"/>
        </w:rPr>
        <w:t>＝</w:t>
      </w:r>
      <w:r w:rsidRPr="002C2B23">
        <w:rPr>
          <w:bCs/>
          <w:sz w:val="24"/>
          <w:lang w:eastAsia="zh-CN"/>
        </w:rPr>
        <w:t>E×0.20%÷</w:t>
      </w:r>
      <w:r w:rsidRPr="002C2B23">
        <w:rPr>
          <w:bCs/>
          <w:sz w:val="24"/>
          <w:lang w:eastAsia="zh-CN"/>
        </w:rPr>
        <w:t>当年天数</w:t>
      </w:r>
    </w:p>
    <w:p w14:paraId="23031AAA" w14:textId="77777777" w:rsidR="005039DD" w:rsidRPr="002C2B23" w:rsidRDefault="0040620F">
      <w:pPr>
        <w:spacing w:line="360" w:lineRule="auto"/>
        <w:ind w:firstLine="480"/>
        <w:rPr>
          <w:bCs/>
          <w:sz w:val="24"/>
          <w:lang w:eastAsia="zh-CN"/>
        </w:rPr>
      </w:pPr>
      <w:r w:rsidRPr="002C2B23">
        <w:rPr>
          <w:bCs/>
          <w:sz w:val="24"/>
          <w:lang w:eastAsia="zh-CN"/>
        </w:rPr>
        <w:t>H</w:t>
      </w:r>
      <w:r w:rsidRPr="002C2B23">
        <w:rPr>
          <w:bCs/>
          <w:sz w:val="24"/>
          <w:lang w:eastAsia="zh-CN"/>
        </w:rPr>
        <w:t>为每日应计提的基金托管费</w:t>
      </w:r>
    </w:p>
    <w:p w14:paraId="4922C11A" w14:textId="77777777" w:rsidR="005039DD" w:rsidRPr="002C2B23" w:rsidRDefault="0040620F">
      <w:pPr>
        <w:spacing w:line="360" w:lineRule="auto"/>
        <w:ind w:firstLine="480"/>
        <w:rPr>
          <w:bCs/>
          <w:sz w:val="24"/>
          <w:lang w:eastAsia="zh-CN"/>
        </w:rPr>
      </w:pPr>
      <w:r w:rsidRPr="002C2B23">
        <w:rPr>
          <w:bCs/>
          <w:sz w:val="24"/>
          <w:lang w:eastAsia="zh-CN"/>
        </w:rPr>
        <w:t>E</w:t>
      </w:r>
      <w:r w:rsidRPr="002C2B23">
        <w:rPr>
          <w:bCs/>
          <w:sz w:val="24"/>
          <w:lang w:eastAsia="zh-CN"/>
        </w:rPr>
        <w:t>为前一日的基金资产净值</w:t>
      </w:r>
    </w:p>
    <w:p w14:paraId="5556D803" w14:textId="18055779" w:rsidR="005039DD" w:rsidRPr="002C2B23" w:rsidRDefault="0040620F">
      <w:pPr>
        <w:spacing w:line="360" w:lineRule="auto"/>
        <w:ind w:firstLine="480"/>
        <w:rPr>
          <w:bCs/>
          <w:sz w:val="24"/>
          <w:lang w:eastAsia="zh-CN"/>
        </w:rPr>
      </w:pPr>
      <w:bookmarkStart w:id="358" w:name="_Hlk31793047"/>
      <w:r w:rsidRPr="002C2B23">
        <w:rPr>
          <w:bCs/>
          <w:sz w:val="24"/>
          <w:lang w:eastAsia="zh-CN"/>
        </w:rPr>
        <w:t>基金托管费每日计提，逐日累计至每月月末，按月支付，</w:t>
      </w:r>
      <w:r w:rsidRPr="002C2B23">
        <w:rPr>
          <w:rFonts w:hint="eastAsia"/>
          <w:bCs/>
          <w:sz w:val="24"/>
          <w:lang w:eastAsia="zh-CN"/>
        </w:rPr>
        <w:t>由基金托管人根据与基金管理人核对一致的财务数据，基金托管人自动于月初</w:t>
      </w:r>
      <w:r w:rsidRPr="002C2B23">
        <w:rPr>
          <w:rFonts w:hint="eastAsia"/>
          <w:bCs/>
          <w:sz w:val="24"/>
          <w:lang w:eastAsia="zh-CN"/>
        </w:rPr>
        <w:t>5</w:t>
      </w:r>
      <w:proofErr w:type="gramStart"/>
      <w:r w:rsidRPr="002C2B23">
        <w:rPr>
          <w:rFonts w:hint="eastAsia"/>
          <w:bCs/>
          <w:sz w:val="24"/>
          <w:lang w:eastAsia="zh-CN"/>
        </w:rPr>
        <w:t>个</w:t>
      </w:r>
      <w:proofErr w:type="gramEnd"/>
      <w:r w:rsidRPr="002C2B23">
        <w:rPr>
          <w:rFonts w:hint="eastAsia"/>
          <w:bCs/>
          <w:sz w:val="24"/>
          <w:lang w:eastAsia="zh-CN"/>
        </w:rPr>
        <w:t>工作日内、按照指定的账户路径从基金财产中一次性支付，基金管理人无需再出具资金划拨指令。若遇法定节假日、休息日、不可抗力等，支付日期顺延。</w:t>
      </w:r>
      <w:bookmarkEnd w:id="358"/>
      <w:r w:rsidRPr="002C2B23">
        <w:rPr>
          <w:rFonts w:hint="eastAsia"/>
          <w:bCs/>
          <w:sz w:val="24"/>
          <w:lang w:eastAsia="zh-CN"/>
        </w:rPr>
        <w:t>费用自动扣划后，管理人应进行核对，如发现数据不符，及时联系托管人协商解决。</w:t>
      </w:r>
    </w:p>
    <w:p w14:paraId="3172D36C" w14:textId="77777777" w:rsidR="005039DD" w:rsidRPr="002C2B23" w:rsidRDefault="0040620F">
      <w:pPr>
        <w:spacing w:line="360" w:lineRule="auto"/>
        <w:ind w:firstLine="480"/>
        <w:rPr>
          <w:sz w:val="24"/>
          <w:szCs w:val="24"/>
          <w:lang w:eastAsia="zh-CN"/>
        </w:rPr>
      </w:pPr>
      <w:r w:rsidRPr="002C2B23">
        <w:rPr>
          <w:sz w:val="24"/>
          <w:szCs w:val="24"/>
          <w:lang w:eastAsia="zh-CN"/>
        </w:rPr>
        <w:t>3</w:t>
      </w:r>
      <w:r w:rsidRPr="002C2B23">
        <w:rPr>
          <w:rFonts w:ascii="宋体" w:hAnsi="宋体"/>
          <w:sz w:val="24"/>
          <w:szCs w:val="24"/>
          <w:lang w:eastAsia="zh-CN"/>
        </w:rPr>
        <w:t>、</w:t>
      </w:r>
      <w:r w:rsidRPr="002C2B23">
        <w:rPr>
          <w:sz w:val="24"/>
          <w:szCs w:val="24"/>
          <w:lang w:eastAsia="zh-CN"/>
        </w:rPr>
        <w:t>C</w:t>
      </w:r>
      <w:r w:rsidRPr="002C2B23">
        <w:rPr>
          <w:rFonts w:ascii="宋体" w:hAnsi="宋体"/>
          <w:sz w:val="24"/>
          <w:szCs w:val="24"/>
          <w:lang w:eastAsia="zh-CN"/>
        </w:rPr>
        <w:t>类份额的销售服务费</w:t>
      </w:r>
    </w:p>
    <w:p w14:paraId="1D25B578" w14:textId="77777777" w:rsidR="005039DD" w:rsidRPr="002C2B23" w:rsidRDefault="0040620F">
      <w:pPr>
        <w:spacing w:line="360" w:lineRule="auto"/>
        <w:ind w:firstLine="480"/>
        <w:rPr>
          <w:sz w:val="24"/>
          <w:szCs w:val="24"/>
          <w:lang w:eastAsia="zh-CN"/>
        </w:rPr>
      </w:pPr>
      <w:r w:rsidRPr="002C2B23">
        <w:rPr>
          <w:rFonts w:ascii="宋体" w:hAnsi="宋体"/>
          <w:sz w:val="24"/>
          <w:szCs w:val="24"/>
          <w:lang w:eastAsia="zh-CN"/>
        </w:rPr>
        <w:t>本基金</w:t>
      </w:r>
      <w:r w:rsidRPr="002C2B23">
        <w:rPr>
          <w:sz w:val="24"/>
          <w:szCs w:val="24"/>
          <w:lang w:eastAsia="zh-CN"/>
        </w:rPr>
        <w:t>A</w:t>
      </w:r>
      <w:r w:rsidRPr="002C2B23">
        <w:rPr>
          <w:rFonts w:ascii="宋体" w:hAnsi="宋体"/>
          <w:sz w:val="24"/>
          <w:szCs w:val="24"/>
          <w:lang w:eastAsia="zh-CN"/>
        </w:rPr>
        <w:t>类基金份额不收取销售服务费，</w:t>
      </w:r>
      <w:r w:rsidRPr="002C2B23">
        <w:rPr>
          <w:sz w:val="24"/>
          <w:szCs w:val="24"/>
          <w:lang w:eastAsia="zh-CN"/>
        </w:rPr>
        <w:t>C</w:t>
      </w:r>
      <w:r w:rsidRPr="002C2B23">
        <w:rPr>
          <w:rFonts w:ascii="宋体" w:hAnsi="宋体"/>
          <w:sz w:val="24"/>
          <w:szCs w:val="24"/>
          <w:lang w:eastAsia="zh-CN"/>
        </w:rPr>
        <w:t>类基金份额的销售服务费年费率为</w:t>
      </w:r>
      <w:r w:rsidRPr="002C2B23">
        <w:rPr>
          <w:sz w:val="24"/>
          <w:szCs w:val="24"/>
          <w:lang w:eastAsia="zh-CN"/>
        </w:rPr>
        <w:t>0.40%</w:t>
      </w:r>
      <w:r w:rsidRPr="002C2B23">
        <w:rPr>
          <w:rFonts w:ascii="宋体" w:hAnsi="宋体"/>
          <w:sz w:val="24"/>
          <w:szCs w:val="24"/>
          <w:lang w:eastAsia="zh-CN"/>
        </w:rPr>
        <w:t>。</w:t>
      </w:r>
    </w:p>
    <w:p w14:paraId="4AAF9143" w14:textId="77777777" w:rsidR="005039DD" w:rsidRPr="002C2B23" w:rsidRDefault="0040620F">
      <w:pPr>
        <w:spacing w:line="360" w:lineRule="auto"/>
        <w:ind w:firstLine="480"/>
        <w:rPr>
          <w:sz w:val="24"/>
          <w:szCs w:val="24"/>
          <w:lang w:eastAsia="zh-CN"/>
        </w:rPr>
      </w:pPr>
      <w:r w:rsidRPr="002C2B23">
        <w:rPr>
          <w:rFonts w:ascii="宋体" w:hAnsi="宋体"/>
          <w:sz w:val="24"/>
          <w:szCs w:val="24"/>
          <w:lang w:eastAsia="zh-CN"/>
        </w:rPr>
        <w:t>本基金销售服务费按前一日</w:t>
      </w:r>
      <w:r w:rsidRPr="002C2B23">
        <w:rPr>
          <w:sz w:val="24"/>
          <w:szCs w:val="24"/>
          <w:lang w:eastAsia="zh-CN"/>
        </w:rPr>
        <w:t>C</w:t>
      </w:r>
      <w:r w:rsidRPr="002C2B23">
        <w:rPr>
          <w:rFonts w:ascii="宋体" w:hAnsi="宋体"/>
          <w:sz w:val="24"/>
          <w:szCs w:val="24"/>
          <w:lang w:eastAsia="zh-CN"/>
        </w:rPr>
        <w:t>类基金资产净值的</w:t>
      </w:r>
      <w:r w:rsidRPr="002C2B23">
        <w:rPr>
          <w:sz w:val="24"/>
          <w:szCs w:val="24"/>
          <w:lang w:eastAsia="zh-CN"/>
        </w:rPr>
        <w:t>0.40%</w:t>
      </w:r>
      <w:r w:rsidRPr="002C2B23">
        <w:rPr>
          <w:bCs/>
          <w:sz w:val="24"/>
          <w:lang w:eastAsia="zh-CN"/>
        </w:rPr>
        <w:t>的</w:t>
      </w:r>
      <w:r w:rsidRPr="002C2B23">
        <w:rPr>
          <w:rFonts w:ascii="宋体" w:hAnsi="宋体"/>
          <w:sz w:val="24"/>
          <w:szCs w:val="24"/>
          <w:lang w:eastAsia="zh-CN"/>
        </w:rPr>
        <w:t>年费率计提。计算方法如下：</w:t>
      </w:r>
      <w:r w:rsidRPr="002C2B23">
        <w:rPr>
          <w:sz w:val="24"/>
          <w:szCs w:val="24"/>
          <w:lang w:eastAsia="zh-CN"/>
        </w:rPr>
        <w:t xml:space="preserve"> </w:t>
      </w:r>
    </w:p>
    <w:p w14:paraId="4C649AEB" w14:textId="77777777" w:rsidR="005039DD" w:rsidRPr="002C2B23" w:rsidRDefault="0040620F">
      <w:pPr>
        <w:spacing w:line="360" w:lineRule="auto"/>
        <w:ind w:firstLine="480"/>
        <w:rPr>
          <w:sz w:val="24"/>
          <w:szCs w:val="24"/>
          <w:lang w:eastAsia="zh-CN"/>
        </w:rPr>
      </w:pPr>
      <w:r w:rsidRPr="002C2B23">
        <w:rPr>
          <w:sz w:val="24"/>
          <w:szCs w:val="24"/>
          <w:lang w:eastAsia="zh-CN"/>
        </w:rPr>
        <w:t>H</w:t>
      </w:r>
      <w:r w:rsidRPr="002C2B23">
        <w:rPr>
          <w:rFonts w:ascii="宋体" w:hAnsi="宋体"/>
          <w:sz w:val="24"/>
          <w:szCs w:val="24"/>
          <w:lang w:eastAsia="zh-CN"/>
        </w:rPr>
        <w:t>＝</w:t>
      </w:r>
      <w:r w:rsidRPr="002C2B23">
        <w:rPr>
          <w:sz w:val="24"/>
          <w:szCs w:val="24"/>
          <w:lang w:eastAsia="zh-CN"/>
        </w:rPr>
        <w:t>E×</w:t>
      </w:r>
      <w:r w:rsidRPr="002C2B23">
        <w:rPr>
          <w:sz w:val="24"/>
          <w:szCs w:val="24"/>
          <w:lang w:eastAsia="zh-CN"/>
        </w:rPr>
        <w:t>年销售服务费率</w:t>
      </w:r>
      <w:r w:rsidRPr="002C2B23">
        <w:rPr>
          <w:sz w:val="24"/>
          <w:szCs w:val="24"/>
          <w:lang w:eastAsia="zh-CN"/>
        </w:rPr>
        <w:t>÷</w:t>
      </w:r>
      <w:r w:rsidRPr="002C2B23">
        <w:rPr>
          <w:sz w:val="24"/>
          <w:szCs w:val="24"/>
          <w:lang w:eastAsia="zh-CN"/>
        </w:rPr>
        <w:t>当年天数</w:t>
      </w:r>
    </w:p>
    <w:p w14:paraId="4A981292" w14:textId="77777777" w:rsidR="005039DD" w:rsidRPr="002C2B23" w:rsidRDefault="0040620F">
      <w:pPr>
        <w:spacing w:line="360" w:lineRule="auto"/>
        <w:ind w:firstLine="480"/>
        <w:rPr>
          <w:sz w:val="24"/>
          <w:szCs w:val="24"/>
          <w:lang w:eastAsia="zh-CN"/>
        </w:rPr>
      </w:pPr>
      <w:r w:rsidRPr="002C2B23">
        <w:rPr>
          <w:sz w:val="24"/>
          <w:szCs w:val="24"/>
          <w:lang w:eastAsia="zh-CN"/>
        </w:rPr>
        <w:t>H</w:t>
      </w:r>
      <w:r w:rsidRPr="002C2B23">
        <w:rPr>
          <w:rFonts w:ascii="宋体" w:hAnsi="宋体"/>
          <w:sz w:val="24"/>
          <w:szCs w:val="24"/>
          <w:lang w:eastAsia="zh-CN"/>
        </w:rPr>
        <w:t>为</w:t>
      </w:r>
      <w:r w:rsidRPr="002C2B23">
        <w:rPr>
          <w:sz w:val="24"/>
          <w:szCs w:val="24"/>
          <w:lang w:eastAsia="zh-CN"/>
        </w:rPr>
        <w:t>C</w:t>
      </w:r>
      <w:r w:rsidRPr="002C2B23">
        <w:rPr>
          <w:rFonts w:ascii="宋体" w:hAnsi="宋体"/>
          <w:sz w:val="24"/>
          <w:szCs w:val="24"/>
          <w:lang w:eastAsia="zh-CN"/>
        </w:rPr>
        <w:t>类基金份额每日应计提的销售服务费</w:t>
      </w:r>
    </w:p>
    <w:p w14:paraId="470D45C7" w14:textId="77777777" w:rsidR="005039DD" w:rsidRPr="002C2B23" w:rsidRDefault="0040620F">
      <w:pPr>
        <w:spacing w:line="360" w:lineRule="auto"/>
        <w:ind w:firstLine="480"/>
        <w:rPr>
          <w:rFonts w:ascii="宋体" w:hAnsi="宋体"/>
          <w:sz w:val="24"/>
          <w:szCs w:val="24"/>
          <w:lang w:eastAsia="zh-CN"/>
        </w:rPr>
      </w:pPr>
      <w:r w:rsidRPr="002C2B23">
        <w:rPr>
          <w:sz w:val="24"/>
          <w:szCs w:val="24"/>
          <w:lang w:eastAsia="zh-CN"/>
        </w:rPr>
        <w:t>E</w:t>
      </w:r>
      <w:r w:rsidRPr="002C2B23">
        <w:rPr>
          <w:rFonts w:ascii="宋体" w:hAnsi="宋体"/>
          <w:sz w:val="24"/>
          <w:szCs w:val="24"/>
          <w:lang w:eastAsia="zh-CN"/>
        </w:rPr>
        <w:t>为</w:t>
      </w:r>
      <w:r w:rsidRPr="002C2B23">
        <w:rPr>
          <w:sz w:val="24"/>
          <w:szCs w:val="24"/>
          <w:lang w:eastAsia="zh-CN"/>
        </w:rPr>
        <w:t>C</w:t>
      </w:r>
      <w:r w:rsidRPr="002C2B23">
        <w:rPr>
          <w:rFonts w:ascii="宋体" w:hAnsi="宋体"/>
          <w:sz w:val="24"/>
          <w:szCs w:val="24"/>
          <w:lang w:eastAsia="zh-CN"/>
        </w:rPr>
        <w:t>类基金份额前一日基金资产净值</w:t>
      </w:r>
    </w:p>
    <w:p w14:paraId="633ABBDB" w14:textId="77777777" w:rsidR="005039DD" w:rsidRPr="002C2B23" w:rsidRDefault="0040620F">
      <w:pPr>
        <w:spacing w:line="360" w:lineRule="auto"/>
        <w:ind w:firstLine="480"/>
        <w:rPr>
          <w:sz w:val="24"/>
          <w:szCs w:val="24"/>
          <w:lang w:eastAsia="zh-CN"/>
        </w:rPr>
      </w:pPr>
      <w:r w:rsidRPr="002C2B23">
        <w:rPr>
          <w:rFonts w:hint="eastAsia"/>
          <w:sz w:val="24"/>
          <w:szCs w:val="24"/>
          <w:lang w:eastAsia="zh-CN"/>
        </w:rPr>
        <w:t>（</w:t>
      </w:r>
      <w:r w:rsidRPr="002C2B23">
        <w:rPr>
          <w:rFonts w:hint="eastAsia"/>
          <w:sz w:val="24"/>
          <w:szCs w:val="24"/>
          <w:lang w:eastAsia="zh-CN"/>
        </w:rPr>
        <w:t>1</w:t>
      </w:r>
      <w:r w:rsidRPr="002C2B23">
        <w:rPr>
          <w:rFonts w:hint="eastAsia"/>
          <w:sz w:val="24"/>
          <w:szCs w:val="24"/>
          <w:lang w:eastAsia="zh-CN"/>
        </w:rPr>
        <w:t>）基金管理人销售服务费的返还机制</w:t>
      </w:r>
    </w:p>
    <w:p w14:paraId="10461E6E" w14:textId="77777777" w:rsidR="005039DD" w:rsidRPr="002C2B23" w:rsidRDefault="0040620F">
      <w:pPr>
        <w:spacing w:line="360" w:lineRule="auto"/>
        <w:ind w:firstLine="480"/>
        <w:rPr>
          <w:sz w:val="24"/>
          <w:szCs w:val="24"/>
          <w:lang w:eastAsia="zh-CN"/>
        </w:rPr>
      </w:pPr>
      <w:r w:rsidRPr="002C2B23">
        <w:rPr>
          <w:rFonts w:hint="eastAsia"/>
          <w:sz w:val="24"/>
          <w:szCs w:val="24"/>
          <w:lang w:eastAsia="zh-CN"/>
        </w:rPr>
        <w:t>通过基金管理人认购、申购</w:t>
      </w:r>
      <w:r w:rsidRPr="002C2B23">
        <w:rPr>
          <w:rFonts w:hint="eastAsia"/>
          <w:sz w:val="24"/>
          <w:szCs w:val="24"/>
          <w:lang w:eastAsia="zh-CN"/>
        </w:rPr>
        <w:t>C</w:t>
      </w:r>
      <w:r w:rsidRPr="002C2B23">
        <w:rPr>
          <w:rFonts w:hint="eastAsia"/>
          <w:sz w:val="24"/>
          <w:szCs w:val="24"/>
          <w:lang w:eastAsia="zh-CN"/>
        </w:rPr>
        <w:t>类基金份额的不收取销售服务费。对于通过基金管理人认购、申购该类基金份额的情况，将先行计提相应的销售服务费，待投资者赎回基金份额或基金合同终止时，该费用将随同赎回款（或清算款）一并返还给投资者。</w:t>
      </w:r>
    </w:p>
    <w:p w14:paraId="6D0A29D1" w14:textId="77777777" w:rsidR="005039DD" w:rsidRPr="002C2B23" w:rsidRDefault="0040620F">
      <w:pPr>
        <w:spacing w:line="360" w:lineRule="auto"/>
        <w:ind w:firstLine="480"/>
        <w:rPr>
          <w:sz w:val="24"/>
          <w:szCs w:val="24"/>
          <w:lang w:eastAsia="zh-CN"/>
        </w:rPr>
      </w:pPr>
      <w:r w:rsidRPr="002C2B23">
        <w:rPr>
          <w:rFonts w:hint="eastAsia"/>
          <w:sz w:val="24"/>
          <w:szCs w:val="24"/>
          <w:lang w:eastAsia="zh-CN"/>
        </w:rPr>
        <w:t>基金销售子公司销售母公司所管理基金的，按照本条要求执行。</w:t>
      </w:r>
    </w:p>
    <w:p w14:paraId="39F3182F" w14:textId="77777777" w:rsidR="005039DD" w:rsidRPr="002C2B23" w:rsidRDefault="0040620F">
      <w:pPr>
        <w:spacing w:line="360" w:lineRule="auto"/>
        <w:ind w:firstLine="480"/>
        <w:rPr>
          <w:sz w:val="24"/>
          <w:szCs w:val="24"/>
          <w:lang w:eastAsia="zh-CN"/>
        </w:rPr>
      </w:pPr>
      <w:r w:rsidRPr="002C2B23">
        <w:rPr>
          <w:rFonts w:hint="eastAsia"/>
          <w:sz w:val="24"/>
          <w:szCs w:val="24"/>
          <w:lang w:eastAsia="zh-CN"/>
        </w:rPr>
        <w:t>若遇法定节假日、公休假或不可抗力等，支付日期顺延。费用自动扣划后，管理人应进行核对，如发现数据不符，及时联系托管人协商解决。</w:t>
      </w:r>
    </w:p>
    <w:p w14:paraId="3DF39439" w14:textId="77777777" w:rsidR="005039DD" w:rsidRPr="002C2B23" w:rsidRDefault="0040620F">
      <w:pPr>
        <w:spacing w:line="360" w:lineRule="auto"/>
        <w:ind w:firstLine="480"/>
        <w:rPr>
          <w:sz w:val="24"/>
          <w:szCs w:val="24"/>
          <w:lang w:eastAsia="zh-CN"/>
        </w:rPr>
      </w:pPr>
      <w:r w:rsidRPr="002C2B23">
        <w:rPr>
          <w:rFonts w:hint="eastAsia"/>
          <w:sz w:val="24"/>
          <w:szCs w:val="24"/>
          <w:lang w:eastAsia="zh-CN"/>
        </w:rPr>
        <w:t>（</w:t>
      </w:r>
      <w:r w:rsidRPr="002C2B23">
        <w:rPr>
          <w:rFonts w:hint="eastAsia"/>
          <w:sz w:val="24"/>
          <w:szCs w:val="24"/>
          <w:lang w:eastAsia="zh-CN"/>
        </w:rPr>
        <w:t>2</w:t>
      </w:r>
      <w:r w:rsidRPr="002C2B23">
        <w:rPr>
          <w:rFonts w:hint="eastAsia"/>
          <w:sz w:val="24"/>
          <w:szCs w:val="24"/>
          <w:lang w:eastAsia="zh-CN"/>
        </w:rPr>
        <w:t>）代销机构的销售服务费的收取与返还机制</w:t>
      </w:r>
    </w:p>
    <w:p w14:paraId="448A1DAE" w14:textId="1FF978FA" w:rsidR="005039DD" w:rsidRPr="002C2B23" w:rsidRDefault="0040620F">
      <w:pPr>
        <w:spacing w:line="360" w:lineRule="auto"/>
        <w:ind w:firstLine="480"/>
        <w:rPr>
          <w:sz w:val="24"/>
          <w:szCs w:val="24"/>
          <w:lang w:eastAsia="zh-CN"/>
        </w:rPr>
      </w:pPr>
      <w:r w:rsidRPr="002C2B23">
        <w:rPr>
          <w:rFonts w:hint="eastAsia"/>
          <w:sz w:val="24"/>
          <w:szCs w:val="24"/>
          <w:lang w:eastAsia="zh-CN"/>
        </w:rPr>
        <w:t>对于投资者持续持有期限未超过一年（即</w:t>
      </w:r>
      <w:r w:rsidRPr="002C2B23">
        <w:rPr>
          <w:rFonts w:hint="eastAsia"/>
          <w:sz w:val="24"/>
          <w:szCs w:val="24"/>
          <w:lang w:eastAsia="zh-CN"/>
        </w:rPr>
        <w:t>365</w:t>
      </w:r>
      <w:r w:rsidRPr="002C2B23">
        <w:rPr>
          <w:rFonts w:hint="eastAsia"/>
          <w:sz w:val="24"/>
          <w:szCs w:val="24"/>
          <w:lang w:eastAsia="zh-CN"/>
        </w:rPr>
        <w:t>天，下同）的基金份额收取的销售服务费，逐日累计至每月月末，按月支付。自动在月初</w:t>
      </w:r>
      <w:r w:rsidRPr="002C2B23">
        <w:rPr>
          <w:rFonts w:hint="eastAsia"/>
          <w:sz w:val="24"/>
          <w:szCs w:val="24"/>
          <w:lang w:eastAsia="zh-CN"/>
        </w:rPr>
        <w:t>5</w:t>
      </w:r>
      <w:proofErr w:type="gramStart"/>
      <w:r w:rsidRPr="002C2B23">
        <w:rPr>
          <w:rFonts w:hint="eastAsia"/>
          <w:sz w:val="24"/>
          <w:szCs w:val="24"/>
          <w:lang w:eastAsia="zh-CN"/>
        </w:rPr>
        <w:t>个</w:t>
      </w:r>
      <w:proofErr w:type="gramEnd"/>
      <w:r w:rsidRPr="002C2B23">
        <w:rPr>
          <w:rFonts w:hint="eastAsia"/>
          <w:sz w:val="24"/>
          <w:szCs w:val="24"/>
          <w:lang w:eastAsia="zh-CN"/>
        </w:rPr>
        <w:t>工作日内、按照指定的账户路径进行资金支付，基金管理人无需再出具资金划拨指令。费用自动扣划后，管理人应进行核对，如发现数据不符，及时联系托管人协商解决。</w:t>
      </w:r>
    </w:p>
    <w:p w14:paraId="39B7F8EF" w14:textId="77777777" w:rsidR="005039DD" w:rsidRPr="002C2B23" w:rsidRDefault="0040620F">
      <w:pPr>
        <w:spacing w:line="360" w:lineRule="auto"/>
        <w:ind w:firstLine="480"/>
        <w:rPr>
          <w:sz w:val="24"/>
          <w:szCs w:val="24"/>
          <w:lang w:eastAsia="zh-CN"/>
        </w:rPr>
      </w:pPr>
      <w:r w:rsidRPr="002C2B23">
        <w:rPr>
          <w:rFonts w:hint="eastAsia"/>
          <w:sz w:val="24"/>
          <w:szCs w:val="24"/>
          <w:lang w:eastAsia="zh-CN"/>
        </w:rPr>
        <w:t>对于基金份额持有人持续持有期限超过一年的</w:t>
      </w:r>
      <w:r w:rsidRPr="002C2B23">
        <w:rPr>
          <w:rFonts w:hint="eastAsia"/>
          <w:sz w:val="24"/>
          <w:szCs w:val="24"/>
          <w:lang w:eastAsia="zh-CN"/>
        </w:rPr>
        <w:t>C</w:t>
      </w:r>
      <w:r w:rsidRPr="002C2B23">
        <w:rPr>
          <w:rFonts w:hint="eastAsia"/>
          <w:sz w:val="24"/>
          <w:szCs w:val="24"/>
          <w:lang w:eastAsia="zh-CN"/>
        </w:rPr>
        <w:t>类基金份额，不再继续收取销售服务费。对于持续持有期限超过一年的基金份额继续计提的销售服务费，在投资者赎回基金份额或基金合同终止时，该费用随赎回款（或清算款）一并返还给投资者。</w:t>
      </w:r>
    </w:p>
    <w:p w14:paraId="61D5CBFD" w14:textId="77777777" w:rsidR="005039DD" w:rsidRPr="002C2B23" w:rsidRDefault="0040620F">
      <w:pPr>
        <w:spacing w:line="360" w:lineRule="auto"/>
        <w:ind w:firstLine="480"/>
        <w:rPr>
          <w:sz w:val="24"/>
          <w:szCs w:val="24"/>
          <w:lang w:eastAsia="zh-CN"/>
        </w:rPr>
      </w:pPr>
      <w:r w:rsidRPr="002C2B23">
        <w:rPr>
          <w:rFonts w:hint="eastAsia"/>
          <w:sz w:val="24"/>
          <w:szCs w:val="24"/>
          <w:lang w:eastAsia="zh-CN"/>
        </w:rPr>
        <w:t>若遇法定节假日、公休假或不可抗力等，支付日期顺延。费用自动扣划后，管理人应进行核对，如发现数据不符，及时联系托管人协商解决。</w:t>
      </w:r>
    </w:p>
    <w:p w14:paraId="61FFA54A" w14:textId="77777777" w:rsidR="005039DD" w:rsidRPr="002C2B23" w:rsidRDefault="0040620F">
      <w:pPr>
        <w:spacing w:line="360" w:lineRule="auto"/>
        <w:ind w:firstLine="480"/>
        <w:rPr>
          <w:bCs/>
          <w:sz w:val="24"/>
          <w:lang w:eastAsia="zh-CN"/>
        </w:rPr>
      </w:pPr>
      <w:r w:rsidRPr="002C2B23">
        <w:rPr>
          <w:bCs/>
          <w:sz w:val="24"/>
          <w:lang w:eastAsia="zh-CN"/>
        </w:rPr>
        <w:t>上述</w:t>
      </w:r>
      <w:r w:rsidRPr="002C2B23">
        <w:rPr>
          <w:rFonts w:hint="eastAsia"/>
          <w:bCs/>
          <w:sz w:val="24"/>
          <w:lang w:eastAsia="zh-CN"/>
        </w:rPr>
        <w:t>“</w:t>
      </w:r>
      <w:r w:rsidRPr="002C2B23">
        <w:rPr>
          <w:bCs/>
          <w:sz w:val="24"/>
          <w:lang w:eastAsia="zh-CN"/>
        </w:rPr>
        <w:t>一、基金费用的种类</w:t>
      </w:r>
      <w:r w:rsidRPr="002C2B23">
        <w:rPr>
          <w:rFonts w:hint="eastAsia"/>
          <w:bCs/>
          <w:sz w:val="24"/>
          <w:lang w:eastAsia="zh-CN"/>
        </w:rPr>
        <w:t>”</w:t>
      </w:r>
      <w:r w:rsidRPr="002C2B23">
        <w:rPr>
          <w:bCs/>
          <w:sz w:val="24"/>
          <w:lang w:eastAsia="zh-CN"/>
        </w:rPr>
        <w:t>中第</w:t>
      </w:r>
      <w:r w:rsidRPr="002C2B23">
        <w:rPr>
          <w:bCs/>
          <w:sz w:val="24"/>
          <w:lang w:eastAsia="zh-CN"/>
        </w:rPr>
        <w:t>4</w:t>
      </w:r>
      <w:r w:rsidRPr="002C2B23">
        <w:rPr>
          <w:bCs/>
          <w:sz w:val="24"/>
          <w:lang w:eastAsia="zh-CN"/>
        </w:rPr>
        <w:t>－</w:t>
      </w:r>
      <w:r w:rsidRPr="002C2B23">
        <w:rPr>
          <w:bCs/>
          <w:sz w:val="24"/>
          <w:lang w:eastAsia="zh-CN"/>
        </w:rPr>
        <w:t>11</w:t>
      </w:r>
      <w:r w:rsidRPr="002C2B23">
        <w:rPr>
          <w:bCs/>
          <w:sz w:val="24"/>
          <w:lang w:eastAsia="zh-CN"/>
        </w:rPr>
        <w:t>项费用，根据有关法规及相应协议规定，按费用实际支出金额列入当期费用，由基金托管人从基金财产中支付。</w:t>
      </w:r>
    </w:p>
    <w:p w14:paraId="172D228F" w14:textId="7DD65B19" w:rsidR="005039DD" w:rsidRPr="002C2B23" w:rsidRDefault="005039DD">
      <w:pPr>
        <w:spacing w:line="360" w:lineRule="auto"/>
        <w:ind w:firstLine="480"/>
        <w:rPr>
          <w:bCs/>
          <w:sz w:val="24"/>
          <w:lang w:eastAsia="zh-CN"/>
        </w:rPr>
      </w:pPr>
    </w:p>
    <w:bookmarkEnd w:id="356"/>
    <w:p w14:paraId="39937CA0" w14:textId="77777777" w:rsidR="005039DD" w:rsidRPr="002C2B23" w:rsidRDefault="0040620F">
      <w:pPr>
        <w:spacing w:line="360" w:lineRule="auto"/>
        <w:ind w:firstLine="480"/>
        <w:rPr>
          <w:bCs/>
          <w:sz w:val="24"/>
          <w:lang w:eastAsia="zh-CN"/>
        </w:rPr>
      </w:pPr>
      <w:r w:rsidRPr="002C2B23">
        <w:rPr>
          <w:bCs/>
          <w:sz w:val="24"/>
          <w:lang w:eastAsia="zh-CN"/>
        </w:rPr>
        <w:t>三、不列入基金费用的项目</w:t>
      </w:r>
    </w:p>
    <w:p w14:paraId="6A20D433" w14:textId="77777777" w:rsidR="005039DD" w:rsidRPr="002C2B23" w:rsidRDefault="0040620F">
      <w:pPr>
        <w:spacing w:line="360" w:lineRule="auto"/>
        <w:ind w:firstLine="480"/>
        <w:rPr>
          <w:bCs/>
          <w:sz w:val="24"/>
          <w:lang w:eastAsia="zh-CN"/>
        </w:rPr>
      </w:pPr>
      <w:r w:rsidRPr="002C2B23">
        <w:rPr>
          <w:bCs/>
          <w:sz w:val="24"/>
          <w:lang w:eastAsia="zh-CN"/>
        </w:rPr>
        <w:t>下列费用不列入基金费用：</w:t>
      </w:r>
    </w:p>
    <w:p w14:paraId="08798CB6"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、基金管理人和基金托管人因未履行或未完全履行义务导致的费用支出或基金财产的损失；</w:t>
      </w:r>
    </w:p>
    <w:p w14:paraId="3A17CFF9"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、基金管理人和基金托管人处理与基金运作无关的事项发生的费用；</w:t>
      </w:r>
    </w:p>
    <w:p w14:paraId="3E926397"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、《基金合同》生效前的相关费用；</w:t>
      </w:r>
    </w:p>
    <w:p w14:paraId="1103736C" w14:textId="77777777" w:rsidR="005039DD" w:rsidRPr="002C2B23" w:rsidRDefault="0040620F">
      <w:pPr>
        <w:spacing w:line="360" w:lineRule="auto"/>
        <w:ind w:firstLine="480"/>
        <w:rPr>
          <w:bCs/>
          <w:sz w:val="24"/>
          <w:lang w:eastAsia="zh-CN"/>
        </w:rPr>
      </w:pPr>
      <w:r w:rsidRPr="002C2B23">
        <w:rPr>
          <w:bCs/>
          <w:sz w:val="24"/>
          <w:lang w:eastAsia="zh-CN"/>
        </w:rPr>
        <w:t>4</w:t>
      </w:r>
      <w:r w:rsidRPr="002C2B23">
        <w:rPr>
          <w:bCs/>
          <w:sz w:val="24"/>
          <w:lang w:eastAsia="zh-CN"/>
        </w:rPr>
        <w:t>、其他根据相关法律法规及中国证监会的有关规定不得列入基金费用的项目。</w:t>
      </w:r>
      <w:bookmarkStart w:id="359" w:name="_Hlt88827255"/>
      <w:bookmarkEnd w:id="359"/>
    </w:p>
    <w:p w14:paraId="4C6FA85C" w14:textId="77777777" w:rsidR="005039DD" w:rsidRPr="002C2B23" w:rsidRDefault="005039DD">
      <w:pPr>
        <w:spacing w:line="360" w:lineRule="auto"/>
        <w:ind w:firstLine="480"/>
        <w:rPr>
          <w:bCs/>
          <w:sz w:val="24"/>
          <w:lang w:eastAsia="zh-CN"/>
        </w:rPr>
      </w:pPr>
    </w:p>
    <w:p w14:paraId="729ABF1D" w14:textId="77777777" w:rsidR="005039DD" w:rsidRPr="002C2B23" w:rsidRDefault="0040620F">
      <w:pPr>
        <w:spacing w:line="360" w:lineRule="auto"/>
        <w:ind w:firstLine="480"/>
        <w:rPr>
          <w:bCs/>
          <w:sz w:val="24"/>
          <w:lang w:eastAsia="zh-CN"/>
        </w:rPr>
      </w:pPr>
      <w:r w:rsidRPr="002C2B23">
        <w:rPr>
          <w:bCs/>
          <w:sz w:val="24"/>
          <w:lang w:eastAsia="zh-CN"/>
        </w:rPr>
        <w:t>四、</w:t>
      </w:r>
      <w:r w:rsidRPr="002C2B23">
        <w:rPr>
          <w:rFonts w:hint="eastAsia"/>
          <w:bCs/>
          <w:sz w:val="24"/>
          <w:lang w:eastAsia="zh-CN"/>
        </w:rPr>
        <w:t>基金综合费用水平</w:t>
      </w:r>
      <w:r w:rsidRPr="002C2B23">
        <w:rPr>
          <w:rFonts w:hint="eastAsia"/>
          <w:bCs/>
          <w:sz w:val="24"/>
          <w:lang w:eastAsia="zh-CN"/>
        </w:rPr>
        <w:t xml:space="preserve"> </w:t>
      </w:r>
    </w:p>
    <w:p w14:paraId="35A2B8BE" w14:textId="77777777" w:rsidR="005039DD" w:rsidRPr="002C2B23" w:rsidRDefault="0040620F">
      <w:pPr>
        <w:spacing w:line="360" w:lineRule="auto"/>
        <w:ind w:firstLine="480"/>
        <w:rPr>
          <w:bCs/>
          <w:sz w:val="24"/>
          <w:lang w:eastAsia="zh-CN"/>
        </w:rPr>
      </w:pPr>
      <w:r w:rsidRPr="002C2B23">
        <w:rPr>
          <w:rFonts w:hint="eastAsia"/>
          <w:bCs/>
          <w:sz w:val="24"/>
          <w:lang w:eastAsia="zh-CN"/>
        </w:rPr>
        <w:t>本基金综合费用水平在招募说明书</w:t>
      </w:r>
      <w:r w:rsidRPr="002C2B23">
        <w:rPr>
          <w:rFonts w:hint="eastAsia"/>
          <w:bCs/>
          <w:sz w:val="24"/>
          <w:lang w:eastAsia="zh-CN"/>
        </w:rPr>
        <w:t xml:space="preserve"> </w:t>
      </w:r>
      <w:r w:rsidRPr="002C2B23">
        <w:rPr>
          <w:rFonts w:hint="eastAsia"/>
          <w:bCs/>
          <w:sz w:val="24"/>
          <w:lang w:eastAsia="zh-CN"/>
        </w:rPr>
        <w:t>及产品资料概要中列示。</w:t>
      </w:r>
    </w:p>
    <w:p w14:paraId="3E961895" w14:textId="77777777" w:rsidR="005039DD" w:rsidRPr="002C2B23" w:rsidRDefault="005039DD">
      <w:pPr>
        <w:spacing w:line="360" w:lineRule="auto"/>
        <w:ind w:firstLine="480"/>
        <w:rPr>
          <w:bCs/>
          <w:sz w:val="24"/>
          <w:lang w:eastAsia="zh-CN"/>
        </w:rPr>
      </w:pPr>
    </w:p>
    <w:p w14:paraId="1F39D184" w14:textId="77777777" w:rsidR="005039DD" w:rsidRPr="002C2B23" w:rsidRDefault="0040620F">
      <w:pPr>
        <w:spacing w:line="360" w:lineRule="auto"/>
        <w:ind w:firstLine="480"/>
        <w:rPr>
          <w:bCs/>
          <w:sz w:val="24"/>
          <w:lang w:eastAsia="zh-CN"/>
        </w:rPr>
      </w:pPr>
      <w:r w:rsidRPr="002C2B23">
        <w:rPr>
          <w:bCs/>
          <w:sz w:val="24"/>
          <w:lang w:eastAsia="zh-CN"/>
        </w:rPr>
        <w:t>五、实施</w:t>
      </w:r>
      <w:proofErr w:type="gramStart"/>
      <w:r w:rsidRPr="002C2B23">
        <w:rPr>
          <w:bCs/>
          <w:sz w:val="24"/>
          <w:lang w:eastAsia="zh-CN"/>
        </w:rPr>
        <w:t>侧袋机制</w:t>
      </w:r>
      <w:proofErr w:type="gramEnd"/>
      <w:r w:rsidRPr="002C2B23">
        <w:rPr>
          <w:bCs/>
          <w:sz w:val="24"/>
          <w:lang w:eastAsia="zh-CN"/>
        </w:rPr>
        <w:t>期间的基金费用</w:t>
      </w:r>
    </w:p>
    <w:p w14:paraId="08277013" w14:textId="77777777" w:rsidR="005039DD" w:rsidRPr="002C2B23" w:rsidRDefault="0040620F">
      <w:pPr>
        <w:spacing w:line="360" w:lineRule="auto"/>
        <w:ind w:firstLine="480"/>
        <w:rPr>
          <w:bCs/>
          <w:sz w:val="24"/>
          <w:lang w:eastAsia="zh-CN"/>
        </w:rPr>
      </w:pPr>
      <w:r w:rsidRPr="002C2B23">
        <w:rPr>
          <w:bCs/>
          <w:sz w:val="24"/>
          <w:lang w:eastAsia="zh-CN"/>
        </w:rPr>
        <w:t>本基金实施</w:t>
      </w:r>
      <w:proofErr w:type="gramStart"/>
      <w:r w:rsidRPr="002C2B23">
        <w:rPr>
          <w:bCs/>
          <w:sz w:val="24"/>
          <w:lang w:eastAsia="zh-CN"/>
        </w:rPr>
        <w:t>侧袋机制</w:t>
      </w:r>
      <w:proofErr w:type="gramEnd"/>
      <w:r w:rsidRPr="002C2B23">
        <w:rPr>
          <w:bCs/>
          <w:sz w:val="24"/>
          <w:lang w:eastAsia="zh-CN"/>
        </w:rPr>
        <w:t>的，</w:t>
      </w:r>
      <w:proofErr w:type="gramStart"/>
      <w:r w:rsidRPr="002C2B23">
        <w:rPr>
          <w:bCs/>
          <w:sz w:val="24"/>
          <w:lang w:eastAsia="zh-CN"/>
        </w:rPr>
        <w:t>与侧袋账户</w:t>
      </w:r>
      <w:proofErr w:type="gramEnd"/>
      <w:r w:rsidRPr="002C2B23">
        <w:rPr>
          <w:bCs/>
          <w:sz w:val="24"/>
          <w:lang w:eastAsia="zh-CN"/>
        </w:rPr>
        <w:t>有关的费用可以</w:t>
      </w:r>
      <w:proofErr w:type="gramStart"/>
      <w:r w:rsidRPr="002C2B23">
        <w:rPr>
          <w:bCs/>
          <w:sz w:val="24"/>
          <w:lang w:eastAsia="zh-CN"/>
        </w:rPr>
        <w:t>从侧袋账户</w:t>
      </w:r>
      <w:proofErr w:type="gramEnd"/>
      <w:r w:rsidRPr="002C2B23">
        <w:rPr>
          <w:bCs/>
          <w:sz w:val="24"/>
          <w:lang w:eastAsia="zh-CN"/>
        </w:rPr>
        <w:t>中列支，但应</w:t>
      </w:r>
      <w:proofErr w:type="gramStart"/>
      <w:r w:rsidRPr="002C2B23">
        <w:rPr>
          <w:bCs/>
          <w:sz w:val="24"/>
          <w:lang w:eastAsia="zh-CN"/>
        </w:rPr>
        <w:t>待侧袋</w:t>
      </w:r>
      <w:proofErr w:type="gramEnd"/>
      <w:r w:rsidRPr="002C2B23">
        <w:rPr>
          <w:bCs/>
          <w:sz w:val="24"/>
          <w:lang w:eastAsia="zh-CN"/>
        </w:rPr>
        <w:t>账户资产变现后方可列支，有关费用可酌情收取或减免，但不得收取管理费，详见招募说明书的规定。</w:t>
      </w:r>
    </w:p>
    <w:p w14:paraId="6C034870" w14:textId="77777777" w:rsidR="005039DD" w:rsidRPr="002C2B23" w:rsidRDefault="005039DD">
      <w:pPr>
        <w:spacing w:line="360" w:lineRule="auto"/>
        <w:ind w:firstLine="480"/>
        <w:rPr>
          <w:bCs/>
          <w:sz w:val="24"/>
          <w:lang w:eastAsia="zh-CN"/>
        </w:rPr>
      </w:pPr>
    </w:p>
    <w:p w14:paraId="54FEF216" w14:textId="2371C4B2" w:rsidR="005039DD" w:rsidRPr="002C2B23" w:rsidRDefault="0040620F">
      <w:pPr>
        <w:spacing w:line="360" w:lineRule="auto"/>
        <w:ind w:firstLine="480"/>
        <w:rPr>
          <w:bCs/>
          <w:sz w:val="24"/>
          <w:lang w:eastAsia="zh-CN"/>
        </w:rPr>
      </w:pPr>
      <w:r w:rsidRPr="002C2B23">
        <w:rPr>
          <w:rFonts w:hint="eastAsia"/>
          <w:bCs/>
          <w:sz w:val="24"/>
          <w:lang w:eastAsia="zh-CN"/>
        </w:rPr>
        <w:t>六</w:t>
      </w:r>
      <w:r w:rsidRPr="002C2B23">
        <w:rPr>
          <w:bCs/>
          <w:sz w:val="24"/>
          <w:lang w:eastAsia="zh-CN"/>
        </w:rPr>
        <w:t>、基金税收</w:t>
      </w:r>
    </w:p>
    <w:p w14:paraId="0A517D31" w14:textId="77777777" w:rsidR="005039DD" w:rsidRPr="002C2B23" w:rsidRDefault="0040620F">
      <w:pPr>
        <w:spacing w:line="360" w:lineRule="auto"/>
        <w:ind w:firstLine="480"/>
        <w:rPr>
          <w:bCs/>
          <w:sz w:val="24"/>
          <w:lang w:eastAsia="zh-CN"/>
        </w:rPr>
        <w:sectPr w:rsidR="005039DD" w:rsidRPr="002C2B23">
          <w:footerReference w:type="default" r:id="rId25"/>
          <w:pgSz w:w="12240" w:h="15840"/>
          <w:pgMar w:top="1440" w:right="1800" w:bottom="1440" w:left="1800" w:header="720" w:footer="720" w:gutter="0"/>
          <w:cols w:space="720"/>
          <w:docGrid w:linePitch="312"/>
        </w:sectPr>
      </w:pPr>
      <w:r w:rsidRPr="002C2B23">
        <w:rPr>
          <w:bCs/>
          <w:sz w:val="24"/>
          <w:lang w:eastAsia="zh-CN"/>
        </w:rPr>
        <w:t>本基金运作过程中涉及的各纳税主体，其纳税义务按国家税收法律、法规执行。基金财产投资的相关税收，由基金份额持有人承担，基金管理人或者其他扣缴义务人按照国家有关税收征收的规定代扣代缴。</w:t>
      </w:r>
    </w:p>
    <w:p w14:paraId="733C7AF1" w14:textId="77777777" w:rsidR="005039DD" w:rsidRPr="002C2B23" w:rsidRDefault="005039DD">
      <w:pPr>
        <w:spacing w:line="360" w:lineRule="auto"/>
        <w:ind w:firstLine="480"/>
        <w:rPr>
          <w:bCs/>
          <w:sz w:val="24"/>
          <w:lang w:eastAsia="zh-CN"/>
        </w:rPr>
      </w:pPr>
    </w:p>
    <w:p w14:paraId="72456DF4" w14:textId="77777777" w:rsidR="005039DD" w:rsidRPr="002C2B23" w:rsidRDefault="0040620F">
      <w:pPr>
        <w:pStyle w:val="112"/>
        <w:spacing w:before="0" w:after="0"/>
        <w:jc w:val="center"/>
        <w:rPr>
          <w:rFonts w:ascii="Times New Roman"/>
          <w:sz w:val="30"/>
          <w:lang w:eastAsia="zh-CN"/>
        </w:rPr>
      </w:pPr>
      <w:bookmarkStart w:id="360" w:name="_Toc93226149"/>
      <w:bookmarkStart w:id="361" w:name="_Toc92662707"/>
      <w:bookmarkStart w:id="362" w:name="_Toc21829"/>
      <w:bookmarkStart w:id="363" w:name="_Toc19558"/>
      <w:bookmarkStart w:id="364" w:name="_Toc22552"/>
      <w:bookmarkStart w:id="365" w:name="_Toc20052"/>
      <w:bookmarkStart w:id="366" w:name="_Toc12761"/>
      <w:bookmarkStart w:id="367" w:name="_Toc178"/>
      <w:bookmarkStart w:id="368" w:name="_Toc1617"/>
      <w:bookmarkStart w:id="369" w:name="_Toc109141376"/>
      <w:bookmarkStart w:id="370" w:name="_Toc25883"/>
      <w:bookmarkStart w:id="371" w:name="_Toc141703896"/>
      <w:bookmarkStart w:id="372" w:name="_Toc139991746"/>
      <w:bookmarkStart w:id="373" w:name="_Toc15351"/>
      <w:bookmarkStart w:id="374" w:name="_Toc3656"/>
      <w:bookmarkStart w:id="375" w:name="_Toc15525"/>
      <w:bookmarkStart w:id="376" w:name="_Toc128310499"/>
      <w:r w:rsidRPr="002C2B23">
        <w:rPr>
          <w:rFonts w:ascii="Times New Roman"/>
          <w:sz w:val="30"/>
          <w:lang w:eastAsia="zh-CN"/>
        </w:rPr>
        <w:t>第十六部分</w:t>
      </w:r>
      <w:r w:rsidRPr="002C2B23">
        <w:rPr>
          <w:rFonts w:ascii="Times New Roman"/>
          <w:sz w:val="30"/>
          <w:lang w:eastAsia="zh-CN"/>
        </w:rPr>
        <w:t xml:space="preserve">  </w:t>
      </w:r>
      <w:r w:rsidRPr="002C2B23">
        <w:rPr>
          <w:rFonts w:ascii="Times New Roman"/>
          <w:sz w:val="30"/>
          <w:lang w:eastAsia="zh-CN"/>
        </w:rPr>
        <w:t>基金</w:t>
      </w:r>
      <w:bookmarkEnd w:id="360"/>
      <w:bookmarkEnd w:id="361"/>
      <w:r w:rsidRPr="002C2B23">
        <w:rPr>
          <w:rFonts w:ascii="Times New Roman"/>
          <w:sz w:val="30"/>
          <w:lang w:eastAsia="zh-CN"/>
        </w:rPr>
        <w:t>的收益与分配</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14:paraId="6C9813F6" w14:textId="77777777" w:rsidR="005039DD" w:rsidRPr="002C2B23" w:rsidRDefault="005039DD">
      <w:pPr>
        <w:rPr>
          <w:bCs/>
          <w:lang w:eastAsia="zh-CN"/>
        </w:rPr>
      </w:pPr>
    </w:p>
    <w:p w14:paraId="2142BAFB" w14:textId="77777777" w:rsidR="005039DD" w:rsidRPr="002C2B23" w:rsidRDefault="0040620F">
      <w:pPr>
        <w:spacing w:line="360" w:lineRule="auto"/>
        <w:ind w:firstLine="540"/>
        <w:rPr>
          <w:bCs/>
          <w:sz w:val="24"/>
          <w:lang w:eastAsia="zh-CN"/>
        </w:rPr>
      </w:pPr>
      <w:r w:rsidRPr="002C2B23">
        <w:rPr>
          <w:bCs/>
          <w:sz w:val="24"/>
          <w:lang w:eastAsia="zh-CN"/>
        </w:rPr>
        <w:t>一、基金利润的构成</w:t>
      </w:r>
    </w:p>
    <w:p w14:paraId="180BF758" w14:textId="77777777" w:rsidR="005039DD" w:rsidRPr="002C2B23" w:rsidRDefault="0040620F">
      <w:pPr>
        <w:spacing w:line="360" w:lineRule="auto"/>
        <w:ind w:firstLine="540"/>
        <w:rPr>
          <w:bCs/>
          <w:sz w:val="24"/>
          <w:lang w:eastAsia="zh-CN"/>
        </w:rPr>
      </w:pPr>
      <w:r w:rsidRPr="002C2B23">
        <w:rPr>
          <w:bCs/>
          <w:sz w:val="24"/>
          <w:lang w:eastAsia="zh-CN"/>
        </w:rPr>
        <w:t>基金利润指基金利息收入、投资收益、公允价值变动收益和其他收入扣除相关费用后的余额，基金已实现收益指基金利润减去公允价值变动收益后的余额。</w:t>
      </w:r>
    </w:p>
    <w:p w14:paraId="1E1C9B60" w14:textId="77777777" w:rsidR="005039DD" w:rsidRPr="002C2B23" w:rsidRDefault="005039DD">
      <w:pPr>
        <w:spacing w:line="360" w:lineRule="auto"/>
        <w:ind w:firstLine="540"/>
        <w:rPr>
          <w:bCs/>
          <w:sz w:val="24"/>
          <w:lang w:eastAsia="zh-CN"/>
        </w:rPr>
      </w:pPr>
    </w:p>
    <w:p w14:paraId="4A817263" w14:textId="77777777" w:rsidR="005039DD" w:rsidRPr="002C2B23" w:rsidRDefault="0040620F">
      <w:pPr>
        <w:spacing w:line="360" w:lineRule="auto"/>
        <w:ind w:firstLine="540"/>
        <w:rPr>
          <w:bCs/>
          <w:sz w:val="24"/>
          <w:lang w:eastAsia="zh-CN"/>
        </w:rPr>
      </w:pPr>
      <w:r w:rsidRPr="002C2B23">
        <w:rPr>
          <w:bCs/>
          <w:sz w:val="24"/>
          <w:lang w:eastAsia="zh-CN"/>
        </w:rPr>
        <w:t>二、基金可供分配利润</w:t>
      </w:r>
    </w:p>
    <w:p w14:paraId="630E28DD" w14:textId="77777777" w:rsidR="005039DD" w:rsidRPr="002C2B23" w:rsidRDefault="0040620F">
      <w:pPr>
        <w:spacing w:line="360" w:lineRule="auto"/>
        <w:ind w:firstLine="540"/>
        <w:rPr>
          <w:bCs/>
          <w:sz w:val="24"/>
          <w:lang w:eastAsia="zh-CN"/>
        </w:rPr>
      </w:pPr>
      <w:r w:rsidRPr="002C2B23">
        <w:rPr>
          <w:bCs/>
          <w:sz w:val="24"/>
          <w:lang w:eastAsia="zh-CN"/>
        </w:rPr>
        <w:t>基金可供分配利润指截至收益分配基准日基金未分配利润与未分配利润中已实现收益的孰低数。</w:t>
      </w:r>
    </w:p>
    <w:p w14:paraId="31428B84" w14:textId="77777777" w:rsidR="005039DD" w:rsidRPr="002C2B23" w:rsidRDefault="005039DD">
      <w:pPr>
        <w:spacing w:line="360" w:lineRule="auto"/>
        <w:ind w:firstLine="540"/>
        <w:rPr>
          <w:bCs/>
          <w:sz w:val="24"/>
          <w:lang w:eastAsia="zh-CN"/>
        </w:rPr>
      </w:pPr>
    </w:p>
    <w:p w14:paraId="60EF09A3" w14:textId="77777777" w:rsidR="005039DD" w:rsidRPr="002C2B23" w:rsidRDefault="0040620F">
      <w:pPr>
        <w:spacing w:line="360" w:lineRule="auto"/>
        <w:ind w:firstLine="540"/>
        <w:rPr>
          <w:bCs/>
          <w:sz w:val="24"/>
          <w:lang w:eastAsia="zh-CN"/>
        </w:rPr>
      </w:pPr>
      <w:bookmarkStart w:id="377" w:name="_Hlk96415684"/>
      <w:r w:rsidRPr="002C2B23">
        <w:rPr>
          <w:bCs/>
          <w:sz w:val="24"/>
          <w:lang w:eastAsia="zh-CN"/>
        </w:rPr>
        <w:t>三、基金收益分配原则</w:t>
      </w:r>
    </w:p>
    <w:p w14:paraId="4D51A561" w14:textId="77777777" w:rsidR="005039DD" w:rsidRPr="002C2B23" w:rsidRDefault="0040620F">
      <w:pPr>
        <w:spacing w:line="360" w:lineRule="auto"/>
        <w:ind w:firstLine="540"/>
        <w:rPr>
          <w:bCs/>
          <w:sz w:val="24"/>
          <w:lang w:eastAsia="zh-CN"/>
        </w:rPr>
      </w:pPr>
      <w:bookmarkStart w:id="378" w:name="_Hlk96415676"/>
      <w:r w:rsidRPr="002C2B23">
        <w:rPr>
          <w:bCs/>
          <w:sz w:val="24"/>
          <w:lang w:eastAsia="zh-CN"/>
        </w:rPr>
        <w:t>1</w:t>
      </w:r>
      <w:r w:rsidRPr="002C2B23">
        <w:rPr>
          <w:bCs/>
          <w:sz w:val="24"/>
          <w:lang w:eastAsia="zh-CN"/>
        </w:rPr>
        <w:t>、由于本基金</w:t>
      </w:r>
      <w:r w:rsidRPr="002C2B23">
        <w:rPr>
          <w:bCs/>
          <w:sz w:val="24"/>
          <w:lang w:eastAsia="zh-CN"/>
        </w:rPr>
        <w:t>A</w:t>
      </w:r>
      <w:r w:rsidRPr="002C2B23">
        <w:rPr>
          <w:bCs/>
          <w:sz w:val="24"/>
          <w:lang w:eastAsia="zh-CN"/>
        </w:rPr>
        <w:t>类基金份额不收取销售服务费，而</w:t>
      </w:r>
      <w:r w:rsidRPr="002C2B23">
        <w:rPr>
          <w:bCs/>
          <w:sz w:val="24"/>
          <w:lang w:eastAsia="zh-CN"/>
        </w:rPr>
        <w:t>C</w:t>
      </w:r>
      <w:r w:rsidRPr="002C2B23">
        <w:rPr>
          <w:bCs/>
          <w:sz w:val="24"/>
          <w:lang w:eastAsia="zh-CN"/>
        </w:rPr>
        <w:t>类基金份额收取销售服务费，各基金份额类别对应的可供分配利润将有所不同，本基金同一类别的每一基金份额享有同等分配权；</w:t>
      </w:r>
    </w:p>
    <w:p w14:paraId="50425B0C" w14:textId="77777777" w:rsidR="005039DD" w:rsidRPr="002C2B23" w:rsidRDefault="0040620F">
      <w:pPr>
        <w:spacing w:line="360" w:lineRule="auto"/>
        <w:ind w:firstLine="540"/>
        <w:rPr>
          <w:bCs/>
          <w:sz w:val="24"/>
          <w:lang w:eastAsia="zh-CN"/>
        </w:rPr>
      </w:pPr>
      <w:r w:rsidRPr="002C2B23">
        <w:rPr>
          <w:bCs/>
          <w:sz w:val="24"/>
          <w:lang w:eastAsia="zh-CN"/>
        </w:rPr>
        <w:t>2</w:t>
      </w:r>
      <w:r w:rsidRPr="002C2B23">
        <w:rPr>
          <w:bCs/>
          <w:sz w:val="24"/>
          <w:lang w:eastAsia="zh-CN"/>
        </w:rPr>
        <w:t>、本基金收益分配方式分两种：现金分红与红利再投资，投资者可选择现金红利或将现金红利自动转为相应类别的基金份额进行再投资，</w:t>
      </w:r>
      <w:proofErr w:type="gramStart"/>
      <w:r w:rsidRPr="002C2B23">
        <w:rPr>
          <w:bCs/>
          <w:sz w:val="24"/>
          <w:lang w:eastAsia="zh-CN"/>
        </w:rPr>
        <w:t>且基金</w:t>
      </w:r>
      <w:proofErr w:type="gramEnd"/>
      <w:r w:rsidRPr="002C2B23">
        <w:rPr>
          <w:bCs/>
          <w:sz w:val="24"/>
          <w:lang w:eastAsia="zh-CN"/>
        </w:rPr>
        <w:t>份额持有人可对</w:t>
      </w:r>
      <w:r w:rsidRPr="002C2B23">
        <w:rPr>
          <w:bCs/>
          <w:sz w:val="24"/>
          <w:lang w:eastAsia="zh-CN"/>
        </w:rPr>
        <w:t>A</w:t>
      </w:r>
      <w:r w:rsidRPr="002C2B23">
        <w:rPr>
          <w:bCs/>
          <w:sz w:val="24"/>
          <w:lang w:eastAsia="zh-CN"/>
        </w:rPr>
        <w:t>类、</w:t>
      </w:r>
      <w:r w:rsidRPr="002C2B23">
        <w:rPr>
          <w:bCs/>
          <w:sz w:val="24"/>
          <w:lang w:eastAsia="zh-CN"/>
        </w:rPr>
        <w:t>C</w:t>
      </w:r>
      <w:r w:rsidRPr="002C2B23">
        <w:rPr>
          <w:bCs/>
          <w:sz w:val="24"/>
          <w:lang w:eastAsia="zh-CN"/>
        </w:rPr>
        <w:t>类基金份额分别选择不同的分红方式；若投资者不选择，本基金默认的收益分配方式是现金分红；</w:t>
      </w:r>
      <w:r w:rsidRPr="002C2B23">
        <w:rPr>
          <w:bCs/>
          <w:sz w:val="24"/>
          <w:lang w:eastAsia="zh-CN"/>
        </w:rPr>
        <w:t xml:space="preserve"> </w:t>
      </w:r>
    </w:p>
    <w:p w14:paraId="1CABA8EA" w14:textId="77777777" w:rsidR="005039DD" w:rsidRPr="002C2B23" w:rsidRDefault="0040620F">
      <w:pPr>
        <w:spacing w:line="360" w:lineRule="auto"/>
        <w:ind w:firstLine="540"/>
        <w:rPr>
          <w:bCs/>
          <w:sz w:val="24"/>
          <w:lang w:eastAsia="zh-CN"/>
        </w:rPr>
      </w:pPr>
      <w:r w:rsidRPr="002C2B23">
        <w:rPr>
          <w:bCs/>
          <w:sz w:val="24"/>
          <w:lang w:eastAsia="zh-CN"/>
        </w:rPr>
        <w:t>3</w:t>
      </w:r>
      <w:r w:rsidRPr="002C2B23">
        <w:rPr>
          <w:bCs/>
          <w:sz w:val="24"/>
          <w:lang w:eastAsia="zh-CN"/>
        </w:rPr>
        <w:t>、基金收益分配后各类基金份额净值不能低于面值，即基金收益分配基准日的各类基金份额净值减去每单位该类基金份额收益分配金额后不能低于面值；</w:t>
      </w:r>
    </w:p>
    <w:p w14:paraId="007BCC6A" w14:textId="77777777" w:rsidR="005039DD" w:rsidRPr="002C2B23" w:rsidRDefault="0040620F">
      <w:pPr>
        <w:spacing w:line="360" w:lineRule="auto"/>
        <w:ind w:firstLine="540"/>
        <w:rPr>
          <w:bCs/>
          <w:sz w:val="24"/>
          <w:lang w:eastAsia="zh-CN"/>
        </w:rPr>
      </w:pPr>
      <w:r w:rsidRPr="002C2B23">
        <w:rPr>
          <w:bCs/>
          <w:sz w:val="24"/>
          <w:lang w:eastAsia="zh-CN"/>
        </w:rPr>
        <w:t>4</w:t>
      </w:r>
      <w:r w:rsidRPr="002C2B23">
        <w:rPr>
          <w:bCs/>
          <w:sz w:val="24"/>
          <w:lang w:eastAsia="zh-CN"/>
        </w:rPr>
        <w:t>、法律法规或监管机关另有规定的，从其规定。</w:t>
      </w:r>
    </w:p>
    <w:p w14:paraId="285DA2DA" w14:textId="5E93A8D2" w:rsidR="005039DD" w:rsidRPr="002C2B23" w:rsidRDefault="0040620F">
      <w:pPr>
        <w:spacing w:line="360" w:lineRule="auto"/>
        <w:ind w:firstLine="540"/>
        <w:rPr>
          <w:bCs/>
          <w:sz w:val="24"/>
          <w:lang w:eastAsia="zh-CN"/>
        </w:rPr>
      </w:pPr>
      <w:r w:rsidRPr="002C2B23">
        <w:rPr>
          <w:bCs/>
          <w:sz w:val="24"/>
          <w:lang w:eastAsia="zh-CN"/>
        </w:rPr>
        <w:t>在符合法律法规及基金合同约定，并对基金份额持有人利益无实质不利影响的前提下，基金管理人与基金托管人协商一致</w:t>
      </w:r>
      <w:r w:rsidR="0066026F" w:rsidRPr="002C2B23">
        <w:rPr>
          <w:rFonts w:hint="eastAsia"/>
          <w:bCs/>
          <w:sz w:val="24"/>
          <w:lang w:eastAsia="zh-CN"/>
        </w:rPr>
        <w:t>并履行适当程序后，</w:t>
      </w:r>
      <w:r w:rsidRPr="002C2B23">
        <w:rPr>
          <w:bCs/>
          <w:sz w:val="24"/>
          <w:lang w:eastAsia="zh-CN"/>
        </w:rPr>
        <w:t>后可对基金收益分配原则和支付方式进行调整</w:t>
      </w:r>
      <w:r w:rsidRPr="002C2B23">
        <w:rPr>
          <w:rFonts w:hint="eastAsia"/>
          <w:bCs/>
          <w:sz w:val="24"/>
          <w:lang w:eastAsia="zh-CN"/>
        </w:rPr>
        <w:t>，应于调整实施前在规定媒介公告</w:t>
      </w:r>
      <w:r w:rsidRPr="002C2B23">
        <w:rPr>
          <w:bCs/>
          <w:sz w:val="24"/>
          <w:lang w:eastAsia="zh-CN"/>
        </w:rPr>
        <w:t>。</w:t>
      </w:r>
    </w:p>
    <w:p w14:paraId="2B3D3C58" w14:textId="77777777" w:rsidR="005039DD" w:rsidRPr="002C2B23" w:rsidRDefault="005039DD">
      <w:pPr>
        <w:spacing w:line="360" w:lineRule="auto"/>
        <w:ind w:firstLine="540"/>
        <w:rPr>
          <w:bCs/>
          <w:sz w:val="24"/>
          <w:lang w:eastAsia="zh-CN"/>
        </w:rPr>
      </w:pPr>
    </w:p>
    <w:bookmarkEnd w:id="377"/>
    <w:bookmarkEnd w:id="378"/>
    <w:p w14:paraId="6740D552" w14:textId="77777777" w:rsidR="005039DD" w:rsidRPr="002C2B23" w:rsidRDefault="0040620F">
      <w:pPr>
        <w:spacing w:line="360" w:lineRule="auto"/>
        <w:ind w:firstLine="540"/>
        <w:rPr>
          <w:bCs/>
          <w:sz w:val="24"/>
          <w:lang w:eastAsia="zh-CN"/>
        </w:rPr>
      </w:pPr>
      <w:r w:rsidRPr="002C2B23">
        <w:rPr>
          <w:bCs/>
          <w:sz w:val="24"/>
          <w:lang w:eastAsia="zh-CN"/>
        </w:rPr>
        <w:t>四、收益分配方案</w:t>
      </w:r>
    </w:p>
    <w:p w14:paraId="3D4488B6" w14:textId="77777777" w:rsidR="005039DD" w:rsidRPr="002C2B23" w:rsidRDefault="0040620F">
      <w:pPr>
        <w:spacing w:line="360" w:lineRule="auto"/>
        <w:ind w:firstLine="540"/>
        <w:rPr>
          <w:bCs/>
          <w:sz w:val="24"/>
          <w:lang w:eastAsia="zh-CN"/>
        </w:rPr>
      </w:pPr>
      <w:r w:rsidRPr="002C2B23">
        <w:rPr>
          <w:bCs/>
          <w:sz w:val="24"/>
          <w:lang w:eastAsia="zh-CN"/>
        </w:rPr>
        <w:t>基金收益分配方案中应载明截</w:t>
      </w:r>
      <w:r w:rsidRPr="002C2B23">
        <w:rPr>
          <w:rFonts w:hint="eastAsia"/>
          <w:bCs/>
          <w:sz w:val="24"/>
          <w:lang w:eastAsia="zh-CN"/>
        </w:rPr>
        <w:t>至</w:t>
      </w:r>
      <w:r w:rsidRPr="002C2B23">
        <w:rPr>
          <w:bCs/>
          <w:sz w:val="24"/>
          <w:lang w:eastAsia="zh-CN"/>
        </w:rPr>
        <w:t>收益分配基准日的可供分配利润、基金收益分配对象、分配时间、分配数额及比例、分配方式等内容。</w:t>
      </w:r>
    </w:p>
    <w:p w14:paraId="093D8F14" w14:textId="77777777" w:rsidR="005039DD" w:rsidRPr="002C2B23" w:rsidRDefault="005039DD">
      <w:pPr>
        <w:spacing w:line="360" w:lineRule="auto"/>
        <w:ind w:firstLine="540"/>
        <w:rPr>
          <w:bCs/>
          <w:sz w:val="24"/>
          <w:lang w:eastAsia="zh-CN"/>
        </w:rPr>
      </w:pPr>
    </w:p>
    <w:p w14:paraId="19A6A764" w14:textId="77777777" w:rsidR="005039DD" w:rsidRPr="002C2B23" w:rsidRDefault="0040620F">
      <w:pPr>
        <w:spacing w:line="360" w:lineRule="auto"/>
        <w:ind w:firstLine="540"/>
        <w:rPr>
          <w:bCs/>
          <w:sz w:val="24"/>
          <w:lang w:eastAsia="zh-CN"/>
        </w:rPr>
      </w:pPr>
      <w:r w:rsidRPr="002C2B23">
        <w:rPr>
          <w:bCs/>
          <w:sz w:val="24"/>
          <w:lang w:eastAsia="zh-CN"/>
        </w:rPr>
        <w:t>五、收益分配方案的确定、公告与实施</w:t>
      </w:r>
    </w:p>
    <w:p w14:paraId="297078DA" w14:textId="77777777" w:rsidR="005039DD" w:rsidRPr="002C2B23" w:rsidRDefault="0040620F">
      <w:pPr>
        <w:spacing w:line="360" w:lineRule="auto"/>
        <w:ind w:firstLine="540"/>
        <w:rPr>
          <w:bCs/>
          <w:sz w:val="24"/>
          <w:lang w:eastAsia="zh-CN"/>
        </w:rPr>
      </w:pPr>
      <w:r w:rsidRPr="002C2B23">
        <w:rPr>
          <w:bCs/>
          <w:sz w:val="24"/>
          <w:lang w:eastAsia="zh-CN"/>
        </w:rPr>
        <w:t>本基金收益分配方案由基金管理人拟定，并由基金托管人复核，按《信息披露办法》的有关规定在规定媒介公告。</w:t>
      </w:r>
    </w:p>
    <w:p w14:paraId="5AD90EA6" w14:textId="77777777" w:rsidR="005039DD" w:rsidRPr="002C2B23" w:rsidRDefault="005039DD">
      <w:pPr>
        <w:spacing w:line="360" w:lineRule="auto"/>
        <w:ind w:firstLine="540"/>
        <w:rPr>
          <w:bCs/>
          <w:sz w:val="24"/>
          <w:lang w:eastAsia="zh-CN"/>
        </w:rPr>
      </w:pPr>
    </w:p>
    <w:p w14:paraId="5413CCC5" w14:textId="77777777" w:rsidR="005039DD" w:rsidRPr="002C2B23" w:rsidRDefault="0040620F">
      <w:pPr>
        <w:spacing w:line="360" w:lineRule="auto"/>
        <w:ind w:firstLine="540"/>
        <w:rPr>
          <w:bCs/>
          <w:sz w:val="24"/>
          <w:lang w:eastAsia="zh-CN"/>
        </w:rPr>
      </w:pPr>
      <w:r w:rsidRPr="002C2B23">
        <w:rPr>
          <w:bCs/>
          <w:sz w:val="24"/>
          <w:lang w:eastAsia="zh-CN"/>
        </w:rPr>
        <w:t>六、基金收益分配中发生的费用</w:t>
      </w:r>
    </w:p>
    <w:p w14:paraId="16A392F0" w14:textId="77777777" w:rsidR="005039DD" w:rsidRPr="002C2B23" w:rsidRDefault="0040620F">
      <w:pPr>
        <w:spacing w:line="360" w:lineRule="auto"/>
        <w:ind w:firstLine="540"/>
        <w:rPr>
          <w:bCs/>
          <w:sz w:val="24"/>
          <w:lang w:eastAsia="zh-CN"/>
        </w:rPr>
      </w:pPr>
      <w:r w:rsidRPr="002C2B23">
        <w:rPr>
          <w:bCs/>
          <w:sz w:val="24"/>
          <w:lang w:eastAsia="zh-CN"/>
        </w:rPr>
        <w:t>基金收益分配时所发生的银行转账或其他手续费用由投资者自行承担。当投资者的现金红利小于一定金额，不足以支付银行转账或其他手续费用时，基金登记机构可将基金份额持有人的现金红利自动转为相应类别的基金份额。红利再投资的计算方法，依照《业务规则》执行。</w:t>
      </w:r>
    </w:p>
    <w:p w14:paraId="1C48ADD9" w14:textId="77777777" w:rsidR="005039DD" w:rsidRPr="002C2B23" w:rsidRDefault="005039DD">
      <w:pPr>
        <w:spacing w:line="360" w:lineRule="auto"/>
        <w:ind w:firstLine="540"/>
        <w:rPr>
          <w:bCs/>
          <w:sz w:val="24"/>
          <w:lang w:eastAsia="zh-CN"/>
        </w:rPr>
      </w:pPr>
    </w:p>
    <w:p w14:paraId="2B421B33" w14:textId="77777777" w:rsidR="005039DD" w:rsidRPr="002C2B23" w:rsidRDefault="0040620F">
      <w:pPr>
        <w:spacing w:line="360" w:lineRule="auto"/>
        <w:ind w:firstLine="540"/>
        <w:rPr>
          <w:bCs/>
          <w:sz w:val="24"/>
          <w:lang w:eastAsia="zh-CN"/>
        </w:rPr>
      </w:pPr>
      <w:r w:rsidRPr="002C2B23">
        <w:rPr>
          <w:bCs/>
          <w:sz w:val="24"/>
          <w:lang w:eastAsia="zh-CN"/>
        </w:rPr>
        <w:t>七、实施</w:t>
      </w:r>
      <w:proofErr w:type="gramStart"/>
      <w:r w:rsidRPr="002C2B23">
        <w:rPr>
          <w:bCs/>
          <w:sz w:val="24"/>
          <w:lang w:eastAsia="zh-CN"/>
        </w:rPr>
        <w:t>侧袋机制</w:t>
      </w:r>
      <w:proofErr w:type="gramEnd"/>
      <w:r w:rsidRPr="002C2B23">
        <w:rPr>
          <w:bCs/>
          <w:sz w:val="24"/>
          <w:lang w:eastAsia="zh-CN"/>
        </w:rPr>
        <w:t>期间的收益分配</w:t>
      </w:r>
    </w:p>
    <w:p w14:paraId="221A444D" w14:textId="77777777" w:rsidR="005039DD" w:rsidRPr="002C2B23" w:rsidRDefault="0040620F">
      <w:pPr>
        <w:spacing w:line="360" w:lineRule="auto"/>
        <w:ind w:firstLine="540"/>
        <w:rPr>
          <w:bCs/>
          <w:sz w:val="24"/>
          <w:lang w:eastAsia="zh-CN"/>
        </w:rPr>
        <w:sectPr w:rsidR="005039DD" w:rsidRPr="002C2B23">
          <w:pgSz w:w="12240" w:h="15840"/>
          <w:pgMar w:top="1440" w:right="1800" w:bottom="1440" w:left="1800" w:header="720" w:footer="720" w:gutter="0"/>
          <w:cols w:space="720"/>
          <w:docGrid w:linePitch="312"/>
        </w:sectPr>
      </w:pPr>
      <w:r w:rsidRPr="002C2B23">
        <w:rPr>
          <w:bCs/>
          <w:sz w:val="24"/>
          <w:lang w:eastAsia="zh-CN"/>
        </w:rPr>
        <w:t>本基金实施</w:t>
      </w:r>
      <w:proofErr w:type="gramStart"/>
      <w:r w:rsidRPr="002C2B23">
        <w:rPr>
          <w:bCs/>
          <w:sz w:val="24"/>
          <w:lang w:eastAsia="zh-CN"/>
        </w:rPr>
        <w:t>侧袋机制</w:t>
      </w:r>
      <w:proofErr w:type="gramEnd"/>
      <w:r w:rsidRPr="002C2B23">
        <w:rPr>
          <w:bCs/>
          <w:sz w:val="24"/>
          <w:lang w:eastAsia="zh-CN"/>
        </w:rPr>
        <w:t>的，</w:t>
      </w:r>
      <w:proofErr w:type="gramStart"/>
      <w:r w:rsidRPr="002C2B23">
        <w:rPr>
          <w:bCs/>
          <w:sz w:val="24"/>
          <w:lang w:eastAsia="zh-CN"/>
        </w:rPr>
        <w:t>侧袋账户</w:t>
      </w:r>
      <w:proofErr w:type="gramEnd"/>
      <w:r w:rsidRPr="002C2B23">
        <w:rPr>
          <w:bCs/>
          <w:sz w:val="24"/>
          <w:lang w:eastAsia="zh-CN"/>
        </w:rPr>
        <w:t>不进行收益分配，详见招募说明书的规定。</w:t>
      </w:r>
    </w:p>
    <w:p w14:paraId="64BB1077" w14:textId="77777777" w:rsidR="005039DD" w:rsidRPr="002C2B23" w:rsidRDefault="0040620F">
      <w:pPr>
        <w:pStyle w:val="112"/>
        <w:spacing w:before="0" w:after="0"/>
        <w:jc w:val="center"/>
        <w:rPr>
          <w:rFonts w:ascii="Times New Roman"/>
          <w:sz w:val="30"/>
          <w:lang w:eastAsia="zh-CN"/>
        </w:rPr>
      </w:pPr>
      <w:bookmarkStart w:id="379" w:name="_Toc93226150"/>
      <w:bookmarkStart w:id="380" w:name="_Toc92662708"/>
      <w:bookmarkStart w:id="381" w:name="_Toc10894"/>
      <w:bookmarkStart w:id="382" w:name="_Toc109141377"/>
      <w:bookmarkStart w:id="383" w:name="_Toc18007"/>
      <w:bookmarkStart w:id="384" w:name="_Toc29695"/>
      <w:bookmarkStart w:id="385" w:name="_Toc28961"/>
      <w:bookmarkStart w:id="386" w:name="_Toc17499"/>
      <w:bookmarkStart w:id="387" w:name="_Toc141703897"/>
      <w:bookmarkStart w:id="388" w:name="_Toc23859"/>
      <w:bookmarkStart w:id="389" w:name="_Toc128310500"/>
      <w:bookmarkStart w:id="390" w:name="_Toc31736"/>
      <w:bookmarkStart w:id="391" w:name="_Toc13255"/>
      <w:bookmarkStart w:id="392" w:name="_Toc18747"/>
      <w:bookmarkStart w:id="393" w:name="_Toc139991747"/>
      <w:bookmarkStart w:id="394" w:name="_Toc1043"/>
      <w:bookmarkStart w:id="395" w:name="_Toc21206"/>
      <w:r w:rsidRPr="002C2B23">
        <w:rPr>
          <w:rFonts w:ascii="Times New Roman"/>
          <w:sz w:val="30"/>
          <w:lang w:eastAsia="zh-CN"/>
        </w:rPr>
        <w:t>第十七部分</w:t>
      </w:r>
      <w:r w:rsidRPr="002C2B23">
        <w:rPr>
          <w:rFonts w:ascii="Times New Roman"/>
          <w:sz w:val="30"/>
          <w:lang w:eastAsia="zh-CN"/>
        </w:rPr>
        <w:t xml:space="preserve">  </w:t>
      </w:r>
      <w:r w:rsidRPr="002C2B23">
        <w:rPr>
          <w:rFonts w:ascii="Times New Roman"/>
          <w:sz w:val="30"/>
          <w:lang w:eastAsia="zh-CN"/>
        </w:rPr>
        <w:t>基金</w:t>
      </w:r>
      <w:bookmarkEnd w:id="379"/>
      <w:bookmarkEnd w:id="380"/>
      <w:r w:rsidRPr="002C2B23">
        <w:rPr>
          <w:rFonts w:ascii="Times New Roman"/>
          <w:sz w:val="30"/>
          <w:lang w:eastAsia="zh-CN"/>
        </w:rPr>
        <w:t>的会计与审计</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14:paraId="7773A4E8" w14:textId="77777777" w:rsidR="005039DD" w:rsidRPr="002C2B23" w:rsidRDefault="005039DD">
      <w:pPr>
        <w:spacing w:line="360" w:lineRule="auto"/>
        <w:ind w:firstLine="480"/>
        <w:rPr>
          <w:bCs/>
          <w:sz w:val="24"/>
          <w:lang w:eastAsia="zh-CN"/>
        </w:rPr>
      </w:pPr>
    </w:p>
    <w:p w14:paraId="2A8A45E7" w14:textId="77777777" w:rsidR="005039DD" w:rsidRPr="002C2B23" w:rsidRDefault="0040620F">
      <w:pPr>
        <w:spacing w:line="360" w:lineRule="auto"/>
        <w:ind w:firstLine="480"/>
        <w:rPr>
          <w:bCs/>
          <w:sz w:val="24"/>
          <w:lang w:eastAsia="zh-CN"/>
        </w:rPr>
      </w:pPr>
      <w:r w:rsidRPr="002C2B23">
        <w:rPr>
          <w:bCs/>
          <w:sz w:val="24"/>
          <w:lang w:eastAsia="zh-CN"/>
        </w:rPr>
        <w:t>一、基金会计政策</w:t>
      </w:r>
    </w:p>
    <w:p w14:paraId="15A87EDF"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、基金管理人为本基金的基金会计责任方；</w:t>
      </w:r>
    </w:p>
    <w:p w14:paraId="7C17DD37"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、基金的会计年度为公历年度的</w:t>
      </w:r>
      <w:r w:rsidRPr="002C2B23">
        <w:rPr>
          <w:bCs/>
          <w:sz w:val="24"/>
          <w:lang w:eastAsia="zh-CN"/>
        </w:rPr>
        <w:t>1</w:t>
      </w:r>
      <w:r w:rsidRPr="002C2B23">
        <w:rPr>
          <w:bCs/>
          <w:sz w:val="24"/>
          <w:lang w:eastAsia="zh-CN"/>
        </w:rPr>
        <w:t>月</w:t>
      </w:r>
      <w:r w:rsidRPr="002C2B23">
        <w:rPr>
          <w:bCs/>
          <w:sz w:val="24"/>
          <w:lang w:eastAsia="zh-CN"/>
        </w:rPr>
        <w:t>1</w:t>
      </w:r>
      <w:r w:rsidRPr="002C2B23">
        <w:rPr>
          <w:bCs/>
          <w:sz w:val="24"/>
          <w:lang w:eastAsia="zh-CN"/>
        </w:rPr>
        <w:t>日至</w:t>
      </w:r>
      <w:r w:rsidRPr="002C2B23">
        <w:rPr>
          <w:bCs/>
          <w:sz w:val="24"/>
          <w:lang w:eastAsia="zh-CN"/>
        </w:rPr>
        <w:t>12</w:t>
      </w:r>
      <w:r w:rsidRPr="002C2B23">
        <w:rPr>
          <w:bCs/>
          <w:sz w:val="24"/>
          <w:lang w:eastAsia="zh-CN"/>
        </w:rPr>
        <w:t>月</w:t>
      </w:r>
      <w:r w:rsidRPr="002C2B23">
        <w:rPr>
          <w:bCs/>
          <w:sz w:val="24"/>
          <w:lang w:eastAsia="zh-CN"/>
        </w:rPr>
        <w:t>31</w:t>
      </w:r>
      <w:r w:rsidRPr="002C2B23">
        <w:rPr>
          <w:bCs/>
          <w:sz w:val="24"/>
          <w:lang w:eastAsia="zh-CN"/>
        </w:rPr>
        <w:t>日；基金首次募集的会计年度按如下原则：如果《基金合同》生效少于</w:t>
      </w:r>
      <w:r w:rsidRPr="002C2B23">
        <w:rPr>
          <w:bCs/>
          <w:sz w:val="24"/>
          <w:lang w:eastAsia="zh-CN"/>
        </w:rPr>
        <w:t>2</w:t>
      </w:r>
      <w:r w:rsidRPr="002C2B23">
        <w:rPr>
          <w:bCs/>
          <w:sz w:val="24"/>
          <w:lang w:eastAsia="zh-CN"/>
        </w:rPr>
        <w:t>个月，可以并入下一个会计年度披露；</w:t>
      </w:r>
    </w:p>
    <w:p w14:paraId="3A8E8DA1"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、基金核算以人民币为记账本位币，以人民币元为记账单位；</w:t>
      </w:r>
    </w:p>
    <w:p w14:paraId="09DC1CB4" w14:textId="77777777" w:rsidR="005039DD" w:rsidRPr="002C2B23" w:rsidRDefault="0040620F">
      <w:pPr>
        <w:spacing w:line="360" w:lineRule="auto"/>
        <w:ind w:firstLine="480"/>
        <w:rPr>
          <w:bCs/>
          <w:sz w:val="24"/>
          <w:lang w:eastAsia="zh-CN"/>
        </w:rPr>
      </w:pPr>
      <w:r w:rsidRPr="002C2B23">
        <w:rPr>
          <w:bCs/>
          <w:sz w:val="24"/>
          <w:lang w:eastAsia="zh-CN"/>
        </w:rPr>
        <w:t>4</w:t>
      </w:r>
      <w:r w:rsidRPr="002C2B23">
        <w:rPr>
          <w:bCs/>
          <w:sz w:val="24"/>
          <w:lang w:eastAsia="zh-CN"/>
        </w:rPr>
        <w:t>、会计制度执行国家有关会计制度；</w:t>
      </w:r>
    </w:p>
    <w:p w14:paraId="5C45D63E" w14:textId="77777777" w:rsidR="005039DD" w:rsidRPr="002C2B23" w:rsidRDefault="0040620F">
      <w:pPr>
        <w:spacing w:line="360" w:lineRule="auto"/>
        <w:ind w:firstLine="480"/>
        <w:rPr>
          <w:bCs/>
          <w:sz w:val="24"/>
          <w:lang w:eastAsia="zh-CN"/>
        </w:rPr>
      </w:pPr>
      <w:r w:rsidRPr="002C2B23">
        <w:rPr>
          <w:bCs/>
          <w:sz w:val="24"/>
          <w:lang w:eastAsia="zh-CN"/>
        </w:rPr>
        <w:t>5</w:t>
      </w:r>
      <w:r w:rsidRPr="002C2B23">
        <w:rPr>
          <w:bCs/>
          <w:sz w:val="24"/>
          <w:lang w:eastAsia="zh-CN"/>
        </w:rPr>
        <w:t>、本基金独立建账、独立核算；</w:t>
      </w:r>
    </w:p>
    <w:p w14:paraId="7E38F2D8" w14:textId="77777777" w:rsidR="005039DD" w:rsidRPr="002C2B23" w:rsidRDefault="0040620F">
      <w:pPr>
        <w:spacing w:line="360" w:lineRule="auto"/>
        <w:ind w:firstLine="480"/>
        <w:rPr>
          <w:bCs/>
          <w:sz w:val="24"/>
          <w:lang w:eastAsia="zh-CN"/>
        </w:rPr>
      </w:pPr>
      <w:r w:rsidRPr="002C2B23">
        <w:rPr>
          <w:bCs/>
          <w:sz w:val="24"/>
          <w:lang w:eastAsia="zh-CN"/>
        </w:rPr>
        <w:t>6</w:t>
      </w:r>
      <w:r w:rsidRPr="002C2B23">
        <w:rPr>
          <w:bCs/>
          <w:sz w:val="24"/>
          <w:lang w:eastAsia="zh-CN"/>
        </w:rPr>
        <w:t>、基金管理人及基金托管人各自保留完整的会计账目、凭证并进行日常的会计核算，按照有关规定编制基金会计报表；</w:t>
      </w:r>
    </w:p>
    <w:p w14:paraId="69C93F01" w14:textId="77777777" w:rsidR="005039DD" w:rsidRPr="002C2B23" w:rsidRDefault="0040620F">
      <w:pPr>
        <w:spacing w:line="360" w:lineRule="auto"/>
        <w:ind w:firstLine="480"/>
        <w:rPr>
          <w:bCs/>
          <w:sz w:val="24"/>
          <w:lang w:eastAsia="zh-CN"/>
        </w:rPr>
      </w:pPr>
      <w:r w:rsidRPr="002C2B23">
        <w:rPr>
          <w:bCs/>
          <w:sz w:val="24"/>
          <w:lang w:eastAsia="zh-CN"/>
        </w:rPr>
        <w:t>7</w:t>
      </w:r>
      <w:r w:rsidRPr="002C2B23">
        <w:rPr>
          <w:bCs/>
          <w:sz w:val="24"/>
          <w:lang w:eastAsia="zh-CN"/>
        </w:rPr>
        <w:t>、基金托管人每月与基金管理人就基金的会计核算、报表编制等进行核对并以书面方式确认。</w:t>
      </w:r>
    </w:p>
    <w:p w14:paraId="6882F0FD" w14:textId="77777777" w:rsidR="005039DD" w:rsidRPr="002C2B23" w:rsidRDefault="005039DD">
      <w:pPr>
        <w:spacing w:line="360" w:lineRule="auto"/>
        <w:ind w:firstLine="480"/>
        <w:rPr>
          <w:bCs/>
          <w:sz w:val="24"/>
          <w:lang w:eastAsia="zh-CN"/>
        </w:rPr>
      </w:pPr>
    </w:p>
    <w:p w14:paraId="0263FBC5" w14:textId="77777777" w:rsidR="005039DD" w:rsidRPr="002C2B23" w:rsidRDefault="0040620F">
      <w:pPr>
        <w:spacing w:line="360" w:lineRule="auto"/>
        <w:ind w:firstLine="480"/>
        <w:rPr>
          <w:bCs/>
          <w:sz w:val="24"/>
          <w:lang w:eastAsia="zh-CN"/>
        </w:rPr>
      </w:pPr>
      <w:r w:rsidRPr="002C2B23">
        <w:rPr>
          <w:bCs/>
          <w:sz w:val="24"/>
          <w:lang w:eastAsia="zh-CN"/>
        </w:rPr>
        <w:t>二、基金的年度审计</w:t>
      </w:r>
    </w:p>
    <w:p w14:paraId="50BE7095"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、基金管理人聘请与基金管理人、基金托管人相互独立的</w:t>
      </w:r>
      <w:bookmarkStart w:id="396" w:name="_Hlk36118969"/>
      <w:r w:rsidRPr="002C2B23">
        <w:rPr>
          <w:bCs/>
          <w:sz w:val="24"/>
          <w:lang w:eastAsia="zh-CN"/>
        </w:rPr>
        <w:t>符合《证券法》规定的</w:t>
      </w:r>
      <w:bookmarkEnd w:id="396"/>
      <w:r w:rsidRPr="002C2B23">
        <w:rPr>
          <w:bCs/>
          <w:sz w:val="24"/>
          <w:lang w:eastAsia="zh-CN"/>
        </w:rPr>
        <w:t>会计师事务所及其注册会计师对本基金的年度财务报表进行审计。</w:t>
      </w:r>
    </w:p>
    <w:p w14:paraId="34F1F0EE"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、会计师事务所更换经办注册会计师，应事先征得基金管理人同意。</w:t>
      </w:r>
    </w:p>
    <w:p w14:paraId="40B49B0D"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w:t>
      </w:r>
      <w:bookmarkStart w:id="397" w:name="_Hlt4221115"/>
      <w:bookmarkEnd w:id="397"/>
      <w:r w:rsidRPr="002C2B23">
        <w:rPr>
          <w:bCs/>
          <w:sz w:val="24"/>
          <w:lang w:eastAsia="zh-CN"/>
        </w:rPr>
        <w:t>基金管理人认为有充足理由更换会计师事务所，须通报基金托管人。更换会计师事务所需按《信息披露办法》的有关规定在规定媒介公告。</w:t>
      </w:r>
    </w:p>
    <w:p w14:paraId="269254C6" w14:textId="77777777" w:rsidR="005039DD" w:rsidRPr="002C2B23" w:rsidRDefault="005039DD">
      <w:pPr>
        <w:spacing w:line="360" w:lineRule="auto"/>
        <w:ind w:firstLine="480"/>
        <w:rPr>
          <w:bCs/>
          <w:sz w:val="24"/>
          <w:lang w:eastAsia="zh-CN"/>
        </w:rPr>
        <w:sectPr w:rsidR="005039DD" w:rsidRPr="002C2B23">
          <w:footerReference w:type="default" r:id="rId26"/>
          <w:pgSz w:w="12240" w:h="15840"/>
          <w:pgMar w:top="1440" w:right="1800" w:bottom="1440" w:left="1800" w:header="720" w:footer="720" w:gutter="0"/>
          <w:cols w:space="720"/>
          <w:docGrid w:linePitch="312"/>
        </w:sectPr>
      </w:pPr>
    </w:p>
    <w:p w14:paraId="56CAF935" w14:textId="77777777" w:rsidR="005039DD" w:rsidRPr="002C2B23" w:rsidRDefault="0040620F">
      <w:pPr>
        <w:pStyle w:val="112"/>
        <w:spacing w:before="0" w:after="0"/>
        <w:jc w:val="center"/>
        <w:rPr>
          <w:rFonts w:ascii="Times New Roman"/>
          <w:sz w:val="30"/>
          <w:lang w:eastAsia="zh-CN"/>
        </w:rPr>
      </w:pPr>
      <w:bookmarkStart w:id="398" w:name="_Toc93226151"/>
      <w:bookmarkStart w:id="399" w:name="_Toc92662709"/>
      <w:bookmarkStart w:id="400" w:name="_Toc193"/>
      <w:bookmarkStart w:id="401" w:name="_Toc12028"/>
      <w:bookmarkStart w:id="402" w:name="_Toc31866"/>
      <w:bookmarkStart w:id="403" w:name="_Toc1421"/>
      <w:bookmarkStart w:id="404" w:name="_Toc11049"/>
      <w:bookmarkStart w:id="405" w:name="_Toc109141378"/>
      <w:bookmarkStart w:id="406" w:name="_Toc1173"/>
      <w:bookmarkStart w:id="407" w:name="_Toc29289"/>
      <w:bookmarkStart w:id="408" w:name="_Toc8512"/>
      <w:bookmarkStart w:id="409" w:name="_Toc21351"/>
      <w:bookmarkStart w:id="410" w:name="_Toc3056"/>
      <w:bookmarkStart w:id="411" w:name="_Toc141703898"/>
      <w:bookmarkStart w:id="412" w:name="_Toc128310501"/>
      <w:bookmarkStart w:id="413" w:name="_Toc139991748"/>
      <w:bookmarkStart w:id="414" w:name="_Toc11802"/>
      <w:r w:rsidRPr="002C2B23">
        <w:rPr>
          <w:rFonts w:ascii="Times New Roman"/>
          <w:sz w:val="30"/>
          <w:lang w:eastAsia="zh-CN"/>
        </w:rPr>
        <w:t>第十八部分</w:t>
      </w:r>
      <w:r w:rsidRPr="002C2B23">
        <w:rPr>
          <w:rFonts w:ascii="Times New Roman"/>
          <w:sz w:val="30"/>
          <w:lang w:eastAsia="zh-CN"/>
        </w:rPr>
        <w:t xml:space="preserve">  </w:t>
      </w:r>
      <w:r w:rsidRPr="002C2B23">
        <w:rPr>
          <w:rFonts w:ascii="Times New Roman"/>
          <w:sz w:val="30"/>
          <w:lang w:eastAsia="zh-CN"/>
        </w:rPr>
        <w:t>基金</w:t>
      </w:r>
      <w:bookmarkEnd w:id="398"/>
      <w:bookmarkEnd w:id="399"/>
      <w:r w:rsidRPr="002C2B23">
        <w:rPr>
          <w:rFonts w:ascii="Times New Roman"/>
          <w:sz w:val="30"/>
          <w:lang w:eastAsia="zh-CN"/>
        </w:rPr>
        <w:t>的信息披露</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14:paraId="43C758D2" w14:textId="77777777" w:rsidR="005039DD" w:rsidRPr="002C2B23" w:rsidRDefault="005039DD">
      <w:pPr>
        <w:spacing w:line="360" w:lineRule="auto"/>
        <w:ind w:firstLine="480"/>
        <w:rPr>
          <w:bCs/>
          <w:sz w:val="24"/>
          <w:lang w:eastAsia="zh-CN"/>
        </w:rPr>
      </w:pPr>
    </w:p>
    <w:p w14:paraId="51A73FB6" w14:textId="77777777" w:rsidR="005039DD" w:rsidRPr="002C2B23" w:rsidRDefault="0040620F">
      <w:pPr>
        <w:pStyle w:val="aff2"/>
        <w:numPr>
          <w:ilvl w:val="0"/>
          <w:numId w:val="3"/>
        </w:numPr>
        <w:spacing w:line="360" w:lineRule="auto"/>
        <w:ind w:left="0" w:firstLine="426"/>
        <w:rPr>
          <w:bCs/>
          <w:sz w:val="24"/>
          <w:lang w:eastAsia="zh-CN"/>
        </w:rPr>
      </w:pPr>
      <w:r w:rsidRPr="002C2B23">
        <w:rPr>
          <w:bCs/>
          <w:sz w:val="24"/>
          <w:lang w:eastAsia="zh-CN"/>
        </w:rPr>
        <w:t>本基金的信息披露应符合《基金法》《运作办法》《信息披露办法》《流动性风险管理规定》《基金合同》及其他有关规定。相关法律法规关于信息披露的规定发生变化时，本基金从其最新规定。</w:t>
      </w:r>
    </w:p>
    <w:p w14:paraId="184417A4" w14:textId="77777777" w:rsidR="005039DD" w:rsidRPr="002C2B23" w:rsidRDefault="005039DD">
      <w:pPr>
        <w:spacing w:line="360" w:lineRule="auto"/>
        <w:rPr>
          <w:bCs/>
          <w:sz w:val="24"/>
          <w:lang w:eastAsia="zh-CN"/>
        </w:rPr>
      </w:pPr>
    </w:p>
    <w:p w14:paraId="074B9EFC" w14:textId="77777777" w:rsidR="005039DD" w:rsidRPr="002C2B23" w:rsidRDefault="0040620F">
      <w:pPr>
        <w:spacing w:line="360" w:lineRule="auto"/>
        <w:ind w:firstLine="480"/>
        <w:rPr>
          <w:bCs/>
          <w:sz w:val="24"/>
          <w:lang w:eastAsia="zh-CN"/>
        </w:rPr>
      </w:pPr>
      <w:r w:rsidRPr="002C2B23">
        <w:rPr>
          <w:bCs/>
          <w:sz w:val="24"/>
          <w:lang w:eastAsia="zh-CN"/>
        </w:rPr>
        <w:t>二、信息披露义务人</w:t>
      </w:r>
    </w:p>
    <w:p w14:paraId="7B1EEA0F" w14:textId="77777777" w:rsidR="005039DD" w:rsidRPr="002C2B23" w:rsidRDefault="0040620F">
      <w:pPr>
        <w:spacing w:line="360" w:lineRule="auto"/>
        <w:ind w:firstLine="480"/>
        <w:rPr>
          <w:bCs/>
          <w:sz w:val="24"/>
          <w:lang w:eastAsia="zh-CN"/>
        </w:rPr>
      </w:pPr>
      <w:r w:rsidRPr="002C2B23">
        <w:rPr>
          <w:bCs/>
          <w:sz w:val="24"/>
          <w:lang w:eastAsia="zh-CN"/>
        </w:rPr>
        <w:t>本基金信息披露义务人包括基金管理人、基金托管人、召集基金份额持有人大会的基金份额持有人等法律法规和中国证监会规定的自然人、法人和非法人组织。</w:t>
      </w:r>
    </w:p>
    <w:p w14:paraId="6C062A59" w14:textId="77777777" w:rsidR="005039DD" w:rsidRPr="002C2B23" w:rsidRDefault="0040620F">
      <w:pPr>
        <w:spacing w:line="360" w:lineRule="auto"/>
        <w:ind w:firstLine="480"/>
        <w:rPr>
          <w:bCs/>
          <w:sz w:val="24"/>
          <w:lang w:eastAsia="zh-CN"/>
        </w:rPr>
      </w:pPr>
      <w:r w:rsidRPr="002C2B23">
        <w:rPr>
          <w:bCs/>
          <w:sz w:val="24"/>
          <w:lang w:eastAsia="zh-CN"/>
        </w:rPr>
        <w:t>本基金信息披露义务人以保护基金份额持有人利益为根本出发点，按照法律法规和中国证监会的规定披露基金信息，并保证所披露信息的真实性、准确性、完整性、及时性、简明性和易得性。</w:t>
      </w:r>
    </w:p>
    <w:p w14:paraId="43937D8F" w14:textId="77777777" w:rsidR="005039DD" w:rsidRPr="002C2B23" w:rsidRDefault="0040620F">
      <w:pPr>
        <w:spacing w:line="360" w:lineRule="auto"/>
        <w:ind w:firstLine="480"/>
        <w:rPr>
          <w:bCs/>
          <w:sz w:val="24"/>
          <w:lang w:eastAsia="zh-CN"/>
        </w:rPr>
      </w:pPr>
      <w:r w:rsidRPr="002C2B23">
        <w:rPr>
          <w:bCs/>
          <w:sz w:val="24"/>
          <w:lang w:eastAsia="zh-CN"/>
        </w:rPr>
        <w:t>本基金信息披露义务人应当在中国证监会规定时间内，将应予披露的基金信息通过</w:t>
      </w:r>
      <w:bookmarkStart w:id="415" w:name="_Hlk36119483"/>
      <w:r w:rsidRPr="002C2B23">
        <w:rPr>
          <w:bCs/>
          <w:sz w:val="24"/>
          <w:lang w:eastAsia="zh-CN"/>
        </w:rPr>
        <w:t>符合</w:t>
      </w:r>
      <w:bookmarkEnd w:id="415"/>
      <w:r w:rsidRPr="002C2B23">
        <w:rPr>
          <w:bCs/>
          <w:sz w:val="24"/>
          <w:lang w:eastAsia="zh-CN"/>
        </w:rPr>
        <w:t>中国证监会</w:t>
      </w:r>
      <w:bookmarkStart w:id="416" w:name="_Hlk36119489"/>
      <w:r w:rsidRPr="002C2B23">
        <w:rPr>
          <w:bCs/>
          <w:sz w:val="24"/>
          <w:lang w:eastAsia="zh-CN"/>
        </w:rPr>
        <w:t>规定条件</w:t>
      </w:r>
      <w:bookmarkEnd w:id="416"/>
      <w:r w:rsidRPr="002C2B23">
        <w:rPr>
          <w:bCs/>
          <w:sz w:val="24"/>
          <w:lang w:eastAsia="zh-CN"/>
        </w:rPr>
        <w:t>的全国性报刊（以下简称</w:t>
      </w:r>
      <w:r w:rsidRPr="002C2B23">
        <w:rPr>
          <w:rFonts w:hint="eastAsia"/>
          <w:bCs/>
          <w:sz w:val="24"/>
          <w:lang w:eastAsia="zh-CN"/>
        </w:rPr>
        <w:t>“</w:t>
      </w:r>
      <w:r w:rsidRPr="002C2B23">
        <w:rPr>
          <w:bCs/>
          <w:sz w:val="24"/>
          <w:lang w:eastAsia="zh-CN"/>
        </w:rPr>
        <w:t>规定报刊</w:t>
      </w:r>
      <w:r w:rsidRPr="002C2B23">
        <w:rPr>
          <w:rFonts w:hint="eastAsia"/>
          <w:bCs/>
          <w:sz w:val="24"/>
          <w:lang w:eastAsia="zh-CN"/>
        </w:rPr>
        <w:t>”</w:t>
      </w:r>
      <w:r w:rsidRPr="002C2B23">
        <w:rPr>
          <w:bCs/>
          <w:sz w:val="24"/>
          <w:lang w:eastAsia="zh-CN"/>
        </w:rPr>
        <w:t>）和</w:t>
      </w:r>
      <w:bookmarkStart w:id="417" w:name="_Hlk36119495"/>
      <w:r w:rsidRPr="002C2B23">
        <w:rPr>
          <w:bCs/>
          <w:sz w:val="24"/>
          <w:lang w:eastAsia="zh-CN"/>
        </w:rPr>
        <w:t>《信息披露办法》规定的</w:t>
      </w:r>
      <w:bookmarkEnd w:id="417"/>
      <w:r w:rsidRPr="002C2B23">
        <w:rPr>
          <w:bCs/>
          <w:sz w:val="24"/>
          <w:lang w:eastAsia="zh-CN"/>
        </w:rPr>
        <w:t>互联网网站（以下简称</w:t>
      </w:r>
      <w:r w:rsidRPr="002C2B23">
        <w:rPr>
          <w:rFonts w:hint="eastAsia"/>
          <w:bCs/>
          <w:sz w:val="24"/>
          <w:lang w:eastAsia="zh-CN"/>
        </w:rPr>
        <w:t>“</w:t>
      </w:r>
      <w:r w:rsidRPr="002C2B23">
        <w:rPr>
          <w:bCs/>
          <w:sz w:val="24"/>
          <w:lang w:eastAsia="zh-CN"/>
        </w:rPr>
        <w:t>规定网站</w:t>
      </w:r>
      <w:r w:rsidRPr="002C2B23">
        <w:rPr>
          <w:rFonts w:hint="eastAsia"/>
          <w:bCs/>
          <w:sz w:val="24"/>
          <w:lang w:eastAsia="zh-CN"/>
        </w:rPr>
        <w:t>”</w:t>
      </w:r>
      <w:r w:rsidRPr="002C2B23">
        <w:rPr>
          <w:bCs/>
          <w:sz w:val="24"/>
          <w:lang w:eastAsia="zh-CN"/>
        </w:rPr>
        <w:t>，包括基金管理人网站、基金托管人网站、中国证监会基金电子披露网站）等媒介披露，并保证基金投资者能够按照《基金合同》约定的时间和方式查阅或者复制公开披露的信息资料。</w:t>
      </w:r>
    </w:p>
    <w:p w14:paraId="0C44C014" w14:textId="77777777" w:rsidR="005039DD" w:rsidRPr="002C2B23" w:rsidRDefault="005039DD">
      <w:pPr>
        <w:spacing w:line="360" w:lineRule="auto"/>
        <w:ind w:firstLine="480"/>
        <w:rPr>
          <w:bCs/>
          <w:sz w:val="24"/>
          <w:lang w:eastAsia="zh-CN"/>
        </w:rPr>
      </w:pPr>
    </w:p>
    <w:p w14:paraId="44896CAC" w14:textId="77777777" w:rsidR="005039DD" w:rsidRPr="002C2B23" w:rsidRDefault="0040620F">
      <w:pPr>
        <w:spacing w:line="360" w:lineRule="auto"/>
        <w:ind w:firstLine="480"/>
        <w:rPr>
          <w:bCs/>
          <w:sz w:val="24"/>
          <w:lang w:eastAsia="zh-CN"/>
        </w:rPr>
      </w:pPr>
      <w:r w:rsidRPr="002C2B23">
        <w:rPr>
          <w:bCs/>
          <w:sz w:val="24"/>
          <w:lang w:eastAsia="zh-CN"/>
        </w:rPr>
        <w:t>三、本基金信息披露义务人承诺公开披露的基金信息，不得有下列行为：</w:t>
      </w:r>
    </w:p>
    <w:p w14:paraId="671ADF2B"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、虚假记载、误导性陈述或者重大遗漏；</w:t>
      </w:r>
    </w:p>
    <w:p w14:paraId="0CF068EA"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、对证券投资业绩进行预测；</w:t>
      </w:r>
    </w:p>
    <w:p w14:paraId="7DF588E2"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、违规承诺收益或者承担损失；</w:t>
      </w:r>
    </w:p>
    <w:p w14:paraId="4F9148ED" w14:textId="77777777" w:rsidR="005039DD" w:rsidRPr="002C2B23" w:rsidRDefault="0040620F">
      <w:pPr>
        <w:spacing w:line="360" w:lineRule="auto"/>
        <w:ind w:firstLine="480"/>
        <w:rPr>
          <w:bCs/>
          <w:sz w:val="24"/>
          <w:lang w:eastAsia="zh-CN"/>
        </w:rPr>
      </w:pPr>
      <w:r w:rsidRPr="002C2B23">
        <w:rPr>
          <w:bCs/>
          <w:sz w:val="24"/>
          <w:lang w:eastAsia="zh-CN"/>
        </w:rPr>
        <w:t>4</w:t>
      </w:r>
      <w:r w:rsidRPr="002C2B23">
        <w:rPr>
          <w:bCs/>
          <w:sz w:val="24"/>
          <w:lang w:eastAsia="zh-CN"/>
        </w:rPr>
        <w:t>、诋毁其他基金管理人、基金托管人或者基金销售机构；</w:t>
      </w:r>
    </w:p>
    <w:p w14:paraId="13A78BA2" w14:textId="77777777" w:rsidR="005039DD" w:rsidRPr="002C2B23" w:rsidRDefault="0040620F">
      <w:pPr>
        <w:spacing w:line="360" w:lineRule="auto"/>
        <w:ind w:firstLine="480"/>
        <w:rPr>
          <w:bCs/>
          <w:sz w:val="24"/>
          <w:lang w:eastAsia="zh-CN"/>
        </w:rPr>
      </w:pPr>
      <w:r w:rsidRPr="002C2B23">
        <w:rPr>
          <w:bCs/>
          <w:sz w:val="24"/>
          <w:lang w:eastAsia="zh-CN"/>
        </w:rPr>
        <w:t>5</w:t>
      </w:r>
      <w:r w:rsidRPr="002C2B23">
        <w:rPr>
          <w:bCs/>
          <w:sz w:val="24"/>
          <w:lang w:eastAsia="zh-CN"/>
        </w:rPr>
        <w:t>、登载任何自然人、法人和非法人组织的祝贺性、恭维性或推荐性文字；</w:t>
      </w:r>
    </w:p>
    <w:p w14:paraId="1DA49008" w14:textId="77777777" w:rsidR="005039DD" w:rsidRPr="002C2B23" w:rsidRDefault="0040620F">
      <w:pPr>
        <w:spacing w:line="360" w:lineRule="auto"/>
        <w:ind w:firstLine="480"/>
        <w:rPr>
          <w:bCs/>
          <w:sz w:val="24"/>
          <w:lang w:eastAsia="zh-CN"/>
        </w:rPr>
      </w:pPr>
      <w:r w:rsidRPr="002C2B23">
        <w:rPr>
          <w:bCs/>
          <w:sz w:val="24"/>
          <w:lang w:eastAsia="zh-CN"/>
        </w:rPr>
        <w:t>6</w:t>
      </w:r>
      <w:r w:rsidRPr="002C2B23">
        <w:rPr>
          <w:bCs/>
          <w:sz w:val="24"/>
          <w:lang w:eastAsia="zh-CN"/>
        </w:rPr>
        <w:t>、中国证监会禁止的其他行为。</w:t>
      </w:r>
    </w:p>
    <w:p w14:paraId="4D365600" w14:textId="77777777" w:rsidR="005039DD" w:rsidRPr="002C2B23" w:rsidRDefault="005039DD">
      <w:pPr>
        <w:spacing w:line="360" w:lineRule="auto"/>
        <w:ind w:firstLine="480"/>
        <w:rPr>
          <w:bCs/>
          <w:sz w:val="24"/>
          <w:lang w:eastAsia="zh-CN"/>
        </w:rPr>
      </w:pPr>
    </w:p>
    <w:p w14:paraId="388E28B3" w14:textId="77777777" w:rsidR="005039DD" w:rsidRPr="002C2B23" w:rsidRDefault="0040620F">
      <w:pPr>
        <w:spacing w:line="360" w:lineRule="auto"/>
        <w:ind w:firstLine="480"/>
        <w:rPr>
          <w:bCs/>
          <w:sz w:val="24"/>
          <w:lang w:eastAsia="zh-CN"/>
        </w:rPr>
      </w:pPr>
      <w:r w:rsidRPr="002C2B23">
        <w:rPr>
          <w:bCs/>
          <w:sz w:val="24"/>
          <w:lang w:eastAsia="zh-CN"/>
        </w:rPr>
        <w:t>四、本基金公开披露的信息应采用中文文本。如同时采用外文文本的，基金信息披露义务人应保证不同文本的内容一致。不同文本之间发生歧义的，以中文文本为准。</w:t>
      </w:r>
    </w:p>
    <w:p w14:paraId="40BC27AE" w14:textId="77777777" w:rsidR="005039DD" w:rsidRPr="002C2B23" w:rsidRDefault="0040620F">
      <w:pPr>
        <w:spacing w:line="360" w:lineRule="auto"/>
        <w:ind w:firstLine="480"/>
        <w:rPr>
          <w:bCs/>
          <w:sz w:val="24"/>
          <w:lang w:eastAsia="zh-CN"/>
        </w:rPr>
      </w:pPr>
      <w:r w:rsidRPr="002C2B23">
        <w:rPr>
          <w:bCs/>
          <w:sz w:val="24"/>
          <w:lang w:eastAsia="zh-CN"/>
        </w:rPr>
        <w:t>本基金公开披露的信息采用阿拉伯数字；除特别说明外，货币单位为人民币元。</w:t>
      </w:r>
    </w:p>
    <w:p w14:paraId="0D4B1116" w14:textId="77777777" w:rsidR="005039DD" w:rsidRPr="002C2B23" w:rsidRDefault="005039DD">
      <w:pPr>
        <w:spacing w:line="360" w:lineRule="auto"/>
        <w:ind w:firstLine="480"/>
        <w:rPr>
          <w:bCs/>
          <w:sz w:val="24"/>
          <w:lang w:eastAsia="zh-CN"/>
        </w:rPr>
      </w:pPr>
    </w:p>
    <w:p w14:paraId="13DB286D" w14:textId="77777777" w:rsidR="005039DD" w:rsidRPr="002C2B23" w:rsidRDefault="0040620F">
      <w:pPr>
        <w:spacing w:line="360" w:lineRule="auto"/>
        <w:ind w:firstLine="480"/>
        <w:rPr>
          <w:bCs/>
          <w:sz w:val="24"/>
          <w:lang w:eastAsia="zh-CN"/>
        </w:rPr>
      </w:pPr>
      <w:r w:rsidRPr="002C2B23">
        <w:rPr>
          <w:bCs/>
          <w:sz w:val="24"/>
          <w:lang w:eastAsia="zh-CN"/>
        </w:rPr>
        <w:t>五、公开披露的基金信息</w:t>
      </w:r>
    </w:p>
    <w:p w14:paraId="59AA903F" w14:textId="77777777" w:rsidR="005039DD" w:rsidRPr="002C2B23" w:rsidRDefault="0040620F">
      <w:pPr>
        <w:spacing w:line="360" w:lineRule="auto"/>
        <w:ind w:firstLine="480"/>
        <w:rPr>
          <w:bCs/>
          <w:sz w:val="24"/>
          <w:lang w:eastAsia="zh-CN"/>
        </w:rPr>
      </w:pPr>
      <w:r w:rsidRPr="002C2B23">
        <w:rPr>
          <w:bCs/>
          <w:sz w:val="24"/>
          <w:lang w:eastAsia="zh-CN"/>
        </w:rPr>
        <w:t>公开披露的基金信息包括：</w:t>
      </w:r>
    </w:p>
    <w:p w14:paraId="7F6CB8FE" w14:textId="77777777" w:rsidR="005039DD" w:rsidRPr="002C2B23" w:rsidRDefault="0040620F">
      <w:pPr>
        <w:spacing w:line="360" w:lineRule="auto"/>
        <w:ind w:firstLine="480"/>
        <w:rPr>
          <w:bCs/>
          <w:sz w:val="24"/>
          <w:lang w:eastAsia="zh-CN"/>
        </w:rPr>
      </w:pPr>
      <w:r w:rsidRPr="002C2B23">
        <w:rPr>
          <w:bCs/>
          <w:sz w:val="24"/>
          <w:lang w:eastAsia="zh-CN"/>
        </w:rPr>
        <w:t>（一）基金招募说明书、基金产品资料概要、《基金合同》、基金托管协议</w:t>
      </w:r>
    </w:p>
    <w:p w14:paraId="0901EF00"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、《基金合同》是界定《基金合同》当事人的各项权利、义务关系，明确基金份额持有人大会召开的规则及具体程序，说明基金产品的特性等涉及基金投资者重大利益的事项的法律文件。</w:t>
      </w:r>
    </w:p>
    <w:p w14:paraId="2A3A76E4"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、基金招募说明书应当最大限度地披露影响基金投资者决策的全部事项，说明基金认购、申购和赎回安排、基金投资、基金产品特性、风险揭示、信息披露及基金份额持有人服务等内容。</w:t>
      </w:r>
    </w:p>
    <w:p w14:paraId="1FEFE2E5" w14:textId="77777777" w:rsidR="005039DD" w:rsidRPr="002C2B23" w:rsidRDefault="0040620F">
      <w:pPr>
        <w:spacing w:line="360" w:lineRule="auto"/>
        <w:ind w:firstLine="480"/>
        <w:rPr>
          <w:bCs/>
          <w:sz w:val="24"/>
          <w:lang w:eastAsia="zh-CN"/>
        </w:rPr>
      </w:pPr>
      <w:r w:rsidRPr="002C2B23">
        <w:rPr>
          <w:bCs/>
          <w:sz w:val="24"/>
          <w:lang w:eastAsia="zh-CN"/>
        </w:rPr>
        <w:t>基金产品资料概要是基金招募说明书的摘要文件，用于向投资者提供简明的基金概要信息。基金管理人应当依照法律法规和中国证监会的规定编制、披露与更新基金产品资料概要。</w:t>
      </w:r>
    </w:p>
    <w:p w14:paraId="50E02B67" w14:textId="77777777" w:rsidR="005039DD" w:rsidRPr="002C2B23" w:rsidRDefault="0040620F">
      <w:pPr>
        <w:spacing w:line="360" w:lineRule="auto"/>
        <w:ind w:firstLine="480"/>
        <w:rPr>
          <w:bCs/>
          <w:sz w:val="24"/>
          <w:lang w:eastAsia="zh-CN"/>
        </w:rPr>
      </w:pPr>
      <w:r w:rsidRPr="002C2B23">
        <w:rPr>
          <w:bCs/>
          <w:sz w:val="24"/>
          <w:lang w:eastAsia="zh-CN"/>
        </w:rPr>
        <w:t>基金合同生效后，基金招募说明书、基金产品资料概要的信息发生重大变更的，基金管理人应当在三个工作日内，更新基金招募说明书和基金产品资料概要，并登载在规定网站上，其中基金产品资料概要还应当登载在基金销售机构网站或营业网点。除此之外，基金招募说明书、基金产品资料概要其他信息发生变更的，基金管理人至少每年更新一次。</w:t>
      </w:r>
    </w:p>
    <w:p w14:paraId="42EE01CF" w14:textId="77777777" w:rsidR="005039DD" w:rsidRPr="002C2B23" w:rsidRDefault="0040620F">
      <w:pPr>
        <w:spacing w:line="360" w:lineRule="auto"/>
        <w:ind w:firstLine="480"/>
        <w:rPr>
          <w:bCs/>
          <w:sz w:val="24"/>
          <w:lang w:eastAsia="zh-CN"/>
        </w:rPr>
      </w:pPr>
      <w:r w:rsidRPr="002C2B23">
        <w:rPr>
          <w:bCs/>
          <w:sz w:val="24"/>
          <w:lang w:eastAsia="zh-CN"/>
        </w:rPr>
        <w:t>基金终止运作的，除基金合同另有约定外，基金管理人可以不再更新基金招募说明书和基金产品资料概要。</w:t>
      </w:r>
    </w:p>
    <w:p w14:paraId="3FC8318C"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、基金托管协议是界定基金托管人和基金管理人在基金财产保管及基金运作监督等活动中的权利、义务关系的法律文件。</w:t>
      </w:r>
    </w:p>
    <w:p w14:paraId="7E21AF68" w14:textId="77777777" w:rsidR="005039DD" w:rsidRPr="002C2B23" w:rsidRDefault="0040620F">
      <w:pPr>
        <w:spacing w:line="360" w:lineRule="auto"/>
        <w:ind w:firstLine="480"/>
        <w:rPr>
          <w:bCs/>
          <w:sz w:val="24"/>
          <w:lang w:eastAsia="zh-CN"/>
        </w:rPr>
      </w:pPr>
      <w:r w:rsidRPr="002C2B23">
        <w:rPr>
          <w:bCs/>
          <w:sz w:val="24"/>
          <w:lang w:eastAsia="zh-CN"/>
        </w:rPr>
        <w:t>基金募集申请经中国证监会注册后，基金管理人在基金份额发售的</w:t>
      </w:r>
      <w:r w:rsidRPr="002C2B23">
        <w:rPr>
          <w:bCs/>
          <w:sz w:val="24"/>
          <w:lang w:eastAsia="zh-CN"/>
        </w:rPr>
        <w:t>3</w:t>
      </w:r>
      <w:r w:rsidRPr="002C2B23">
        <w:rPr>
          <w:bCs/>
          <w:sz w:val="24"/>
          <w:lang w:eastAsia="zh-CN"/>
        </w:rPr>
        <w:t>日前，将基金份额发售公告、基金招募说明书提示性公告和基金合同提示性公告登载在规定报刊上，将基金份额发售公告、基金招募说明书、基金产品资料概要、基金合同和基金托管协议登载在规定网站上，其中基金产品资料概要还应当登载在基金销售机构网站或营业网点；基金托管人应当同时将《基金合同》、基金托管协议登载在规定网站上。</w:t>
      </w:r>
    </w:p>
    <w:p w14:paraId="6D532A08" w14:textId="77777777" w:rsidR="005039DD" w:rsidRPr="002C2B23" w:rsidRDefault="0040620F">
      <w:pPr>
        <w:spacing w:line="360" w:lineRule="auto"/>
        <w:ind w:firstLine="480"/>
        <w:rPr>
          <w:bCs/>
          <w:sz w:val="24"/>
          <w:lang w:eastAsia="zh-CN"/>
        </w:rPr>
      </w:pPr>
      <w:r w:rsidRPr="002C2B23">
        <w:rPr>
          <w:bCs/>
          <w:sz w:val="24"/>
          <w:lang w:eastAsia="zh-CN"/>
        </w:rPr>
        <w:t>（二）基金份额发售公告</w:t>
      </w:r>
    </w:p>
    <w:p w14:paraId="2A805B7C" w14:textId="77777777" w:rsidR="005039DD" w:rsidRPr="002C2B23" w:rsidRDefault="0040620F">
      <w:pPr>
        <w:spacing w:line="360" w:lineRule="auto"/>
        <w:ind w:firstLine="480"/>
        <w:rPr>
          <w:bCs/>
          <w:sz w:val="24"/>
          <w:lang w:eastAsia="zh-CN"/>
        </w:rPr>
      </w:pPr>
      <w:r w:rsidRPr="002C2B23">
        <w:rPr>
          <w:bCs/>
          <w:sz w:val="24"/>
          <w:lang w:eastAsia="zh-CN"/>
        </w:rPr>
        <w:t>基金管理人应当就基金份额发售的具体事宜编制基金份额发售公告。</w:t>
      </w:r>
    </w:p>
    <w:p w14:paraId="19427127" w14:textId="77777777" w:rsidR="005039DD" w:rsidRPr="002C2B23" w:rsidRDefault="0040620F">
      <w:pPr>
        <w:spacing w:line="360" w:lineRule="auto"/>
        <w:ind w:firstLine="480"/>
        <w:rPr>
          <w:bCs/>
          <w:sz w:val="24"/>
        </w:rPr>
      </w:pPr>
      <w:r w:rsidRPr="002C2B23">
        <w:rPr>
          <w:bCs/>
          <w:sz w:val="24"/>
        </w:rPr>
        <w:t>（三）《基金合同》生效公告</w:t>
      </w:r>
    </w:p>
    <w:p w14:paraId="24FB9520" w14:textId="77777777" w:rsidR="005039DD" w:rsidRPr="002C2B23" w:rsidRDefault="0040620F">
      <w:pPr>
        <w:spacing w:line="360" w:lineRule="auto"/>
        <w:ind w:firstLine="480"/>
        <w:rPr>
          <w:bCs/>
          <w:sz w:val="24"/>
          <w:lang w:eastAsia="zh-CN"/>
        </w:rPr>
      </w:pPr>
      <w:r w:rsidRPr="002C2B23">
        <w:rPr>
          <w:bCs/>
          <w:sz w:val="24"/>
          <w:lang w:eastAsia="zh-CN"/>
        </w:rPr>
        <w:t>基金管理人应当在收到中国证监会确认文件的次日在规定报刊和规定网站上登载《基金合同》生效公告。</w:t>
      </w:r>
    </w:p>
    <w:p w14:paraId="6294A9B1" w14:textId="77777777" w:rsidR="005039DD" w:rsidRPr="002C2B23" w:rsidRDefault="0040620F">
      <w:pPr>
        <w:spacing w:line="360" w:lineRule="auto"/>
        <w:ind w:firstLine="480"/>
        <w:rPr>
          <w:bCs/>
          <w:sz w:val="24"/>
          <w:lang w:eastAsia="zh-CN"/>
        </w:rPr>
      </w:pPr>
      <w:bookmarkStart w:id="418" w:name="_Hlk96415972"/>
      <w:r w:rsidRPr="002C2B23">
        <w:rPr>
          <w:bCs/>
          <w:sz w:val="24"/>
          <w:lang w:eastAsia="zh-CN"/>
        </w:rPr>
        <w:t>（四）基金净值信息</w:t>
      </w:r>
    </w:p>
    <w:p w14:paraId="7C3EC68F" w14:textId="77777777" w:rsidR="005039DD" w:rsidRPr="002C2B23" w:rsidRDefault="0040620F">
      <w:pPr>
        <w:spacing w:line="360" w:lineRule="auto"/>
        <w:ind w:firstLine="480"/>
        <w:rPr>
          <w:bCs/>
          <w:sz w:val="24"/>
          <w:lang w:eastAsia="zh-CN"/>
        </w:rPr>
      </w:pPr>
      <w:r w:rsidRPr="002C2B23">
        <w:rPr>
          <w:bCs/>
          <w:sz w:val="24"/>
          <w:lang w:eastAsia="zh-CN"/>
        </w:rPr>
        <w:t>《基金合同》生效后，在开始办理基金份额申购或者赎回前，基金管理人应当至少每周在规定网站公告一次各类基金份额净值和各类基金份额累计净值。</w:t>
      </w:r>
    </w:p>
    <w:p w14:paraId="0F54654C" w14:textId="77777777" w:rsidR="005039DD" w:rsidRPr="002C2B23" w:rsidRDefault="0040620F">
      <w:pPr>
        <w:spacing w:line="360" w:lineRule="auto"/>
        <w:ind w:firstLine="480"/>
        <w:rPr>
          <w:bCs/>
          <w:sz w:val="24"/>
          <w:lang w:eastAsia="zh-CN"/>
        </w:rPr>
      </w:pPr>
      <w:r w:rsidRPr="002C2B23">
        <w:rPr>
          <w:bCs/>
          <w:sz w:val="24"/>
          <w:lang w:eastAsia="zh-CN"/>
        </w:rPr>
        <w:t>在开始办理基金份额申购或者赎回后，基金管理人应当在不晚于每个开放日的次日，通过规定网站、基金销售机构网站或者营业网点披露开放日的各类基金份额净值和各类基金份额累计净值。</w:t>
      </w:r>
    </w:p>
    <w:p w14:paraId="33BEC623" w14:textId="77777777" w:rsidR="005039DD" w:rsidRPr="002C2B23" w:rsidRDefault="0040620F">
      <w:pPr>
        <w:spacing w:line="360" w:lineRule="auto"/>
        <w:ind w:firstLine="480"/>
        <w:rPr>
          <w:bCs/>
          <w:sz w:val="24"/>
          <w:lang w:eastAsia="zh-CN"/>
        </w:rPr>
      </w:pPr>
      <w:r w:rsidRPr="002C2B23">
        <w:rPr>
          <w:bCs/>
          <w:sz w:val="24"/>
          <w:lang w:eastAsia="zh-CN"/>
        </w:rPr>
        <w:t>基金管理人应当在不晚于半年度和年度最后一日的次日，</w:t>
      </w:r>
      <w:r w:rsidRPr="002C2B23">
        <w:rPr>
          <w:bCs/>
          <w:sz w:val="24"/>
          <w:lang w:eastAsia="zh-CN"/>
        </w:rPr>
        <w:t xml:space="preserve"> </w:t>
      </w:r>
      <w:r w:rsidRPr="002C2B23">
        <w:rPr>
          <w:bCs/>
          <w:sz w:val="24"/>
          <w:lang w:eastAsia="zh-CN"/>
        </w:rPr>
        <w:t>在规定网站公告半年度和年度最后一日各类基金份额净值和各类基金份额累计净值。</w:t>
      </w:r>
    </w:p>
    <w:bookmarkEnd w:id="418"/>
    <w:p w14:paraId="38C40907" w14:textId="77777777" w:rsidR="005039DD" w:rsidRPr="002C2B23" w:rsidRDefault="0040620F">
      <w:pPr>
        <w:spacing w:line="360" w:lineRule="auto"/>
        <w:ind w:firstLine="480"/>
        <w:rPr>
          <w:bCs/>
          <w:sz w:val="24"/>
          <w:lang w:eastAsia="zh-CN"/>
        </w:rPr>
      </w:pPr>
      <w:r w:rsidRPr="002C2B23">
        <w:rPr>
          <w:bCs/>
          <w:sz w:val="24"/>
          <w:lang w:eastAsia="zh-CN"/>
        </w:rPr>
        <w:t>（五）基金份额申购、赎回价格</w:t>
      </w:r>
    </w:p>
    <w:p w14:paraId="539B22FD" w14:textId="77777777" w:rsidR="005039DD" w:rsidRPr="002C2B23" w:rsidRDefault="0040620F">
      <w:pPr>
        <w:spacing w:line="360" w:lineRule="auto"/>
        <w:ind w:firstLine="480"/>
        <w:rPr>
          <w:bCs/>
          <w:sz w:val="24"/>
          <w:lang w:eastAsia="zh-CN"/>
        </w:rPr>
      </w:pPr>
      <w:r w:rsidRPr="002C2B23">
        <w:rPr>
          <w:bCs/>
          <w:sz w:val="24"/>
          <w:lang w:eastAsia="zh-CN"/>
        </w:rPr>
        <w:t>基金管理人应当在《基金合同》、招募说明书等信息披露文件上载</w:t>
      </w:r>
      <w:proofErr w:type="gramStart"/>
      <w:r w:rsidRPr="002C2B23">
        <w:rPr>
          <w:bCs/>
          <w:sz w:val="24"/>
          <w:lang w:eastAsia="zh-CN"/>
        </w:rPr>
        <w:t>明基金</w:t>
      </w:r>
      <w:proofErr w:type="gramEnd"/>
      <w:r w:rsidRPr="002C2B23">
        <w:rPr>
          <w:bCs/>
          <w:sz w:val="24"/>
          <w:lang w:eastAsia="zh-CN"/>
        </w:rPr>
        <w:t>份额申购、赎回价格的计算方式及有关申购、赎回费率，并保证投资者能够在基金销售机构网站或者营业网点查阅或者复制前述信息资料。</w:t>
      </w:r>
    </w:p>
    <w:p w14:paraId="019A2EC3" w14:textId="77777777" w:rsidR="005039DD" w:rsidRPr="002C2B23" w:rsidRDefault="0040620F">
      <w:pPr>
        <w:spacing w:line="360" w:lineRule="auto"/>
        <w:ind w:firstLine="480"/>
        <w:rPr>
          <w:bCs/>
          <w:sz w:val="24"/>
          <w:lang w:eastAsia="zh-CN"/>
        </w:rPr>
      </w:pPr>
      <w:r w:rsidRPr="002C2B23">
        <w:rPr>
          <w:bCs/>
          <w:sz w:val="24"/>
          <w:lang w:eastAsia="zh-CN"/>
        </w:rPr>
        <w:t>（六）基金定期报告，包括基金年度报告、基金中期报告和基金季度报告（含资产组合季度报告）</w:t>
      </w:r>
    </w:p>
    <w:p w14:paraId="1300A311" w14:textId="77777777" w:rsidR="005039DD" w:rsidRPr="002C2B23" w:rsidRDefault="0040620F">
      <w:pPr>
        <w:spacing w:line="360" w:lineRule="auto"/>
        <w:ind w:firstLine="480"/>
        <w:rPr>
          <w:bCs/>
          <w:sz w:val="24"/>
          <w:lang w:eastAsia="zh-CN"/>
        </w:rPr>
      </w:pPr>
      <w:r w:rsidRPr="002C2B23">
        <w:rPr>
          <w:bCs/>
          <w:sz w:val="24"/>
          <w:lang w:eastAsia="zh-CN"/>
        </w:rPr>
        <w:t>基金管理人应当在每年结束之日起三个月内，编制完成基金年度报告，将年度报告登载于规定网站上，并将年度报告提示性公告登载在规定报刊上。基金年度报告中的财务会计报告应当经过符合《证券法》规定的会计师事务所审计。</w:t>
      </w:r>
    </w:p>
    <w:p w14:paraId="1A7C8DCF" w14:textId="77777777" w:rsidR="005039DD" w:rsidRPr="002C2B23" w:rsidRDefault="0040620F">
      <w:pPr>
        <w:spacing w:line="360" w:lineRule="auto"/>
        <w:ind w:firstLine="480"/>
        <w:rPr>
          <w:bCs/>
          <w:sz w:val="24"/>
          <w:lang w:eastAsia="zh-CN"/>
        </w:rPr>
      </w:pPr>
      <w:r w:rsidRPr="002C2B23">
        <w:rPr>
          <w:bCs/>
          <w:sz w:val="24"/>
          <w:lang w:eastAsia="zh-CN"/>
        </w:rPr>
        <w:t>基金管理人应当在上半年结束之日起两个月内，编制完成基金中期报告，将中期报告登载在规定网站上，并将中期报告提示性公告登载在规定报刊上。</w:t>
      </w:r>
    </w:p>
    <w:p w14:paraId="3758F9E1" w14:textId="77777777" w:rsidR="005039DD" w:rsidRPr="002C2B23" w:rsidRDefault="0040620F">
      <w:pPr>
        <w:spacing w:line="360" w:lineRule="auto"/>
        <w:ind w:firstLine="480"/>
        <w:rPr>
          <w:bCs/>
          <w:sz w:val="24"/>
          <w:lang w:eastAsia="zh-CN"/>
        </w:rPr>
      </w:pPr>
      <w:r w:rsidRPr="002C2B23">
        <w:rPr>
          <w:bCs/>
          <w:sz w:val="24"/>
          <w:lang w:eastAsia="zh-CN"/>
        </w:rPr>
        <w:t>基金管理人应当在季度结束之日起</w:t>
      </w:r>
      <w:r w:rsidRPr="002C2B23">
        <w:rPr>
          <w:bCs/>
          <w:sz w:val="24"/>
          <w:lang w:eastAsia="zh-CN"/>
        </w:rPr>
        <w:t>15</w:t>
      </w:r>
      <w:r w:rsidRPr="002C2B23">
        <w:rPr>
          <w:bCs/>
          <w:sz w:val="24"/>
          <w:lang w:eastAsia="zh-CN"/>
        </w:rPr>
        <w:t>个工作日内，编制完成基金季度报告，将季度报告登载在规定网站上，并将季度报告提示性公告登载在规定报刊上。</w:t>
      </w:r>
    </w:p>
    <w:p w14:paraId="6B770D5B" w14:textId="77777777" w:rsidR="005039DD" w:rsidRPr="002C2B23" w:rsidRDefault="0040620F">
      <w:pPr>
        <w:spacing w:line="360" w:lineRule="auto"/>
        <w:ind w:firstLine="480"/>
        <w:rPr>
          <w:bCs/>
          <w:sz w:val="24"/>
          <w:lang w:eastAsia="zh-CN"/>
        </w:rPr>
      </w:pPr>
      <w:r w:rsidRPr="002C2B23">
        <w:rPr>
          <w:bCs/>
          <w:sz w:val="24"/>
          <w:lang w:eastAsia="zh-CN"/>
        </w:rPr>
        <w:t>《基金合同》生效不足</w:t>
      </w:r>
      <w:r w:rsidRPr="002C2B23">
        <w:rPr>
          <w:bCs/>
          <w:sz w:val="24"/>
          <w:lang w:eastAsia="zh-CN"/>
        </w:rPr>
        <w:t>2</w:t>
      </w:r>
      <w:r w:rsidRPr="002C2B23">
        <w:rPr>
          <w:bCs/>
          <w:sz w:val="24"/>
          <w:lang w:eastAsia="zh-CN"/>
        </w:rPr>
        <w:t>个月的，基金管理人可以不编制当期季度报告、中期报告或者年度报告。</w:t>
      </w:r>
    </w:p>
    <w:p w14:paraId="514851B2" w14:textId="77777777" w:rsidR="005039DD" w:rsidRPr="002C2B23" w:rsidRDefault="0040620F">
      <w:pPr>
        <w:spacing w:line="360" w:lineRule="auto"/>
        <w:ind w:firstLine="480"/>
        <w:rPr>
          <w:bCs/>
          <w:sz w:val="24"/>
          <w:lang w:eastAsia="zh-CN"/>
        </w:rPr>
      </w:pPr>
      <w:r w:rsidRPr="002C2B23">
        <w:rPr>
          <w:bCs/>
          <w:sz w:val="24"/>
          <w:lang w:eastAsia="zh-CN"/>
        </w:rPr>
        <w:t>如报告期内出现单一投资者持有基金份额达到或超过基金总份额</w:t>
      </w:r>
      <w:r w:rsidRPr="002C2B23">
        <w:rPr>
          <w:bCs/>
          <w:sz w:val="24"/>
          <w:lang w:eastAsia="zh-CN"/>
        </w:rPr>
        <w:t>20%</w:t>
      </w:r>
      <w:r w:rsidRPr="002C2B23">
        <w:rPr>
          <w:bCs/>
          <w:sz w:val="24"/>
          <w:lang w:eastAsia="zh-CN"/>
        </w:rPr>
        <w:t>的情形，为保障其他投资者的权益，基金管理人至少应当在定期报告</w:t>
      </w:r>
      <w:r w:rsidRPr="002C2B23">
        <w:rPr>
          <w:rFonts w:hint="eastAsia"/>
          <w:bCs/>
          <w:sz w:val="24"/>
          <w:lang w:eastAsia="zh-CN"/>
        </w:rPr>
        <w:t>“</w:t>
      </w:r>
      <w:r w:rsidRPr="002C2B23">
        <w:rPr>
          <w:bCs/>
          <w:sz w:val="24"/>
          <w:lang w:eastAsia="zh-CN"/>
        </w:rPr>
        <w:t>影响投资者决策的其他重要信息</w:t>
      </w:r>
      <w:r w:rsidRPr="002C2B23">
        <w:rPr>
          <w:rFonts w:hint="eastAsia"/>
          <w:bCs/>
          <w:sz w:val="24"/>
          <w:lang w:eastAsia="zh-CN"/>
        </w:rPr>
        <w:t>”</w:t>
      </w:r>
      <w:r w:rsidRPr="002C2B23">
        <w:rPr>
          <w:bCs/>
          <w:sz w:val="24"/>
          <w:lang w:eastAsia="zh-CN"/>
        </w:rPr>
        <w:t>项下披露该投资者的类别、报告期末持有份额及占比、报告期内持有份额变化情况及本基金的特有风险，中国证监会认定的特殊情形除外。</w:t>
      </w:r>
    </w:p>
    <w:p w14:paraId="5E72FA65" w14:textId="77777777" w:rsidR="005039DD" w:rsidRPr="002C2B23" w:rsidRDefault="0040620F">
      <w:pPr>
        <w:spacing w:line="360" w:lineRule="auto"/>
        <w:ind w:firstLine="480"/>
        <w:rPr>
          <w:bCs/>
          <w:sz w:val="24"/>
          <w:lang w:eastAsia="zh-CN"/>
        </w:rPr>
      </w:pPr>
      <w:r w:rsidRPr="002C2B23">
        <w:rPr>
          <w:bCs/>
          <w:sz w:val="24"/>
          <w:lang w:eastAsia="zh-CN"/>
        </w:rPr>
        <w:t>基金管理人应当在基金年度报告和中期报告中披露基金组合资产情况及其流动性风险分析等。</w:t>
      </w:r>
    </w:p>
    <w:p w14:paraId="7BFCE1A2" w14:textId="77777777" w:rsidR="005039DD" w:rsidRPr="002C2B23" w:rsidRDefault="0040620F">
      <w:pPr>
        <w:spacing w:line="360" w:lineRule="auto"/>
        <w:ind w:firstLine="480"/>
        <w:rPr>
          <w:sz w:val="24"/>
          <w:lang w:eastAsia="zh-CN"/>
        </w:rPr>
      </w:pPr>
      <w:r w:rsidRPr="002C2B23">
        <w:rPr>
          <w:rFonts w:hint="eastAsia"/>
          <w:sz w:val="24"/>
          <w:lang w:eastAsia="zh-CN"/>
        </w:rPr>
        <w:t>基金管理人应当在基金中期报告和年度报告中披露从基金财产中计提的管理费、托管费、销售服务费的金额，以及支付给基金销售机构的客户维护费总额、基金管理人实际收取的管理费净额。</w:t>
      </w:r>
      <w:r w:rsidRPr="002C2B23">
        <w:rPr>
          <w:rFonts w:hint="eastAsia"/>
          <w:sz w:val="24"/>
          <w:lang w:eastAsia="zh-CN"/>
        </w:rPr>
        <w:t xml:space="preserve"> </w:t>
      </w:r>
    </w:p>
    <w:p w14:paraId="2F69081A" w14:textId="77777777" w:rsidR="005039DD" w:rsidRPr="002C2B23" w:rsidRDefault="0040620F">
      <w:pPr>
        <w:spacing w:line="360" w:lineRule="auto"/>
        <w:ind w:firstLine="480"/>
        <w:rPr>
          <w:sz w:val="24"/>
          <w:lang w:eastAsia="zh-CN"/>
        </w:rPr>
      </w:pPr>
      <w:r w:rsidRPr="002C2B23">
        <w:rPr>
          <w:rFonts w:hint="eastAsia"/>
          <w:sz w:val="24"/>
          <w:lang w:eastAsia="zh-CN"/>
        </w:rPr>
        <w:t>法律法规或中国证监会另有规定的，从其规定。</w:t>
      </w:r>
    </w:p>
    <w:p w14:paraId="6B6897D9" w14:textId="77777777" w:rsidR="005039DD" w:rsidRPr="002C2B23" w:rsidRDefault="0040620F">
      <w:pPr>
        <w:spacing w:line="360" w:lineRule="auto"/>
        <w:ind w:firstLine="480"/>
        <w:rPr>
          <w:bCs/>
          <w:sz w:val="24"/>
          <w:lang w:eastAsia="zh-CN"/>
        </w:rPr>
      </w:pPr>
      <w:r w:rsidRPr="002C2B23">
        <w:rPr>
          <w:bCs/>
          <w:sz w:val="24"/>
          <w:lang w:eastAsia="zh-CN"/>
        </w:rPr>
        <w:t>（七）临时报告</w:t>
      </w:r>
    </w:p>
    <w:p w14:paraId="269647D6" w14:textId="77777777" w:rsidR="005039DD" w:rsidRPr="002C2B23" w:rsidRDefault="0040620F">
      <w:pPr>
        <w:spacing w:line="360" w:lineRule="auto"/>
        <w:ind w:firstLine="480"/>
        <w:rPr>
          <w:bCs/>
          <w:sz w:val="24"/>
          <w:lang w:eastAsia="zh-CN"/>
        </w:rPr>
      </w:pPr>
      <w:r w:rsidRPr="002C2B23">
        <w:rPr>
          <w:bCs/>
          <w:sz w:val="24"/>
          <w:lang w:eastAsia="zh-CN"/>
        </w:rPr>
        <w:t>本基金发生重大事件，有关信息披露义务人应当按规定编制临时报告书，并登载在规定报刊和规定网站上。</w:t>
      </w:r>
    </w:p>
    <w:p w14:paraId="6E4E94B6" w14:textId="77777777" w:rsidR="005039DD" w:rsidRPr="002C2B23" w:rsidRDefault="0040620F">
      <w:pPr>
        <w:spacing w:line="360" w:lineRule="auto"/>
        <w:ind w:firstLine="480"/>
        <w:rPr>
          <w:bCs/>
          <w:sz w:val="24"/>
          <w:lang w:eastAsia="zh-CN"/>
        </w:rPr>
      </w:pPr>
      <w:r w:rsidRPr="002C2B23">
        <w:rPr>
          <w:bCs/>
          <w:sz w:val="24"/>
          <w:lang w:eastAsia="zh-CN"/>
        </w:rPr>
        <w:t>前款所称重大事件，是指可能对基金份额持有人权益或者基金份额的价格产生重大影响的下列事件：</w:t>
      </w:r>
    </w:p>
    <w:p w14:paraId="57ABFE41"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、基金份额持有人大会的召开及决定的事项；</w:t>
      </w:r>
    </w:p>
    <w:p w14:paraId="7C45F26E"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、《基金合同》终止、基金清算；</w:t>
      </w:r>
    </w:p>
    <w:p w14:paraId="2272589A"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、转换基金运作方式、基金合并；</w:t>
      </w:r>
    </w:p>
    <w:p w14:paraId="17BDE27E" w14:textId="77777777" w:rsidR="005039DD" w:rsidRPr="002C2B23" w:rsidRDefault="0040620F">
      <w:pPr>
        <w:spacing w:line="360" w:lineRule="auto"/>
        <w:ind w:firstLine="480"/>
        <w:rPr>
          <w:bCs/>
          <w:sz w:val="24"/>
          <w:lang w:eastAsia="zh-CN"/>
        </w:rPr>
      </w:pPr>
      <w:r w:rsidRPr="002C2B23">
        <w:rPr>
          <w:bCs/>
          <w:sz w:val="24"/>
          <w:lang w:eastAsia="zh-CN"/>
        </w:rPr>
        <w:t>4</w:t>
      </w:r>
      <w:r w:rsidRPr="002C2B23">
        <w:rPr>
          <w:bCs/>
          <w:sz w:val="24"/>
          <w:lang w:eastAsia="zh-CN"/>
        </w:rPr>
        <w:t>、更换基金管理人、基金托管人；</w:t>
      </w:r>
    </w:p>
    <w:p w14:paraId="6AA6A761" w14:textId="77777777" w:rsidR="005039DD" w:rsidRPr="002C2B23" w:rsidRDefault="0040620F">
      <w:pPr>
        <w:spacing w:line="360" w:lineRule="auto"/>
        <w:ind w:firstLine="480"/>
        <w:rPr>
          <w:bCs/>
          <w:sz w:val="24"/>
          <w:lang w:eastAsia="zh-CN"/>
        </w:rPr>
      </w:pPr>
      <w:r w:rsidRPr="002C2B23">
        <w:rPr>
          <w:bCs/>
          <w:sz w:val="24"/>
          <w:lang w:eastAsia="zh-CN"/>
        </w:rPr>
        <w:t>5</w:t>
      </w:r>
      <w:r w:rsidRPr="002C2B23">
        <w:rPr>
          <w:bCs/>
          <w:sz w:val="24"/>
          <w:lang w:eastAsia="zh-CN"/>
        </w:rPr>
        <w:t>、基金管理人委托基金服务机构代为办理基金的份额登记、核算、估值等事项，基金托管人委托基金服务机构代为办理基金的核算、估值、复核等事项；</w:t>
      </w:r>
    </w:p>
    <w:p w14:paraId="16702981" w14:textId="77777777" w:rsidR="005039DD" w:rsidRPr="002C2B23" w:rsidRDefault="0040620F">
      <w:pPr>
        <w:spacing w:line="360" w:lineRule="auto"/>
        <w:ind w:firstLine="480"/>
        <w:rPr>
          <w:bCs/>
          <w:sz w:val="24"/>
          <w:lang w:eastAsia="zh-CN"/>
        </w:rPr>
      </w:pPr>
      <w:r w:rsidRPr="002C2B23">
        <w:rPr>
          <w:bCs/>
          <w:sz w:val="24"/>
          <w:lang w:eastAsia="zh-CN"/>
        </w:rPr>
        <w:t>6</w:t>
      </w:r>
      <w:r w:rsidRPr="002C2B23">
        <w:rPr>
          <w:bCs/>
          <w:sz w:val="24"/>
          <w:lang w:eastAsia="zh-CN"/>
        </w:rPr>
        <w:t>、基金管理人、基金托管人的法定名称、住所发生变更；</w:t>
      </w:r>
    </w:p>
    <w:p w14:paraId="67F4F79A" w14:textId="77777777" w:rsidR="005039DD" w:rsidRPr="002C2B23" w:rsidRDefault="0040620F">
      <w:pPr>
        <w:spacing w:line="360" w:lineRule="auto"/>
        <w:ind w:firstLine="480"/>
        <w:rPr>
          <w:bCs/>
          <w:sz w:val="24"/>
          <w:lang w:eastAsia="zh-CN"/>
        </w:rPr>
      </w:pPr>
      <w:r w:rsidRPr="002C2B23">
        <w:rPr>
          <w:bCs/>
          <w:sz w:val="24"/>
          <w:lang w:eastAsia="zh-CN"/>
        </w:rPr>
        <w:t>7</w:t>
      </w:r>
      <w:r w:rsidRPr="002C2B23">
        <w:rPr>
          <w:bCs/>
          <w:sz w:val="24"/>
          <w:lang w:eastAsia="zh-CN"/>
        </w:rPr>
        <w:t>、基金管理人变更持有百分之五以上股权的股东、变更基金管理人的实际控制人；</w:t>
      </w:r>
    </w:p>
    <w:p w14:paraId="3BCBC28F" w14:textId="77777777" w:rsidR="005039DD" w:rsidRPr="002C2B23" w:rsidRDefault="0040620F">
      <w:pPr>
        <w:spacing w:line="360" w:lineRule="auto"/>
        <w:ind w:firstLine="480"/>
        <w:rPr>
          <w:bCs/>
          <w:sz w:val="24"/>
          <w:lang w:eastAsia="zh-CN"/>
        </w:rPr>
      </w:pPr>
      <w:r w:rsidRPr="002C2B23">
        <w:rPr>
          <w:bCs/>
          <w:sz w:val="24"/>
          <w:lang w:eastAsia="zh-CN"/>
        </w:rPr>
        <w:t>8</w:t>
      </w:r>
      <w:r w:rsidRPr="002C2B23">
        <w:rPr>
          <w:bCs/>
          <w:sz w:val="24"/>
          <w:lang w:eastAsia="zh-CN"/>
        </w:rPr>
        <w:t>、基金募集期延长或提前结束募集；</w:t>
      </w:r>
    </w:p>
    <w:p w14:paraId="12F3CC35" w14:textId="77777777" w:rsidR="005039DD" w:rsidRPr="002C2B23" w:rsidRDefault="0040620F">
      <w:pPr>
        <w:spacing w:line="360" w:lineRule="auto"/>
        <w:ind w:firstLine="480"/>
        <w:rPr>
          <w:bCs/>
          <w:sz w:val="24"/>
          <w:lang w:eastAsia="zh-CN"/>
        </w:rPr>
      </w:pPr>
      <w:r w:rsidRPr="002C2B23">
        <w:rPr>
          <w:bCs/>
          <w:sz w:val="24"/>
          <w:lang w:eastAsia="zh-CN"/>
        </w:rPr>
        <w:t>9</w:t>
      </w:r>
      <w:r w:rsidRPr="002C2B23">
        <w:rPr>
          <w:bCs/>
          <w:sz w:val="24"/>
          <w:lang w:eastAsia="zh-CN"/>
        </w:rPr>
        <w:t>、基金管理人高级管理人员、基金经理和基金托管人专门基金托管部门负责人发生变动；</w:t>
      </w:r>
    </w:p>
    <w:p w14:paraId="2DEDC214" w14:textId="77777777" w:rsidR="005039DD" w:rsidRPr="002C2B23" w:rsidRDefault="0040620F">
      <w:pPr>
        <w:spacing w:line="360" w:lineRule="auto"/>
        <w:ind w:firstLine="480"/>
        <w:rPr>
          <w:bCs/>
          <w:sz w:val="24"/>
          <w:lang w:eastAsia="zh-CN"/>
        </w:rPr>
      </w:pPr>
      <w:r w:rsidRPr="002C2B23">
        <w:rPr>
          <w:bCs/>
          <w:sz w:val="24"/>
          <w:lang w:eastAsia="zh-CN"/>
        </w:rPr>
        <w:t>10</w:t>
      </w:r>
      <w:r w:rsidRPr="002C2B23">
        <w:rPr>
          <w:bCs/>
          <w:sz w:val="24"/>
          <w:lang w:eastAsia="zh-CN"/>
        </w:rPr>
        <w:t>、基金管理人的董事在最近</w:t>
      </w:r>
      <w:r w:rsidRPr="002C2B23">
        <w:rPr>
          <w:bCs/>
          <w:sz w:val="24"/>
          <w:lang w:eastAsia="zh-CN"/>
        </w:rPr>
        <w:t>12</w:t>
      </w:r>
      <w:r w:rsidRPr="002C2B23">
        <w:rPr>
          <w:bCs/>
          <w:sz w:val="24"/>
          <w:lang w:eastAsia="zh-CN"/>
        </w:rPr>
        <w:t>个月内变更超过百分之五十；</w:t>
      </w:r>
    </w:p>
    <w:p w14:paraId="153B5548" w14:textId="77777777" w:rsidR="005039DD" w:rsidRPr="002C2B23" w:rsidRDefault="0040620F">
      <w:pPr>
        <w:spacing w:line="360" w:lineRule="auto"/>
        <w:ind w:firstLine="480"/>
        <w:rPr>
          <w:bCs/>
          <w:sz w:val="24"/>
          <w:lang w:eastAsia="zh-CN"/>
        </w:rPr>
      </w:pPr>
      <w:r w:rsidRPr="002C2B23">
        <w:rPr>
          <w:bCs/>
          <w:sz w:val="24"/>
          <w:lang w:eastAsia="zh-CN"/>
        </w:rPr>
        <w:t>11</w:t>
      </w:r>
      <w:r w:rsidRPr="002C2B23">
        <w:rPr>
          <w:bCs/>
          <w:sz w:val="24"/>
          <w:lang w:eastAsia="zh-CN"/>
        </w:rPr>
        <w:t>、基金管理人、基金托管人专门基金托管部门的主要业务人员在最近</w:t>
      </w:r>
      <w:r w:rsidRPr="002C2B23">
        <w:rPr>
          <w:bCs/>
          <w:sz w:val="24"/>
          <w:lang w:eastAsia="zh-CN"/>
        </w:rPr>
        <w:t>12</w:t>
      </w:r>
      <w:r w:rsidRPr="002C2B23">
        <w:rPr>
          <w:bCs/>
          <w:sz w:val="24"/>
          <w:lang w:eastAsia="zh-CN"/>
        </w:rPr>
        <w:t>个月内变动超过百分之三十；</w:t>
      </w:r>
    </w:p>
    <w:p w14:paraId="204360BB" w14:textId="77777777" w:rsidR="005039DD" w:rsidRPr="002C2B23" w:rsidRDefault="0040620F">
      <w:pPr>
        <w:spacing w:line="360" w:lineRule="auto"/>
        <w:ind w:firstLine="480"/>
        <w:rPr>
          <w:bCs/>
          <w:sz w:val="24"/>
          <w:lang w:eastAsia="zh-CN"/>
        </w:rPr>
      </w:pPr>
      <w:r w:rsidRPr="002C2B23">
        <w:rPr>
          <w:bCs/>
          <w:sz w:val="24"/>
          <w:lang w:eastAsia="zh-CN"/>
        </w:rPr>
        <w:t>12</w:t>
      </w:r>
      <w:r w:rsidRPr="002C2B23">
        <w:rPr>
          <w:bCs/>
          <w:sz w:val="24"/>
          <w:lang w:eastAsia="zh-CN"/>
        </w:rPr>
        <w:t>、涉及基金管理业务、基金财产、基金托管业务的诉讼或仲裁；</w:t>
      </w:r>
      <w:r w:rsidRPr="002C2B23">
        <w:rPr>
          <w:bCs/>
          <w:sz w:val="24"/>
          <w:lang w:eastAsia="zh-CN"/>
        </w:rPr>
        <w:t xml:space="preserve"> </w:t>
      </w:r>
    </w:p>
    <w:p w14:paraId="53E2BAE7" w14:textId="77777777" w:rsidR="005039DD" w:rsidRPr="002C2B23" w:rsidRDefault="0040620F">
      <w:pPr>
        <w:spacing w:line="360" w:lineRule="auto"/>
        <w:ind w:firstLine="480"/>
        <w:rPr>
          <w:bCs/>
          <w:sz w:val="24"/>
          <w:lang w:eastAsia="zh-CN"/>
        </w:rPr>
      </w:pPr>
      <w:r w:rsidRPr="002C2B23">
        <w:rPr>
          <w:bCs/>
          <w:sz w:val="24"/>
          <w:lang w:eastAsia="zh-CN"/>
        </w:rPr>
        <w:t>13</w:t>
      </w:r>
      <w:r w:rsidRPr="002C2B23">
        <w:rPr>
          <w:bCs/>
          <w:sz w:val="24"/>
          <w:lang w:eastAsia="zh-CN"/>
        </w:rPr>
        <w:t>、基金管理人或其高级管理人员、基金经理因基金管理业务相关行为受到重大行政处罚、刑事处罚，基金托管人或其专门基金托管部门负责人因基金托管业务相关行为受到重大行政处罚、刑事处罚；</w:t>
      </w:r>
    </w:p>
    <w:p w14:paraId="3C290902" w14:textId="77777777" w:rsidR="005039DD" w:rsidRPr="002C2B23" w:rsidRDefault="0040620F">
      <w:pPr>
        <w:spacing w:line="360" w:lineRule="auto"/>
        <w:ind w:firstLine="480"/>
        <w:rPr>
          <w:bCs/>
          <w:sz w:val="24"/>
          <w:lang w:eastAsia="zh-CN"/>
        </w:rPr>
      </w:pPr>
      <w:r w:rsidRPr="002C2B23">
        <w:rPr>
          <w:bCs/>
          <w:sz w:val="24"/>
          <w:lang w:eastAsia="zh-CN"/>
        </w:rPr>
        <w:t>14</w:t>
      </w:r>
      <w:r w:rsidRPr="002C2B23">
        <w:rPr>
          <w:bCs/>
          <w:sz w:val="24"/>
          <w:lang w:eastAsia="zh-CN"/>
        </w:rPr>
        <w:t>、基金管理人运用基金财产买卖基金管理人、基金托管人及其控股股东、实际控制人或者与其有重大利害关系的公司发行的证券或者承销期内承销的证券，或者从事其他重大关联交易事项，中国证监会另有规定的情形除外；</w:t>
      </w:r>
    </w:p>
    <w:p w14:paraId="0D4B6A72" w14:textId="77777777" w:rsidR="005039DD" w:rsidRPr="002C2B23" w:rsidRDefault="0040620F">
      <w:pPr>
        <w:spacing w:line="360" w:lineRule="auto"/>
        <w:ind w:firstLine="480"/>
        <w:rPr>
          <w:bCs/>
          <w:sz w:val="24"/>
          <w:lang w:eastAsia="zh-CN"/>
        </w:rPr>
      </w:pPr>
      <w:r w:rsidRPr="002C2B23">
        <w:rPr>
          <w:bCs/>
          <w:sz w:val="24"/>
          <w:lang w:eastAsia="zh-CN"/>
        </w:rPr>
        <w:t>15</w:t>
      </w:r>
      <w:r w:rsidRPr="002C2B23">
        <w:rPr>
          <w:bCs/>
          <w:sz w:val="24"/>
          <w:lang w:eastAsia="zh-CN"/>
        </w:rPr>
        <w:t>、基金收益分配事项；</w:t>
      </w:r>
    </w:p>
    <w:p w14:paraId="213F4D4A" w14:textId="77777777" w:rsidR="005039DD" w:rsidRPr="002C2B23" w:rsidRDefault="0040620F">
      <w:pPr>
        <w:spacing w:line="360" w:lineRule="auto"/>
        <w:ind w:firstLine="480"/>
        <w:rPr>
          <w:bCs/>
          <w:sz w:val="24"/>
          <w:lang w:eastAsia="zh-CN"/>
        </w:rPr>
      </w:pPr>
      <w:r w:rsidRPr="002C2B23">
        <w:rPr>
          <w:bCs/>
          <w:sz w:val="24"/>
          <w:lang w:eastAsia="zh-CN"/>
        </w:rPr>
        <w:t>16</w:t>
      </w:r>
      <w:r w:rsidRPr="002C2B23">
        <w:rPr>
          <w:bCs/>
          <w:sz w:val="24"/>
          <w:lang w:eastAsia="zh-CN"/>
        </w:rPr>
        <w:t>、管理费、托管费、销售服务费、申购费、赎回费等费用计提标准、计提方式和费率发生变更；</w:t>
      </w:r>
    </w:p>
    <w:p w14:paraId="1484DA5D" w14:textId="77777777" w:rsidR="005039DD" w:rsidRPr="002C2B23" w:rsidRDefault="0040620F">
      <w:pPr>
        <w:spacing w:line="360" w:lineRule="auto"/>
        <w:ind w:firstLine="480"/>
        <w:rPr>
          <w:bCs/>
          <w:sz w:val="24"/>
          <w:lang w:eastAsia="zh-CN"/>
        </w:rPr>
      </w:pPr>
      <w:r w:rsidRPr="002C2B23">
        <w:rPr>
          <w:bCs/>
          <w:sz w:val="24"/>
          <w:lang w:eastAsia="zh-CN"/>
        </w:rPr>
        <w:t>17</w:t>
      </w:r>
      <w:r w:rsidRPr="002C2B23">
        <w:rPr>
          <w:bCs/>
          <w:sz w:val="24"/>
          <w:lang w:eastAsia="zh-CN"/>
        </w:rPr>
        <w:t>、任一类基金份额净值计价错误达该类基金份额净值百分之零点五；</w:t>
      </w:r>
    </w:p>
    <w:p w14:paraId="47B9EA64" w14:textId="77777777" w:rsidR="005039DD" w:rsidRPr="002C2B23" w:rsidRDefault="0040620F">
      <w:pPr>
        <w:spacing w:line="360" w:lineRule="auto"/>
        <w:ind w:firstLine="480"/>
        <w:rPr>
          <w:bCs/>
          <w:sz w:val="24"/>
          <w:lang w:eastAsia="zh-CN"/>
        </w:rPr>
      </w:pPr>
      <w:r w:rsidRPr="002C2B23">
        <w:rPr>
          <w:bCs/>
          <w:sz w:val="24"/>
          <w:lang w:eastAsia="zh-CN"/>
        </w:rPr>
        <w:t>18</w:t>
      </w:r>
      <w:r w:rsidRPr="002C2B23">
        <w:rPr>
          <w:bCs/>
          <w:sz w:val="24"/>
          <w:lang w:eastAsia="zh-CN"/>
        </w:rPr>
        <w:t>、基金改聘会计师事务所；</w:t>
      </w:r>
    </w:p>
    <w:p w14:paraId="4261D88B" w14:textId="77777777" w:rsidR="005039DD" w:rsidRPr="002C2B23" w:rsidRDefault="0040620F">
      <w:pPr>
        <w:spacing w:line="360" w:lineRule="auto"/>
        <w:ind w:firstLine="480"/>
        <w:rPr>
          <w:bCs/>
          <w:sz w:val="24"/>
          <w:lang w:eastAsia="zh-CN"/>
        </w:rPr>
      </w:pPr>
      <w:r w:rsidRPr="002C2B23">
        <w:rPr>
          <w:bCs/>
          <w:sz w:val="24"/>
          <w:lang w:eastAsia="zh-CN"/>
        </w:rPr>
        <w:t>19</w:t>
      </w:r>
      <w:r w:rsidRPr="002C2B23">
        <w:rPr>
          <w:bCs/>
          <w:sz w:val="24"/>
          <w:lang w:eastAsia="zh-CN"/>
        </w:rPr>
        <w:t>、更换基金登记机构；</w:t>
      </w:r>
    </w:p>
    <w:p w14:paraId="3EBD1AA6" w14:textId="77777777" w:rsidR="005039DD" w:rsidRPr="002C2B23" w:rsidRDefault="0040620F">
      <w:pPr>
        <w:spacing w:line="360" w:lineRule="auto"/>
        <w:ind w:firstLine="480"/>
        <w:rPr>
          <w:bCs/>
          <w:sz w:val="24"/>
          <w:lang w:eastAsia="zh-CN"/>
        </w:rPr>
      </w:pPr>
      <w:r w:rsidRPr="002C2B23">
        <w:rPr>
          <w:bCs/>
          <w:sz w:val="24"/>
          <w:lang w:eastAsia="zh-CN"/>
        </w:rPr>
        <w:t>20</w:t>
      </w:r>
      <w:r w:rsidRPr="002C2B23">
        <w:rPr>
          <w:bCs/>
          <w:sz w:val="24"/>
          <w:lang w:eastAsia="zh-CN"/>
        </w:rPr>
        <w:t>、本基金开始办理申购、赎回；</w:t>
      </w:r>
    </w:p>
    <w:p w14:paraId="77B41716" w14:textId="77777777" w:rsidR="005039DD" w:rsidRPr="002C2B23" w:rsidRDefault="0040620F">
      <w:pPr>
        <w:spacing w:line="360" w:lineRule="auto"/>
        <w:ind w:firstLine="480"/>
        <w:rPr>
          <w:bCs/>
          <w:sz w:val="24"/>
          <w:lang w:eastAsia="zh-CN"/>
        </w:rPr>
      </w:pPr>
      <w:r w:rsidRPr="002C2B23">
        <w:rPr>
          <w:bCs/>
          <w:sz w:val="24"/>
          <w:lang w:eastAsia="zh-CN"/>
        </w:rPr>
        <w:t>21</w:t>
      </w:r>
      <w:r w:rsidRPr="002C2B23">
        <w:rPr>
          <w:bCs/>
          <w:sz w:val="24"/>
          <w:lang w:eastAsia="zh-CN"/>
        </w:rPr>
        <w:t>、本基金发生巨额赎回并延期办理；</w:t>
      </w:r>
    </w:p>
    <w:p w14:paraId="52E69D74" w14:textId="77777777" w:rsidR="005039DD" w:rsidRPr="002C2B23" w:rsidRDefault="0040620F">
      <w:pPr>
        <w:spacing w:line="360" w:lineRule="auto"/>
        <w:ind w:firstLine="480"/>
        <w:rPr>
          <w:bCs/>
          <w:sz w:val="24"/>
          <w:lang w:eastAsia="zh-CN"/>
        </w:rPr>
      </w:pPr>
      <w:r w:rsidRPr="002C2B23">
        <w:rPr>
          <w:bCs/>
          <w:sz w:val="24"/>
          <w:lang w:eastAsia="zh-CN"/>
        </w:rPr>
        <w:t>22</w:t>
      </w:r>
      <w:r w:rsidRPr="002C2B23">
        <w:rPr>
          <w:bCs/>
          <w:sz w:val="24"/>
          <w:lang w:eastAsia="zh-CN"/>
        </w:rPr>
        <w:t>、本基金连续发生巨额赎回并暂停接受赎回申请或延缓支付赎回款项；</w:t>
      </w:r>
    </w:p>
    <w:p w14:paraId="74334BB8" w14:textId="77777777" w:rsidR="005039DD" w:rsidRPr="002C2B23" w:rsidRDefault="0040620F">
      <w:pPr>
        <w:spacing w:line="360" w:lineRule="auto"/>
        <w:ind w:firstLine="480"/>
        <w:rPr>
          <w:bCs/>
          <w:sz w:val="24"/>
          <w:lang w:eastAsia="zh-CN"/>
        </w:rPr>
      </w:pPr>
      <w:r w:rsidRPr="002C2B23">
        <w:rPr>
          <w:bCs/>
          <w:sz w:val="24"/>
          <w:lang w:eastAsia="zh-CN"/>
        </w:rPr>
        <w:t>23</w:t>
      </w:r>
      <w:r w:rsidRPr="002C2B23">
        <w:rPr>
          <w:bCs/>
          <w:sz w:val="24"/>
          <w:lang w:eastAsia="zh-CN"/>
        </w:rPr>
        <w:t>、本基金暂停接受申购、赎回申请或重新接受申购、赎回申请；</w:t>
      </w:r>
    </w:p>
    <w:p w14:paraId="6EECD737" w14:textId="77777777" w:rsidR="005039DD" w:rsidRPr="002C2B23" w:rsidRDefault="0040620F">
      <w:pPr>
        <w:spacing w:line="360" w:lineRule="auto"/>
        <w:ind w:firstLine="480"/>
        <w:rPr>
          <w:bCs/>
          <w:sz w:val="24"/>
          <w:lang w:eastAsia="zh-CN"/>
        </w:rPr>
      </w:pPr>
      <w:r w:rsidRPr="002C2B23">
        <w:rPr>
          <w:bCs/>
          <w:sz w:val="24"/>
          <w:lang w:eastAsia="zh-CN"/>
        </w:rPr>
        <w:t>24</w:t>
      </w:r>
      <w:r w:rsidRPr="002C2B23">
        <w:rPr>
          <w:bCs/>
          <w:sz w:val="24"/>
          <w:lang w:eastAsia="zh-CN"/>
        </w:rPr>
        <w:t>、发生涉及基金申购、赎回事项调整或潜在影响投资者赎回等重大事项时；</w:t>
      </w:r>
    </w:p>
    <w:p w14:paraId="0F093F1C" w14:textId="77777777" w:rsidR="005039DD" w:rsidRPr="002C2B23" w:rsidRDefault="0040620F">
      <w:pPr>
        <w:spacing w:line="360" w:lineRule="auto"/>
        <w:ind w:firstLine="480"/>
        <w:rPr>
          <w:bCs/>
          <w:sz w:val="24"/>
          <w:lang w:eastAsia="zh-CN"/>
        </w:rPr>
      </w:pPr>
      <w:r w:rsidRPr="002C2B23">
        <w:rPr>
          <w:bCs/>
          <w:sz w:val="24"/>
          <w:lang w:eastAsia="zh-CN"/>
        </w:rPr>
        <w:t>25</w:t>
      </w:r>
      <w:r w:rsidRPr="002C2B23">
        <w:rPr>
          <w:bCs/>
          <w:sz w:val="24"/>
          <w:lang w:eastAsia="zh-CN"/>
        </w:rPr>
        <w:t>、基金管理人采用摆动定价机制进行估值；</w:t>
      </w:r>
    </w:p>
    <w:p w14:paraId="70C6DED3" w14:textId="77777777" w:rsidR="005039DD" w:rsidRPr="002C2B23" w:rsidRDefault="0040620F">
      <w:pPr>
        <w:spacing w:line="360" w:lineRule="auto"/>
        <w:ind w:firstLine="480"/>
        <w:rPr>
          <w:bCs/>
          <w:sz w:val="24"/>
          <w:lang w:eastAsia="zh-CN"/>
        </w:rPr>
      </w:pPr>
      <w:r w:rsidRPr="002C2B23">
        <w:rPr>
          <w:bCs/>
          <w:sz w:val="24"/>
          <w:lang w:eastAsia="zh-CN"/>
        </w:rPr>
        <w:t>26</w:t>
      </w:r>
      <w:r w:rsidRPr="002C2B23">
        <w:rPr>
          <w:bCs/>
          <w:sz w:val="24"/>
          <w:lang w:eastAsia="zh-CN"/>
        </w:rPr>
        <w:t>、调整基金份额类别的设置；</w:t>
      </w:r>
    </w:p>
    <w:p w14:paraId="185F33B3" w14:textId="77777777" w:rsidR="005039DD" w:rsidRPr="002C2B23" w:rsidRDefault="0040620F">
      <w:pPr>
        <w:spacing w:line="360" w:lineRule="auto"/>
        <w:ind w:firstLine="480"/>
        <w:rPr>
          <w:bCs/>
          <w:sz w:val="24"/>
          <w:lang w:eastAsia="zh-CN"/>
        </w:rPr>
      </w:pPr>
      <w:r w:rsidRPr="002C2B23">
        <w:rPr>
          <w:bCs/>
          <w:sz w:val="24"/>
          <w:lang w:eastAsia="zh-CN"/>
        </w:rPr>
        <w:t>27</w:t>
      </w:r>
      <w:r w:rsidRPr="002C2B23">
        <w:rPr>
          <w:bCs/>
          <w:sz w:val="24"/>
          <w:lang w:eastAsia="zh-CN"/>
        </w:rPr>
        <w:t>、基金推出新业务或服务；</w:t>
      </w:r>
    </w:p>
    <w:p w14:paraId="174F1500" w14:textId="77777777" w:rsidR="005039DD" w:rsidRPr="002C2B23" w:rsidRDefault="0040620F">
      <w:pPr>
        <w:spacing w:line="360" w:lineRule="auto"/>
        <w:ind w:firstLine="480"/>
        <w:rPr>
          <w:bCs/>
          <w:sz w:val="24"/>
          <w:lang w:eastAsia="zh-CN"/>
        </w:rPr>
      </w:pPr>
      <w:r w:rsidRPr="002C2B23">
        <w:rPr>
          <w:rFonts w:hint="eastAsia"/>
          <w:bCs/>
          <w:sz w:val="24"/>
          <w:lang w:eastAsia="zh-CN"/>
        </w:rPr>
        <w:t>28</w:t>
      </w:r>
      <w:r w:rsidRPr="002C2B23">
        <w:rPr>
          <w:rFonts w:hint="eastAsia"/>
          <w:bCs/>
          <w:sz w:val="24"/>
          <w:lang w:eastAsia="zh-CN"/>
        </w:rPr>
        <w:t>、</w:t>
      </w:r>
      <w:r w:rsidRPr="002C2B23">
        <w:rPr>
          <w:bCs/>
          <w:sz w:val="24"/>
          <w:lang w:eastAsia="zh-CN"/>
        </w:rPr>
        <w:t>基金信息披露义务人认为可能对基金份额持有人权益或者基金份额的价格产生重大影响的其他事项或中国证监会规定的和基金合同约定的其他事项。</w:t>
      </w:r>
    </w:p>
    <w:p w14:paraId="4FE5529A" w14:textId="77777777" w:rsidR="005039DD" w:rsidRPr="002C2B23" w:rsidRDefault="0040620F">
      <w:pPr>
        <w:spacing w:line="360" w:lineRule="auto"/>
        <w:ind w:firstLine="480"/>
        <w:rPr>
          <w:bCs/>
          <w:sz w:val="24"/>
          <w:lang w:eastAsia="zh-CN"/>
        </w:rPr>
      </w:pPr>
      <w:r w:rsidRPr="002C2B23">
        <w:rPr>
          <w:bCs/>
          <w:sz w:val="24"/>
          <w:lang w:eastAsia="zh-CN"/>
        </w:rPr>
        <w:t>（八）澄清公告</w:t>
      </w:r>
    </w:p>
    <w:p w14:paraId="2B9EC13A" w14:textId="77777777" w:rsidR="005039DD" w:rsidRPr="002C2B23" w:rsidRDefault="0040620F">
      <w:pPr>
        <w:spacing w:line="360" w:lineRule="auto"/>
        <w:ind w:firstLine="480"/>
        <w:rPr>
          <w:bCs/>
          <w:sz w:val="24"/>
          <w:lang w:eastAsia="zh-CN"/>
        </w:rPr>
      </w:pPr>
      <w:r w:rsidRPr="002C2B23">
        <w:rPr>
          <w:bCs/>
          <w:sz w:val="24"/>
          <w:lang w:eastAsia="zh-CN"/>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w:t>
      </w:r>
    </w:p>
    <w:p w14:paraId="04679B66" w14:textId="77777777" w:rsidR="005039DD" w:rsidRPr="002C2B23" w:rsidRDefault="0040620F">
      <w:pPr>
        <w:spacing w:line="360" w:lineRule="auto"/>
        <w:ind w:firstLine="480"/>
        <w:rPr>
          <w:bCs/>
          <w:sz w:val="24"/>
          <w:lang w:eastAsia="zh-CN"/>
        </w:rPr>
      </w:pPr>
      <w:r w:rsidRPr="002C2B23">
        <w:rPr>
          <w:bCs/>
          <w:sz w:val="24"/>
          <w:lang w:eastAsia="zh-CN"/>
        </w:rPr>
        <w:t>（九）清算报告</w:t>
      </w:r>
    </w:p>
    <w:p w14:paraId="15C15CEB" w14:textId="77777777" w:rsidR="005039DD" w:rsidRPr="002C2B23" w:rsidRDefault="0040620F">
      <w:pPr>
        <w:spacing w:line="360" w:lineRule="auto"/>
        <w:ind w:firstLine="480"/>
        <w:rPr>
          <w:bCs/>
          <w:sz w:val="24"/>
          <w:lang w:eastAsia="zh-CN"/>
        </w:rPr>
      </w:pPr>
      <w:r w:rsidRPr="002C2B23">
        <w:rPr>
          <w:bCs/>
          <w:sz w:val="24"/>
          <w:lang w:eastAsia="zh-CN"/>
        </w:rPr>
        <w:t>基金终止运作的，基金管理人应当依法组织基金财产清算小组对基金财产进行清算并</w:t>
      </w:r>
      <w:proofErr w:type="gramStart"/>
      <w:r w:rsidRPr="002C2B23">
        <w:rPr>
          <w:bCs/>
          <w:sz w:val="24"/>
          <w:lang w:eastAsia="zh-CN"/>
        </w:rPr>
        <w:t>作出</w:t>
      </w:r>
      <w:proofErr w:type="gramEnd"/>
      <w:r w:rsidRPr="002C2B23">
        <w:rPr>
          <w:bCs/>
          <w:sz w:val="24"/>
          <w:lang w:eastAsia="zh-CN"/>
        </w:rPr>
        <w:t>清算报告。基金财产清算小组应当将清算报告登载在规定网站上，并将清算报告提示性公告登载在规定报刊上。</w:t>
      </w:r>
    </w:p>
    <w:p w14:paraId="36165413" w14:textId="77777777" w:rsidR="005039DD" w:rsidRPr="002C2B23" w:rsidRDefault="0040620F">
      <w:pPr>
        <w:spacing w:line="360" w:lineRule="auto"/>
        <w:ind w:firstLine="480"/>
        <w:rPr>
          <w:bCs/>
          <w:sz w:val="24"/>
          <w:lang w:eastAsia="zh-CN"/>
        </w:rPr>
      </w:pPr>
      <w:r w:rsidRPr="002C2B23">
        <w:rPr>
          <w:bCs/>
          <w:sz w:val="24"/>
          <w:lang w:eastAsia="zh-CN"/>
        </w:rPr>
        <w:t>（十）基金份额持有人大会决议</w:t>
      </w:r>
    </w:p>
    <w:p w14:paraId="11A4394B" w14:textId="77777777" w:rsidR="005039DD" w:rsidRPr="002C2B23" w:rsidRDefault="0040620F">
      <w:pPr>
        <w:spacing w:line="360" w:lineRule="auto"/>
        <w:ind w:firstLine="480"/>
        <w:rPr>
          <w:bCs/>
          <w:sz w:val="24"/>
          <w:lang w:eastAsia="zh-CN"/>
        </w:rPr>
      </w:pPr>
      <w:r w:rsidRPr="002C2B23">
        <w:rPr>
          <w:bCs/>
          <w:sz w:val="24"/>
          <w:lang w:eastAsia="zh-CN"/>
        </w:rPr>
        <w:t>基金份额持有人大会决定的事项，应当依法报中国证监会备案，并予以公告。</w:t>
      </w:r>
    </w:p>
    <w:p w14:paraId="6436A44C" w14:textId="77777777" w:rsidR="005039DD" w:rsidRPr="002C2B23" w:rsidRDefault="0040620F">
      <w:pPr>
        <w:spacing w:line="360" w:lineRule="auto"/>
        <w:ind w:firstLine="480"/>
        <w:rPr>
          <w:bCs/>
          <w:sz w:val="24"/>
          <w:lang w:eastAsia="zh-CN"/>
        </w:rPr>
      </w:pPr>
      <w:r w:rsidRPr="002C2B23">
        <w:rPr>
          <w:bCs/>
          <w:sz w:val="24"/>
          <w:lang w:eastAsia="zh-CN"/>
        </w:rPr>
        <w:t>（十一）</w:t>
      </w:r>
      <w:bookmarkStart w:id="419" w:name="_Hlk31792551"/>
      <w:r w:rsidRPr="002C2B23">
        <w:rPr>
          <w:bCs/>
          <w:sz w:val="24"/>
          <w:lang w:eastAsia="zh-CN"/>
        </w:rPr>
        <w:t>投资股指期货、国债期货、股票期权的信息披露</w:t>
      </w:r>
      <w:bookmarkEnd w:id="419"/>
    </w:p>
    <w:p w14:paraId="1F49DE57" w14:textId="77777777" w:rsidR="005039DD" w:rsidRPr="002C2B23" w:rsidRDefault="0040620F">
      <w:pPr>
        <w:spacing w:line="360" w:lineRule="auto"/>
        <w:ind w:firstLine="480"/>
        <w:rPr>
          <w:bCs/>
          <w:sz w:val="24"/>
          <w:lang w:eastAsia="zh-CN"/>
        </w:rPr>
      </w:pPr>
      <w:r w:rsidRPr="002C2B23">
        <w:rPr>
          <w:bCs/>
          <w:sz w:val="24"/>
          <w:lang w:eastAsia="zh-CN"/>
        </w:rPr>
        <w:t>基金管理人应当在基金季度报告、基金中期报告、基金年度报告等定期报告和招募说明书（更新）等文件中披露股指期货、国债期货、股票期权交易情况，包括投资政策、持仓情况、损益情况、风险指标等，并充分揭示股指期货、国债期货、股票期权交易对基金总体风险的影响以及是否符合既定的投资政策和投资目标等。</w:t>
      </w:r>
    </w:p>
    <w:p w14:paraId="6FE36434" w14:textId="77777777" w:rsidR="005039DD" w:rsidRPr="002C2B23" w:rsidRDefault="0040620F">
      <w:pPr>
        <w:spacing w:line="360" w:lineRule="auto"/>
        <w:ind w:firstLine="480"/>
        <w:rPr>
          <w:bCs/>
          <w:sz w:val="24"/>
          <w:lang w:eastAsia="zh-CN"/>
        </w:rPr>
      </w:pPr>
      <w:r w:rsidRPr="002C2B23">
        <w:rPr>
          <w:bCs/>
          <w:sz w:val="24"/>
          <w:lang w:eastAsia="zh-CN"/>
        </w:rPr>
        <w:t>（十二）投资资产支持证券的信息披露</w:t>
      </w:r>
    </w:p>
    <w:p w14:paraId="01880C5D" w14:textId="77777777" w:rsidR="005039DD" w:rsidRPr="002C2B23" w:rsidRDefault="0040620F">
      <w:pPr>
        <w:spacing w:line="360" w:lineRule="auto"/>
        <w:ind w:firstLine="480"/>
        <w:rPr>
          <w:bCs/>
          <w:sz w:val="24"/>
          <w:lang w:eastAsia="zh-CN"/>
        </w:rPr>
      </w:pPr>
      <w:r w:rsidRPr="002C2B23">
        <w:rPr>
          <w:bCs/>
          <w:sz w:val="24"/>
          <w:lang w:eastAsia="zh-CN"/>
        </w:rPr>
        <w:t>基金管理人应在基金年度报告及中期报告中披露其持有的资产支持证券总额、资产支持证券市值占基金净资产的比例和报告期内所有的资产支持证券明细。基金管理人应在基金季度报告中披露其持有的资产支持证券总额、资产支持证券市值占基金净资产的比例和报告期末按市值占基金净资产比例大小排序的前</w:t>
      </w:r>
      <w:r w:rsidRPr="002C2B23">
        <w:rPr>
          <w:bCs/>
          <w:sz w:val="24"/>
          <w:lang w:eastAsia="zh-CN"/>
        </w:rPr>
        <w:t>10</w:t>
      </w:r>
      <w:r w:rsidRPr="002C2B23">
        <w:rPr>
          <w:bCs/>
          <w:sz w:val="24"/>
          <w:lang w:eastAsia="zh-CN"/>
        </w:rPr>
        <w:t>名资产支持证券明细。</w:t>
      </w:r>
    </w:p>
    <w:p w14:paraId="5B4F0DCC" w14:textId="77777777" w:rsidR="005039DD" w:rsidRPr="002C2B23" w:rsidRDefault="0040620F">
      <w:pPr>
        <w:spacing w:line="360" w:lineRule="auto"/>
        <w:ind w:firstLine="480"/>
        <w:rPr>
          <w:bCs/>
          <w:sz w:val="24"/>
          <w:lang w:eastAsia="zh-CN"/>
        </w:rPr>
      </w:pPr>
      <w:r w:rsidRPr="002C2B23">
        <w:rPr>
          <w:bCs/>
          <w:sz w:val="24"/>
          <w:lang w:eastAsia="zh-CN"/>
        </w:rPr>
        <w:t>（十三）</w:t>
      </w:r>
      <w:bookmarkStart w:id="420" w:name="_Hlk31792529"/>
      <w:r w:rsidRPr="002C2B23">
        <w:rPr>
          <w:bCs/>
          <w:sz w:val="24"/>
          <w:lang w:eastAsia="zh-CN"/>
        </w:rPr>
        <w:t>投资港股通标的股票的信息披露</w:t>
      </w:r>
      <w:bookmarkEnd w:id="420"/>
    </w:p>
    <w:p w14:paraId="02D125ED" w14:textId="77777777" w:rsidR="005039DD" w:rsidRPr="002C2B23" w:rsidRDefault="0040620F">
      <w:pPr>
        <w:spacing w:line="360" w:lineRule="auto"/>
        <w:ind w:firstLine="480"/>
        <w:rPr>
          <w:bCs/>
          <w:sz w:val="24"/>
          <w:lang w:eastAsia="zh-CN"/>
        </w:rPr>
      </w:pPr>
      <w:r w:rsidRPr="002C2B23">
        <w:rPr>
          <w:bCs/>
          <w:sz w:val="24"/>
          <w:lang w:eastAsia="zh-CN"/>
        </w:rPr>
        <w:t>基金管理人应当在季度报告、中期报告、年度报告等定期报告和招募说明书（更新）等文件中按届时有效的法律法规或监管机构的要求披露本基金参与港股通标的股票交易的相关情况。若中国证监会对公开募集证券投资基金投资港股通标的股票的信息披露另有规定的，从其规定。</w:t>
      </w:r>
    </w:p>
    <w:p w14:paraId="2CA8B9BC" w14:textId="77777777" w:rsidR="005039DD" w:rsidRPr="002C2B23" w:rsidRDefault="0040620F">
      <w:pPr>
        <w:spacing w:line="360" w:lineRule="auto"/>
        <w:ind w:firstLine="480"/>
        <w:rPr>
          <w:bCs/>
          <w:sz w:val="24"/>
          <w:lang w:eastAsia="zh-CN"/>
        </w:rPr>
      </w:pPr>
      <w:r w:rsidRPr="002C2B23">
        <w:rPr>
          <w:bCs/>
          <w:sz w:val="24"/>
          <w:lang w:eastAsia="zh-CN"/>
        </w:rPr>
        <w:t>（十四）</w:t>
      </w:r>
      <w:bookmarkStart w:id="421" w:name="_Hlk31792538"/>
      <w:r w:rsidRPr="002C2B23">
        <w:rPr>
          <w:bCs/>
          <w:sz w:val="24"/>
          <w:lang w:eastAsia="zh-CN"/>
        </w:rPr>
        <w:t>投资流通受限证券的信息披露</w:t>
      </w:r>
      <w:bookmarkEnd w:id="421"/>
    </w:p>
    <w:p w14:paraId="5FEA2376" w14:textId="77777777" w:rsidR="005039DD" w:rsidRPr="002C2B23" w:rsidRDefault="0040620F">
      <w:pPr>
        <w:spacing w:line="360" w:lineRule="auto"/>
        <w:ind w:firstLine="480"/>
        <w:rPr>
          <w:bCs/>
          <w:sz w:val="24"/>
          <w:lang w:eastAsia="zh-CN"/>
        </w:rPr>
      </w:pPr>
      <w:r w:rsidRPr="002C2B23">
        <w:rPr>
          <w:bCs/>
          <w:sz w:val="24"/>
          <w:lang w:eastAsia="zh-CN"/>
        </w:rPr>
        <w:t>基金管理人应在基金年度报告及中期报告中披露其持有的流通受限证券总额、流通受限证券市值占基金净资产的比例和报告期内所有的流通受限证券明细。基金管理人应在基金季度报告中披露其持有的流通受限证券总额、流通受限证券市值占基金净资产的比例和报告期末按市值占基金净资产比例大小排序的前</w:t>
      </w:r>
      <w:r w:rsidRPr="002C2B23">
        <w:rPr>
          <w:bCs/>
          <w:sz w:val="24"/>
          <w:lang w:eastAsia="zh-CN"/>
        </w:rPr>
        <w:t>10</w:t>
      </w:r>
      <w:r w:rsidRPr="002C2B23">
        <w:rPr>
          <w:bCs/>
          <w:sz w:val="24"/>
          <w:lang w:eastAsia="zh-CN"/>
        </w:rPr>
        <w:t>名流通受限证券明细。</w:t>
      </w:r>
    </w:p>
    <w:p w14:paraId="345F3F42" w14:textId="77777777" w:rsidR="005039DD" w:rsidRPr="002C2B23" w:rsidRDefault="0040620F">
      <w:pPr>
        <w:spacing w:line="360" w:lineRule="auto"/>
        <w:ind w:firstLine="480"/>
        <w:rPr>
          <w:bCs/>
          <w:sz w:val="24"/>
          <w:lang w:eastAsia="zh-CN"/>
        </w:rPr>
      </w:pPr>
      <w:r w:rsidRPr="002C2B23">
        <w:rPr>
          <w:bCs/>
          <w:sz w:val="24"/>
          <w:lang w:eastAsia="zh-CN"/>
        </w:rPr>
        <w:t>（十五）实施</w:t>
      </w:r>
      <w:proofErr w:type="gramStart"/>
      <w:r w:rsidRPr="002C2B23">
        <w:rPr>
          <w:bCs/>
          <w:sz w:val="24"/>
          <w:lang w:eastAsia="zh-CN"/>
        </w:rPr>
        <w:t>侧袋机制</w:t>
      </w:r>
      <w:proofErr w:type="gramEnd"/>
      <w:r w:rsidRPr="002C2B23">
        <w:rPr>
          <w:bCs/>
          <w:sz w:val="24"/>
          <w:lang w:eastAsia="zh-CN"/>
        </w:rPr>
        <w:t>期间的信息披露</w:t>
      </w:r>
    </w:p>
    <w:p w14:paraId="450A9534" w14:textId="77777777" w:rsidR="005039DD" w:rsidRPr="002C2B23" w:rsidRDefault="0040620F">
      <w:pPr>
        <w:spacing w:line="360" w:lineRule="auto"/>
        <w:ind w:firstLine="480"/>
        <w:rPr>
          <w:bCs/>
          <w:sz w:val="24"/>
          <w:lang w:eastAsia="zh-CN"/>
        </w:rPr>
      </w:pPr>
      <w:r w:rsidRPr="002C2B23">
        <w:rPr>
          <w:bCs/>
          <w:sz w:val="24"/>
          <w:lang w:eastAsia="zh-CN"/>
        </w:rPr>
        <w:t>本基金实施</w:t>
      </w:r>
      <w:proofErr w:type="gramStart"/>
      <w:r w:rsidRPr="002C2B23">
        <w:rPr>
          <w:bCs/>
          <w:sz w:val="24"/>
          <w:lang w:eastAsia="zh-CN"/>
        </w:rPr>
        <w:t>侧袋机制</w:t>
      </w:r>
      <w:proofErr w:type="gramEnd"/>
      <w:r w:rsidRPr="002C2B23">
        <w:rPr>
          <w:bCs/>
          <w:sz w:val="24"/>
          <w:lang w:eastAsia="zh-CN"/>
        </w:rPr>
        <w:t>的，相关信息披露义务人应当根据法律法规、基金合同和招募说明书的规定进行信息披露，详见招募说明书的规定。</w:t>
      </w:r>
    </w:p>
    <w:p w14:paraId="420AB7A5" w14:textId="77777777" w:rsidR="005039DD" w:rsidRPr="002C2B23" w:rsidRDefault="0040620F">
      <w:pPr>
        <w:spacing w:line="360" w:lineRule="auto"/>
        <w:ind w:firstLine="480"/>
        <w:rPr>
          <w:bCs/>
          <w:sz w:val="24"/>
          <w:lang w:eastAsia="zh-CN"/>
        </w:rPr>
      </w:pPr>
      <w:r w:rsidRPr="002C2B23">
        <w:rPr>
          <w:bCs/>
          <w:sz w:val="24"/>
          <w:lang w:eastAsia="zh-CN"/>
        </w:rPr>
        <w:t>（十</w:t>
      </w:r>
      <w:r w:rsidRPr="002C2B23">
        <w:rPr>
          <w:rFonts w:hint="eastAsia"/>
          <w:bCs/>
          <w:sz w:val="24"/>
          <w:lang w:eastAsia="zh-CN"/>
        </w:rPr>
        <w:t>六</w:t>
      </w:r>
      <w:r w:rsidRPr="002C2B23">
        <w:rPr>
          <w:bCs/>
          <w:sz w:val="24"/>
          <w:lang w:eastAsia="zh-CN"/>
        </w:rPr>
        <w:t>）中国证监会规定的其他信息</w:t>
      </w:r>
    </w:p>
    <w:p w14:paraId="303400EC" w14:textId="77777777" w:rsidR="005039DD" w:rsidRPr="002C2B23" w:rsidRDefault="005039DD">
      <w:pPr>
        <w:spacing w:line="360" w:lineRule="auto"/>
        <w:ind w:firstLine="480"/>
        <w:rPr>
          <w:bCs/>
          <w:sz w:val="24"/>
          <w:lang w:eastAsia="zh-CN"/>
        </w:rPr>
      </w:pPr>
    </w:p>
    <w:p w14:paraId="56141841" w14:textId="77777777" w:rsidR="005039DD" w:rsidRPr="002C2B23" w:rsidRDefault="0040620F">
      <w:pPr>
        <w:spacing w:line="360" w:lineRule="auto"/>
        <w:ind w:firstLine="480"/>
        <w:rPr>
          <w:bCs/>
          <w:sz w:val="24"/>
          <w:lang w:eastAsia="zh-CN"/>
        </w:rPr>
      </w:pPr>
      <w:r w:rsidRPr="002C2B23">
        <w:rPr>
          <w:bCs/>
          <w:sz w:val="24"/>
          <w:lang w:eastAsia="zh-CN"/>
        </w:rPr>
        <w:t>六、信息披露事务管理</w:t>
      </w:r>
    </w:p>
    <w:p w14:paraId="5BF34A22" w14:textId="77777777" w:rsidR="005039DD" w:rsidRPr="002C2B23" w:rsidRDefault="0040620F">
      <w:pPr>
        <w:spacing w:line="360" w:lineRule="auto"/>
        <w:ind w:firstLine="480"/>
        <w:rPr>
          <w:bCs/>
          <w:sz w:val="24"/>
          <w:lang w:eastAsia="zh-CN"/>
        </w:rPr>
      </w:pPr>
      <w:r w:rsidRPr="002C2B23">
        <w:rPr>
          <w:bCs/>
          <w:sz w:val="24"/>
          <w:lang w:eastAsia="zh-CN"/>
        </w:rPr>
        <w:t>基金管理人、基金托管人应当建立健全信息披露管理制度，指定专门部门及高级管理人员负责管理信息披露事务。</w:t>
      </w:r>
    </w:p>
    <w:p w14:paraId="1F6FCFFF" w14:textId="77777777" w:rsidR="005039DD" w:rsidRPr="002C2B23" w:rsidRDefault="0040620F">
      <w:pPr>
        <w:spacing w:line="360" w:lineRule="auto"/>
        <w:ind w:firstLine="480"/>
        <w:rPr>
          <w:bCs/>
          <w:sz w:val="24"/>
          <w:lang w:eastAsia="zh-CN"/>
        </w:rPr>
      </w:pPr>
      <w:r w:rsidRPr="002C2B23">
        <w:rPr>
          <w:bCs/>
          <w:sz w:val="24"/>
          <w:lang w:eastAsia="zh-CN"/>
        </w:rPr>
        <w:t>基金信息披露义务人公开披露基金信息，应当符合中国证监会相关基金信息披露内容与格式准则等法规的规定。</w:t>
      </w:r>
    </w:p>
    <w:p w14:paraId="1F8B34B8" w14:textId="77777777" w:rsidR="005039DD" w:rsidRPr="002C2B23" w:rsidRDefault="0040620F">
      <w:pPr>
        <w:spacing w:line="360" w:lineRule="auto"/>
        <w:ind w:firstLine="480"/>
        <w:rPr>
          <w:bCs/>
          <w:sz w:val="24"/>
          <w:lang w:eastAsia="zh-CN"/>
        </w:rPr>
      </w:pPr>
      <w:r w:rsidRPr="002C2B23">
        <w:rPr>
          <w:bCs/>
          <w:sz w:val="24"/>
          <w:lang w:eastAsia="zh-CN"/>
        </w:rPr>
        <w:t>基金托管人应当按照相关法律法规、中国证监会的规定和《基金合同》的约定，对基金管理人编制的基金资产净值、各类基金份额净值、基金份额申购赎回价格、基金定期报告、更新的招募说明书、基金产品资料概要、基金清算报告等相关基金信息进行复核、审查，并向基金管理人进行书面或电子确认。</w:t>
      </w:r>
    </w:p>
    <w:p w14:paraId="3A722A78" w14:textId="77777777" w:rsidR="005039DD" w:rsidRPr="002C2B23" w:rsidRDefault="0040620F">
      <w:pPr>
        <w:spacing w:line="360" w:lineRule="auto"/>
        <w:ind w:firstLine="480"/>
        <w:rPr>
          <w:bCs/>
          <w:sz w:val="24"/>
          <w:lang w:eastAsia="zh-CN"/>
        </w:rPr>
      </w:pPr>
      <w:r w:rsidRPr="002C2B23">
        <w:rPr>
          <w:rFonts w:hint="eastAsia"/>
          <w:bCs/>
          <w:sz w:val="24"/>
          <w:lang w:eastAsia="zh-CN"/>
        </w:rPr>
        <w:t>基金管理人在信息披露时，应说明基金托管人所复核的数据和信息。对于基金托管人复核结果与基金管理人无法达成一致的，基金管理人应按照有关法律法规进行信息披露。</w:t>
      </w:r>
    </w:p>
    <w:p w14:paraId="0C71250B" w14:textId="77777777" w:rsidR="005039DD" w:rsidRPr="002C2B23" w:rsidRDefault="0040620F">
      <w:pPr>
        <w:spacing w:line="360" w:lineRule="auto"/>
        <w:ind w:firstLine="480"/>
        <w:rPr>
          <w:bCs/>
          <w:sz w:val="24"/>
          <w:lang w:eastAsia="zh-CN"/>
        </w:rPr>
      </w:pPr>
      <w:r w:rsidRPr="002C2B23">
        <w:rPr>
          <w:bCs/>
          <w:sz w:val="24"/>
          <w:lang w:eastAsia="zh-CN"/>
        </w:rPr>
        <w:t>基金管理人、基金托管人应当在规定报刊中选择一家披露信息的报刊。</w:t>
      </w:r>
    </w:p>
    <w:p w14:paraId="77118861" w14:textId="77777777" w:rsidR="005039DD" w:rsidRPr="002C2B23" w:rsidRDefault="0040620F">
      <w:pPr>
        <w:spacing w:line="360" w:lineRule="auto"/>
        <w:ind w:firstLine="480"/>
        <w:rPr>
          <w:bCs/>
          <w:sz w:val="24"/>
          <w:lang w:eastAsia="zh-CN"/>
        </w:rPr>
      </w:pPr>
      <w:r w:rsidRPr="002C2B23">
        <w:rPr>
          <w:bCs/>
          <w:sz w:val="24"/>
          <w:lang w:eastAsia="zh-CN"/>
        </w:rPr>
        <w:t>基金管理人、基金托管人应当向中国证监会基金电子披露网站报送拟披露的基金信息，并保证相关报送信息的真实、准确、完整、及时。</w:t>
      </w:r>
    </w:p>
    <w:p w14:paraId="76A9E0CE" w14:textId="77777777" w:rsidR="005039DD" w:rsidRPr="002C2B23" w:rsidRDefault="0040620F">
      <w:pPr>
        <w:spacing w:line="360" w:lineRule="auto"/>
        <w:ind w:firstLine="480"/>
        <w:rPr>
          <w:bCs/>
          <w:sz w:val="24"/>
          <w:lang w:eastAsia="zh-CN"/>
        </w:rPr>
      </w:pPr>
      <w:r w:rsidRPr="002C2B23">
        <w:rPr>
          <w:bCs/>
          <w:sz w:val="24"/>
          <w:lang w:eastAsia="zh-CN"/>
        </w:rPr>
        <w:t>基金管理人、基金托管人除按法律法规要求披露信息外，也可着眼于为投资者决策提供有用信息的角度，在保证公平对待投资者、</w:t>
      </w:r>
      <w:proofErr w:type="gramStart"/>
      <w:r w:rsidRPr="002C2B23">
        <w:rPr>
          <w:bCs/>
          <w:sz w:val="24"/>
          <w:lang w:eastAsia="zh-CN"/>
        </w:rPr>
        <w:t>不</w:t>
      </w:r>
      <w:proofErr w:type="gramEnd"/>
      <w:r w:rsidRPr="002C2B23">
        <w:rPr>
          <w:bCs/>
          <w:sz w:val="24"/>
          <w:lang w:eastAsia="zh-CN"/>
        </w:rPr>
        <w:t>误导投资者、不影响基金正常投资操作的前提下，自主提升信息披露服务的质量。具体要求应当符合中国证监会相关规定。前述自主披露如产生信息披露费用，该费用不得从基金财产中列支。</w:t>
      </w:r>
    </w:p>
    <w:p w14:paraId="6E222A81" w14:textId="77777777" w:rsidR="005039DD" w:rsidRPr="002C2B23" w:rsidRDefault="0040620F">
      <w:pPr>
        <w:spacing w:line="360" w:lineRule="auto"/>
        <w:ind w:firstLine="480"/>
        <w:rPr>
          <w:bCs/>
          <w:sz w:val="24"/>
          <w:lang w:eastAsia="zh-CN"/>
        </w:rPr>
      </w:pPr>
      <w:r w:rsidRPr="002C2B23">
        <w:rPr>
          <w:bCs/>
          <w:sz w:val="24"/>
          <w:lang w:eastAsia="zh-CN"/>
        </w:rPr>
        <w:t>基金管理人、基金托管人除依法在规定媒介上披露信息外，还可以根据需要在其他公共媒介披露信息，但是其他公共媒介不得早于规定媒介披露信息，并且在不同媒介上披露同一信息的内容应当一致。</w:t>
      </w:r>
    </w:p>
    <w:p w14:paraId="2FC597D1" w14:textId="77777777" w:rsidR="005039DD" w:rsidRPr="002C2B23" w:rsidRDefault="0040620F">
      <w:pPr>
        <w:spacing w:line="360" w:lineRule="auto"/>
        <w:ind w:firstLine="480"/>
        <w:rPr>
          <w:bCs/>
          <w:sz w:val="24"/>
          <w:lang w:eastAsia="zh-CN"/>
        </w:rPr>
      </w:pPr>
      <w:r w:rsidRPr="002C2B23">
        <w:rPr>
          <w:bCs/>
          <w:sz w:val="24"/>
          <w:lang w:eastAsia="zh-CN"/>
        </w:rPr>
        <w:t>为基金信息披露义务人公开披露的基金信息出具审计报告、法律意见书的专业机构，应当制作工作底稿，并将相关档案至少保存到《基金合同》终止后</w:t>
      </w:r>
      <w:r w:rsidRPr="002C2B23">
        <w:rPr>
          <w:bCs/>
          <w:sz w:val="24"/>
          <w:lang w:eastAsia="zh-CN"/>
        </w:rPr>
        <w:t>10</w:t>
      </w:r>
      <w:r w:rsidRPr="002C2B23">
        <w:rPr>
          <w:bCs/>
          <w:sz w:val="24"/>
          <w:lang w:eastAsia="zh-CN"/>
        </w:rPr>
        <w:t>年。</w:t>
      </w:r>
    </w:p>
    <w:p w14:paraId="4A5DF7A1" w14:textId="77777777" w:rsidR="005039DD" w:rsidRPr="002C2B23" w:rsidRDefault="005039DD">
      <w:pPr>
        <w:spacing w:line="360" w:lineRule="auto"/>
        <w:ind w:firstLine="480"/>
        <w:rPr>
          <w:bCs/>
          <w:sz w:val="24"/>
          <w:lang w:eastAsia="zh-CN"/>
        </w:rPr>
      </w:pPr>
    </w:p>
    <w:p w14:paraId="11F1B900" w14:textId="77777777" w:rsidR="005039DD" w:rsidRPr="002C2B23" w:rsidRDefault="0040620F">
      <w:pPr>
        <w:spacing w:line="360" w:lineRule="auto"/>
        <w:ind w:firstLine="480"/>
        <w:rPr>
          <w:bCs/>
          <w:sz w:val="24"/>
          <w:lang w:eastAsia="zh-CN"/>
        </w:rPr>
      </w:pPr>
      <w:r w:rsidRPr="002C2B23">
        <w:rPr>
          <w:bCs/>
          <w:sz w:val="24"/>
          <w:lang w:eastAsia="zh-CN"/>
        </w:rPr>
        <w:t>七、信息披露文件的存放与查阅</w:t>
      </w:r>
    </w:p>
    <w:p w14:paraId="015302DB" w14:textId="77777777" w:rsidR="005039DD" w:rsidRPr="002C2B23" w:rsidRDefault="0040620F">
      <w:pPr>
        <w:spacing w:line="360" w:lineRule="auto"/>
        <w:ind w:firstLine="480"/>
        <w:rPr>
          <w:bCs/>
          <w:sz w:val="24"/>
          <w:lang w:eastAsia="zh-CN"/>
        </w:rPr>
      </w:pPr>
      <w:r w:rsidRPr="002C2B23">
        <w:rPr>
          <w:bCs/>
          <w:sz w:val="24"/>
          <w:lang w:eastAsia="zh-CN"/>
        </w:rPr>
        <w:t>依法必须披露的信息发布后，基金管理人、基金托管人应当按照相关法律法规规定将信息置备于公司住所，以供社会公众查阅、复制。</w:t>
      </w:r>
    </w:p>
    <w:p w14:paraId="68A13478" w14:textId="77777777" w:rsidR="005039DD" w:rsidRPr="002C2B23" w:rsidRDefault="005039DD">
      <w:pPr>
        <w:spacing w:line="360" w:lineRule="auto"/>
        <w:ind w:firstLine="480"/>
        <w:rPr>
          <w:bCs/>
          <w:sz w:val="24"/>
          <w:lang w:eastAsia="zh-CN"/>
        </w:rPr>
      </w:pPr>
    </w:p>
    <w:p w14:paraId="0B66C02E" w14:textId="77777777" w:rsidR="005039DD" w:rsidRPr="002C2B23" w:rsidRDefault="0040620F">
      <w:pPr>
        <w:spacing w:line="360" w:lineRule="auto"/>
        <w:ind w:firstLine="480"/>
        <w:rPr>
          <w:bCs/>
          <w:sz w:val="24"/>
          <w:lang w:eastAsia="zh-CN"/>
        </w:rPr>
      </w:pPr>
      <w:r w:rsidRPr="002C2B23">
        <w:rPr>
          <w:bCs/>
          <w:sz w:val="24"/>
          <w:lang w:eastAsia="zh-CN"/>
        </w:rPr>
        <w:t>八、暂停或延迟信息披露的情形</w:t>
      </w:r>
    </w:p>
    <w:p w14:paraId="7FE768D1" w14:textId="77777777" w:rsidR="005039DD" w:rsidRPr="002C2B23" w:rsidRDefault="0040620F">
      <w:pPr>
        <w:spacing w:line="360" w:lineRule="auto"/>
        <w:ind w:firstLine="480"/>
        <w:rPr>
          <w:bCs/>
          <w:sz w:val="24"/>
          <w:lang w:eastAsia="zh-CN"/>
        </w:rPr>
      </w:pPr>
      <w:bookmarkStart w:id="422" w:name="_Hlk31792767"/>
      <w:r w:rsidRPr="002C2B23">
        <w:rPr>
          <w:bCs/>
          <w:sz w:val="24"/>
          <w:lang w:eastAsia="zh-CN"/>
        </w:rPr>
        <w:t>1</w:t>
      </w:r>
      <w:r w:rsidRPr="002C2B23">
        <w:rPr>
          <w:bCs/>
          <w:sz w:val="24"/>
          <w:lang w:eastAsia="zh-CN"/>
        </w:rPr>
        <w:t>、因不可抗力或其他情形致使基金管理人、基金托管人无法准确评估基金资产价值时；</w:t>
      </w:r>
    </w:p>
    <w:p w14:paraId="6BAD1E66"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、基金投资所涉及的证券、期货交易所或外汇市场遇法定节假日或因其他原因暂停营业时；</w:t>
      </w:r>
    </w:p>
    <w:p w14:paraId="6B740E49"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、当特定资产占前一估值日基金资产净值</w:t>
      </w:r>
      <w:r w:rsidRPr="002C2B23">
        <w:rPr>
          <w:bCs/>
          <w:sz w:val="24"/>
          <w:lang w:eastAsia="zh-CN"/>
        </w:rPr>
        <w:t>50%</w:t>
      </w:r>
      <w:r w:rsidRPr="002C2B23">
        <w:rPr>
          <w:bCs/>
          <w:sz w:val="24"/>
          <w:lang w:eastAsia="zh-CN"/>
        </w:rPr>
        <w:t>以上的，经与基金托管人协商确认后，发生暂停估值的情形；</w:t>
      </w:r>
    </w:p>
    <w:p w14:paraId="02E32870" w14:textId="77777777" w:rsidR="005039DD" w:rsidRPr="002C2B23" w:rsidRDefault="0040620F">
      <w:pPr>
        <w:spacing w:line="360" w:lineRule="auto"/>
        <w:ind w:firstLine="480"/>
        <w:rPr>
          <w:bCs/>
          <w:sz w:val="24"/>
          <w:lang w:eastAsia="zh-CN"/>
        </w:rPr>
        <w:sectPr w:rsidR="005039DD" w:rsidRPr="002C2B23">
          <w:footerReference w:type="default" r:id="rId27"/>
          <w:pgSz w:w="12240" w:h="15840"/>
          <w:pgMar w:top="1440" w:right="1800" w:bottom="1440" w:left="1800" w:header="720" w:footer="720" w:gutter="0"/>
          <w:cols w:space="720"/>
          <w:docGrid w:linePitch="312"/>
        </w:sectPr>
      </w:pPr>
      <w:r w:rsidRPr="002C2B23">
        <w:rPr>
          <w:bCs/>
          <w:sz w:val="24"/>
          <w:lang w:eastAsia="zh-CN"/>
        </w:rPr>
        <w:t>4</w:t>
      </w:r>
      <w:r w:rsidRPr="002C2B23">
        <w:rPr>
          <w:bCs/>
          <w:sz w:val="24"/>
          <w:lang w:eastAsia="zh-CN"/>
        </w:rPr>
        <w:t>、法律法规规定、中国证监会或基金合同认定的其他情形。</w:t>
      </w:r>
      <w:bookmarkEnd w:id="422"/>
    </w:p>
    <w:p w14:paraId="5F930177" w14:textId="77777777" w:rsidR="005039DD" w:rsidRPr="002C2B23" w:rsidRDefault="005039DD">
      <w:pPr>
        <w:spacing w:line="360" w:lineRule="auto"/>
        <w:ind w:firstLine="480"/>
        <w:rPr>
          <w:bCs/>
          <w:sz w:val="24"/>
          <w:lang w:eastAsia="zh-CN"/>
        </w:rPr>
      </w:pPr>
    </w:p>
    <w:p w14:paraId="25AC1597" w14:textId="77777777" w:rsidR="005039DD" w:rsidRPr="002C2B23" w:rsidRDefault="0040620F">
      <w:pPr>
        <w:pStyle w:val="112"/>
        <w:spacing w:before="0" w:after="0"/>
        <w:jc w:val="center"/>
        <w:rPr>
          <w:rFonts w:ascii="Times New Roman"/>
          <w:sz w:val="30"/>
          <w:lang w:eastAsia="zh-CN"/>
        </w:rPr>
      </w:pPr>
      <w:bookmarkStart w:id="423" w:name="_Toc141703899"/>
      <w:bookmarkStart w:id="424" w:name="_Toc11113"/>
      <w:bookmarkStart w:id="425" w:name="_Toc6237"/>
      <w:bookmarkStart w:id="426" w:name="_Toc10006"/>
      <w:bookmarkStart w:id="427" w:name="_Toc29891"/>
      <w:bookmarkStart w:id="428" w:name="_Toc109141379"/>
      <w:bookmarkStart w:id="429" w:name="_Toc123051465"/>
      <w:bookmarkStart w:id="430" w:name="_Toc139991749"/>
      <w:bookmarkStart w:id="431" w:name="_Toc9005"/>
      <w:bookmarkStart w:id="432" w:name="_Toc7170"/>
      <w:bookmarkStart w:id="433" w:name="_Toc8049"/>
      <w:bookmarkStart w:id="434" w:name="_Toc27464"/>
      <w:bookmarkStart w:id="435" w:name="_Toc123102466"/>
      <w:bookmarkStart w:id="436" w:name="_Toc22978"/>
      <w:bookmarkStart w:id="437" w:name="_Toc98560364"/>
      <w:bookmarkStart w:id="438" w:name="_Toc123112247"/>
      <w:bookmarkStart w:id="439" w:name="_Toc25647"/>
      <w:bookmarkStart w:id="440" w:name="_Toc8059"/>
      <w:r w:rsidRPr="002C2B23">
        <w:rPr>
          <w:rFonts w:ascii="Times New Roman"/>
          <w:sz w:val="30"/>
          <w:lang w:eastAsia="zh-CN"/>
        </w:rPr>
        <w:t>第十九部分</w:t>
      </w:r>
      <w:r w:rsidRPr="002C2B23">
        <w:rPr>
          <w:rFonts w:ascii="Times New Roman"/>
          <w:sz w:val="30"/>
          <w:lang w:eastAsia="zh-CN"/>
        </w:rPr>
        <w:t xml:space="preserve">  </w:t>
      </w:r>
      <w:bookmarkStart w:id="441" w:name="_Hlt88828593"/>
      <w:r w:rsidRPr="002C2B23">
        <w:rPr>
          <w:rFonts w:ascii="Times New Roman"/>
          <w:sz w:val="30"/>
          <w:lang w:eastAsia="zh-CN"/>
        </w:rPr>
        <w:t>基金合同</w:t>
      </w:r>
      <w:bookmarkEnd w:id="441"/>
      <w:r w:rsidRPr="002C2B23">
        <w:rPr>
          <w:rFonts w:ascii="Times New Roman"/>
          <w:sz w:val="30"/>
          <w:lang w:eastAsia="zh-CN"/>
        </w:rPr>
        <w:t>的变更、终止与基金财产的清算</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14:paraId="55C506CA" w14:textId="77777777" w:rsidR="005039DD" w:rsidRPr="002C2B23" w:rsidRDefault="005039DD">
      <w:pPr>
        <w:spacing w:line="360" w:lineRule="auto"/>
        <w:ind w:firstLine="480"/>
        <w:rPr>
          <w:bCs/>
          <w:sz w:val="24"/>
          <w:lang w:eastAsia="zh-CN"/>
        </w:rPr>
      </w:pPr>
    </w:p>
    <w:p w14:paraId="02A2516C" w14:textId="77777777" w:rsidR="005039DD" w:rsidRPr="002C2B23" w:rsidRDefault="0040620F">
      <w:pPr>
        <w:spacing w:line="360" w:lineRule="auto"/>
        <w:ind w:firstLine="480"/>
        <w:rPr>
          <w:bCs/>
          <w:sz w:val="24"/>
          <w:lang w:eastAsia="zh-CN"/>
        </w:rPr>
      </w:pPr>
      <w:bookmarkStart w:id="442" w:name="_Toc79392639"/>
      <w:bookmarkStart w:id="443" w:name="_Hlk96416012"/>
      <w:r w:rsidRPr="002C2B23">
        <w:rPr>
          <w:bCs/>
          <w:sz w:val="24"/>
          <w:lang w:eastAsia="zh-CN"/>
        </w:rPr>
        <w:t>一、《基金合同》的变更</w:t>
      </w:r>
      <w:bookmarkEnd w:id="442"/>
    </w:p>
    <w:p w14:paraId="281A4E23"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、变更基金合同涉及法律法规规定或本基金合同约定应经基金份额持有人大会决议通过的事项的，应召</w:t>
      </w:r>
      <w:proofErr w:type="gramStart"/>
      <w:r w:rsidRPr="002C2B23">
        <w:rPr>
          <w:bCs/>
          <w:sz w:val="24"/>
          <w:lang w:eastAsia="zh-CN"/>
        </w:rPr>
        <w:t>开基金</w:t>
      </w:r>
      <w:proofErr w:type="gramEnd"/>
      <w:r w:rsidRPr="002C2B23">
        <w:rPr>
          <w:bCs/>
          <w:sz w:val="24"/>
          <w:lang w:eastAsia="zh-CN"/>
        </w:rPr>
        <w:t>份额持有人大会决议通过。对于法律法规规定和基金合同约定可不经基金份额持有人大会决议通过的事项，由基金管理人和基金托管人同意后变更并公告，并报中国证监会备案。</w:t>
      </w:r>
    </w:p>
    <w:p w14:paraId="14346D83"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、关于《基金合同》变更的基金份额持有人大会决议自生效后方可执行，</w:t>
      </w:r>
      <w:proofErr w:type="gramStart"/>
      <w:r w:rsidRPr="002C2B23">
        <w:rPr>
          <w:bCs/>
          <w:sz w:val="24"/>
          <w:lang w:eastAsia="zh-CN"/>
        </w:rPr>
        <w:t>自决议</w:t>
      </w:r>
      <w:proofErr w:type="gramEnd"/>
      <w:r w:rsidRPr="002C2B23">
        <w:rPr>
          <w:bCs/>
          <w:sz w:val="24"/>
          <w:lang w:eastAsia="zh-CN"/>
        </w:rPr>
        <w:t>生效后按规定在规定媒介公告。</w:t>
      </w:r>
    </w:p>
    <w:p w14:paraId="3A59E812" w14:textId="77777777" w:rsidR="005039DD" w:rsidRPr="002C2B23" w:rsidRDefault="005039DD">
      <w:pPr>
        <w:spacing w:line="360" w:lineRule="auto"/>
        <w:ind w:firstLine="480"/>
        <w:rPr>
          <w:bCs/>
          <w:sz w:val="24"/>
          <w:lang w:eastAsia="zh-CN"/>
        </w:rPr>
      </w:pPr>
    </w:p>
    <w:p w14:paraId="2628DE32" w14:textId="77777777" w:rsidR="005039DD" w:rsidRPr="002C2B23" w:rsidRDefault="0040620F">
      <w:pPr>
        <w:spacing w:line="360" w:lineRule="auto"/>
        <w:ind w:firstLine="480"/>
        <w:rPr>
          <w:bCs/>
          <w:sz w:val="24"/>
          <w:lang w:eastAsia="zh-CN"/>
        </w:rPr>
      </w:pPr>
      <w:r w:rsidRPr="002C2B23">
        <w:rPr>
          <w:bCs/>
          <w:sz w:val="24"/>
          <w:lang w:eastAsia="zh-CN"/>
        </w:rPr>
        <w:t>二、《基金合同》的终止事由</w:t>
      </w:r>
    </w:p>
    <w:p w14:paraId="08E0EDF9" w14:textId="77777777" w:rsidR="005039DD" w:rsidRPr="002C2B23" w:rsidRDefault="0040620F">
      <w:pPr>
        <w:spacing w:line="360" w:lineRule="auto"/>
        <w:ind w:firstLine="480"/>
        <w:rPr>
          <w:bCs/>
          <w:sz w:val="24"/>
          <w:lang w:eastAsia="zh-CN"/>
        </w:rPr>
      </w:pPr>
      <w:r w:rsidRPr="002C2B23">
        <w:rPr>
          <w:bCs/>
          <w:sz w:val="24"/>
          <w:lang w:eastAsia="zh-CN"/>
        </w:rPr>
        <w:t>有下列情形之一的，经履行相关程序后，《基金合同》应当终止：</w:t>
      </w:r>
    </w:p>
    <w:p w14:paraId="381619B6"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、基金份额持有人大会决定终止的；</w:t>
      </w:r>
    </w:p>
    <w:p w14:paraId="42E5340F"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、基金管理人、基金托管人职责终止，在</w:t>
      </w:r>
      <w:r w:rsidRPr="002C2B23">
        <w:rPr>
          <w:bCs/>
          <w:sz w:val="24"/>
          <w:lang w:eastAsia="zh-CN"/>
        </w:rPr>
        <w:t>6</w:t>
      </w:r>
      <w:r w:rsidRPr="002C2B23">
        <w:rPr>
          <w:bCs/>
          <w:sz w:val="24"/>
          <w:lang w:eastAsia="zh-CN"/>
        </w:rPr>
        <w:t>个月内没有新基金管理人、新基金托管人承接的；</w:t>
      </w:r>
    </w:p>
    <w:p w14:paraId="6E0AEE3A"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、《基金合同》约定的其他情形；</w:t>
      </w:r>
    </w:p>
    <w:p w14:paraId="34620B8D" w14:textId="77777777" w:rsidR="005039DD" w:rsidRPr="002C2B23" w:rsidRDefault="0040620F">
      <w:pPr>
        <w:spacing w:line="360" w:lineRule="auto"/>
        <w:ind w:firstLine="480"/>
        <w:rPr>
          <w:bCs/>
          <w:sz w:val="24"/>
          <w:lang w:eastAsia="zh-CN"/>
        </w:rPr>
      </w:pPr>
      <w:r w:rsidRPr="002C2B23">
        <w:rPr>
          <w:bCs/>
          <w:sz w:val="24"/>
          <w:lang w:eastAsia="zh-CN"/>
        </w:rPr>
        <w:t>4</w:t>
      </w:r>
      <w:r w:rsidRPr="002C2B23">
        <w:rPr>
          <w:bCs/>
          <w:sz w:val="24"/>
          <w:lang w:eastAsia="zh-CN"/>
        </w:rPr>
        <w:t>、相关法律法规和中国证监会规定的其他情况。</w:t>
      </w:r>
    </w:p>
    <w:p w14:paraId="3061EA07" w14:textId="77777777" w:rsidR="005039DD" w:rsidRPr="002C2B23" w:rsidRDefault="005039DD">
      <w:pPr>
        <w:spacing w:line="360" w:lineRule="auto"/>
        <w:ind w:firstLine="480"/>
        <w:rPr>
          <w:bCs/>
          <w:sz w:val="24"/>
          <w:lang w:eastAsia="zh-CN"/>
        </w:rPr>
      </w:pPr>
    </w:p>
    <w:p w14:paraId="375BE529" w14:textId="77777777" w:rsidR="005039DD" w:rsidRPr="002C2B23" w:rsidRDefault="0040620F">
      <w:pPr>
        <w:spacing w:line="360" w:lineRule="auto"/>
        <w:ind w:firstLine="480"/>
        <w:rPr>
          <w:bCs/>
          <w:sz w:val="24"/>
          <w:lang w:eastAsia="zh-CN"/>
        </w:rPr>
      </w:pPr>
      <w:r w:rsidRPr="002C2B23">
        <w:rPr>
          <w:bCs/>
          <w:sz w:val="24"/>
          <w:lang w:eastAsia="zh-CN"/>
        </w:rPr>
        <w:t>三、基金财产的清算</w:t>
      </w:r>
    </w:p>
    <w:p w14:paraId="5B732ED5"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、基金财产清算小组：自出现《基金合同》终止事由之日起</w:t>
      </w:r>
      <w:r w:rsidRPr="002C2B23">
        <w:rPr>
          <w:bCs/>
          <w:sz w:val="24"/>
          <w:lang w:eastAsia="zh-CN"/>
        </w:rPr>
        <w:t>30</w:t>
      </w:r>
      <w:r w:rsidRPr="002C2B23">
        <w:rPr>
          <w:bCs/>
          <w:sz w:val="24"/>
          <w:lang w:eastAsia="zh-CN"/>
        </w:rPr>
        <w:t>个工作日内成立基金财产清算小组，基金管理人</w:t>
      </w:r>
      <w:r w:rsidRPr="002C2B23">
        <w:rPr>
          <w:rFonts w:ascii="宋体" w:hAnsi="宋体" w:hint="eastAsia"/>
          <w:sz w:val="24"/>
          <w:szCs w:val="24"/>
          <w:lang w:eastAsia="zh-CN"/>
        </w:rPr>
        <w:t>或临时基金管理人</w:t>
      </w:r>
      <w:r w:rsidRPr="002C2B23">
        <w:rPr>
          <w:bCs/>
          <w:sz w:val="24"/>
          <w:lang w:eastAsia="zh-CN"/>
        </w:rPr>
        <w:t>组织基金财产清算小组并在中国证监会的监督下进行基金清算。</w:t>
      </w:r>
    </w:p>
    <w:p w14:paraId="6CD89285"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、在基金财产清算小组接管基金财产之前，基金管理人和基金托管人应按照《基金合同》和托管协议的规定继续履行保护基金财产安全的职责。</w:t>
      </w:r>
    </w:p>
    <w:p w14:paraId="4B79DCCB"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、基金财产清算小组组成：基金财产清算小组成员由基金管理人</w:t>
      </w:r>
      <w:r w:rsidRPr="002C2B23">
        <w:rPr>
          <w:rFonts w:ascii="宋体" w:hAnsi="宋体" w:hint="eastAsia"/>
          <w:sz w:val="24"/>
          <w:szCs w:val="24"/>
          <w:lang w:eastAsia="zh-CN"/>
        </w:rPr>
        <w:t>或临时基金管理人</w:t>
      </w:r>
      <w:r w:rsidRPr="002C2B23">
        <w:rPr>
          <w:bCs/>
          <w:sz w:val="24"/>
          <w:lang w:eastAsia="zh-CN"/>
        </w:rPr>
        <w:t>、基金托管人、</w:t>
      </w:r>
      <w:r w:rsidRPr="002C2B23">
        <w:rPr>
          <w:rFonts w:ascii="宋体" w:hAnsi="宋体" w:hint="eastAsia"/>
          <w:sz w:val="24"/>
          <w:szCs w:val="24"/>
          <w:lang w:eastAsia="zh-CN"/>
        </w:rPr>
        <w:t>具有从事证券</w:t>
      </w:r>
      <w:r w:rsidRPr="002C2B23">
        <w:rPr>
          <w:rFonts w:ascii="宋体" w:hAnsi="宋体" w:hint="eastAsia"/>
          <w:sz w:val="24"/>
          <w:szCs w:val="21"/>
          <w:lang w:eastAsia="zh-CN"/>
        </w:rPr>
        <w:t>、期货</w:t>
      </w:r>
      <w:r w:rsidRPr="002C2B23">
        <w:rPr>
          <w:rFonts w:ascii="宋体" w:hAnsi="宋体" w:hint="eastAsia"/>
          <w:sz w:val="24"/>
          <w:szCs w:val="24"/>
          <w:lang w:eastAsia="zh-CN"/>
        </w:rPr>
        <w:t>相关业务资格的</w:t>
      </w:r>
      <w:r w:rsidRPr="002C2B23">
        <w:rPr>
          <w:bCs/>
          <w:sz w:val="24"/>
          <w:lang w:eastAsia="zh-CN"/>
        </w:rPr>
        <w:t>注册会计师、律师以及中国证监会指定的人员组成。基金财产清算小组可以聘用必要的工作人员。</w:t>
      </w:r>
    </w:p>
    <w:p w14:paraId="1D1847EB" w14:textId="77777777" w:rsidR="005039DD" w:rsidRPr="002C2B23" w:rsidRDefault="0040620F">
      <w:pPr>
        <w:spacing w:line="360" w:lineRule="auto"/>
        <w:ind w:firstLine="480"/>
        <w:rPr>
          <w:bCs/>
          <w:sz w:val="24"/>
          <w:lang w:eastAsia="zh-CN"/>
        </w:rPr>
      </w:pPr>
      <w:r w:rsidRPr="002C2B23">
        <w:rPr>
          <w:bCs/>
          <w:sz w:val="24"/>
          <w:lang w:eastAsia="zh-CN"/>
        </w:rPr>
        <w:t>4</w:t>
      </w:r>
      <w:r w:rsidRPr="002C2B23">
        <w:rPr>
          <w:bCs/>
          <w:sz w:val="24"/>
          <w:lang w:eastAsia="zh-CN"/>
        </w:rPr>
        <w:t>、基金财产清算小组职责：基金财产清算小组负责基金财产的保管、清理、估价、变现和分配。基金财产清算小组可以依法进行必要的民事活动。</w:t>
      </w:r>
    </w:p>
    <w:p w14:paraId="478BB2A0" w14:textId="77777777" w:rsidR="005039DD" w:rsidRPr="002C2B23" w:rsidRDefault="0040620F">
      <w:pPr>
        <w:spacing w:line="360" w:lineRule="auto"/>
        <w:ind w:firstLine="480"/>
        <w:rPr>
          <w:bCs/>
          <w:sz w:val="24"/>
          <w:lang w:eastAsia="zh-CN"/>
        </w:rPr>
      </w:pPr>
      <w:r w:rsidRPr="002C2B23">
        <w:rPr>
          <w:bCs/>
          <w:sz w:val="24"/>
          <w:lang w:eastAsia="zh-CN"/>
        </w:rPr>
        <w:t>5</w:t>
      </w:r>
      <w:r w:rsidRPr="002C2B23">
        <w:rPr>
          <w:bCs/>
          <w:sz w:val="24"/>
          <w:lang w:eastAsia="zh-CN"/>
        </w:rPr>
        <w:t>、在基金财产清算过程中，基金管理人和基金托管人应各自履行职责，继续忠实、勤勉、尽责地履行基金合同和托管协议规定的义务，维护基金份额持有人的合法权益。</w:t>
      </w:r>
    </w:p>
    <w:p w14:paraId="55507D10" w14:textId="77777777" w:rsidR="005039DD" w:rsidRPr="002C2B23" w:rsidRDefault="0040620F">
      <w:pPr>
        <w:spacing w:line="360" w:lineRule="auto"/>
        <w:ind w:firstLine="480"/>
        <w:rPr>
          <w:bCs/>
          <w:sz w:val="24"/>
          <w:lang w:eastAsia="zh-CN"/>
        </w:rPr>
      </w:pPr>
      <w:r w:rsidRPr="002C2B23">
        <w:rPr>
          <w:bCs/>
          <w:sz w:val="24"/>
          <w:lang w:eastAsia="zh-CN"/>
        </w:rPr>
        <w:t>6</w:t>
      </w:r>
      <w:r w:rsidRPr="002C2B23">
        <w:rPr>
          <w:bCs/>
          <w:sz w:val="24"/>
          <w:lang w:eastAsia="zh-CN"/>
        </w:rPr>
        <w:t>、基金财产清算程序：</w:t>
      </w:r>
    </w:p>
    <w:p w14:paraId="0BDABFF5"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）《基金合同》终止情形出现时，由基金财产清算小组统一接管基金；</w:t>
      </w:r>
    </w:p>
    <w:p w14:paraId="6202D81E"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）对基金财产和债权债务进行清理和确认；</w:t>
      </w:r>
    </w:p>
    <w:p w14:paraId="2229E6FE"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3</w:t>
      </w:r>
      <w:r w:rsidRPr="002C2B23">
        <w:rPr>
          <w:bCs/>
          <w:sz w:val="24"/>
          <w:lang w:eastAsia="zh-CN"/>
        </w:rPr>
        <w:t>）对基金财产进行估值和变现；</w:t>
      </w:r>
    </w:p>
    <w:p w14:paraId="3C8F6DEC"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4</w:t>
      </w:r>
      <w:r w:rsidRPr="002C2B23">
        <w:rPr>
          <w:bCs/>
          <w:sz w:val="24"/>
          <w:lang w:eastAsia="zh-CN"/>
        </w:rPr>
        <w:t>）制作清算报告；</w:t>
      </w:r>
    </w:p>
    <w:p w14:paraId="6578D3CB"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5</w:t>
      </w:r>
      <w:r w:rsidRPr="002C2B23">
        <w:rPr>
          <w:bCs/>
          <w:sz w:val="24"/>
          <w:lang w:eastAsia="zh-CN"/>
        </w:rPr>
        <w:t>）聘请会计师事务所对清算报告进行外部审计，聘请律师事务所对清算报告出具法律意见书；</w:t>
      </w:r>
    </w:p>
    <w:p w14:paraId="67620383"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6</w:t>
      </w:r>
      <w:r w:rsidRPr="002C2B23">
        <w:rPr>
          <w:bCs/>
          <w:sz w:val="24"/>
          <w:lang w:eastAsia="zh-CN"/>
        </w:rPr>
        <w:t>）将清算报告报中国证监会备案并公告；</w:t>
      </w:r>
    </w:p>
    <w:p w14:paraId="362DA097" w14:textId="77777777" w:rsidR="005039DD" w:rsidRPr="002C2B23" w:rsidRDefault="0040620F">
      <w:pPr>
        <w:spacing w:line="360" w:lineRule="auto"/>
        <w:ind w:firstLine="480"/>
        <w:rPr>
          <w:bCs/>
          <w:sz w:val="24"/>
          <w:lang w:eastAsia="zh-CN"/>
        </w:rPr>
      </w:pPr>
      <w:r w:rsidRPr="002C2B23">
        <w:rPr>
          <w:bCs/>
          <w:sz w:val="24"/>
          <w:lang w:eastAsia="zh-CN"/>
        </w:rPr>
        <w:t>（</w:t>
      </w:r>
      <w:r w:rsidRPr="002C2B23">
        <w:rPr>
          <w:bCs/>
          <w:sz w:val="24"/>
          <w:lang w:eastAsia="zh-CN"/>
        </w:rPr>
        <w:t>7</w:t>
      </w:r>
      <w:r w:rsidRPr="002C2B23">
        <w:rPr>
          <w:bCs/>
          <w:sz w:val="24"/>
          <w:lang w:eastAsia="zh-CN"/>
        </w:rPr>
        <w:t>）对基金剩余财产进行分配。</w:t>
      </w:r>
    </w:p>
    <w:p w14:paraId="0F769F32" w14:textId="77777777" w:rsidR="005039DD" w:rsidRPr="002C2B23" w:rsidRDefault="0040620F">
      <w:pPr>
        <w:spacing w:line="360" w:lineRule="auto"/>
        <w:ind w:firstLine="480"/>
        <w:rPr>
          <w:bCs/>
          <w:sz w:val="24"/>
          <w:lang w:eastAsia="zh-CN"/>
        </w:rPr>
      </w:pPr>
      <w:r w:rsidRPr="002C2B23">
        <w:rPr>
          <w:bCs/>
          <w:sz w:val="24"/>
          <w:lang w:eastAsia="zh-CN"/>
        </w:rPr>
        <w:t>7</w:t>
      </w:r>
      <w:r w:rsidRPr="002C2B23">
        <w:rPr>
          <w:bCs/>
          <w:sz w:val="24"/>
          <w:lang w:eastAsia="zh-CN"/>
        </w:rPr>
        <w:t>、基金财产清算的期限为</w:t>
      </w:r>
      <w:r w:rsidRPr="002C2B23">
        <w:rPr>
          <w:bCs/>
          <w:sz w:val="24"/>
          <w:lang w:eastAsia="zh-CN"/>
        </w:rPr>
        <w:t>6</w:t>
      </w:r>
      <w:r w:rsidRPr="002C2B23">
        <w:rPr>
          <w:bCs/>
          <w:sz w:val="24"/>
          <w:lang w:eastAsia="zh-CN"/>
        </w:rPr>
        <w:t>个月，但因本基金所持证券的流动性受到限制而不能及时变现的，清算期限可相应顺延。</w:t>
      </w:r>
    </w:p>
    <w:p w14:paraId="54C5E893" w14:textId="77777777" w:rsidR="005039DD" w:rsidRPr="002C2B23" w:rsidRDefault="005039DD">
      <w:pPr>
        <w:spacing w:line="360" w:lineRule="auto"/>
        <w:ind w:firstLine="480"/>
        <w:rPr>
          <w:bCs/>
          <w:sz w:val="24"/>
          <w:lang w:eastAsia="zh-CN"/>
        </w:rPr>
      </w:pPr>
    </w:p>
    <w:p w14:paraId="47783E12" w14:textId="77777777" w:rsidR="005039DD" w:rsidRPr="002C2B23" w:rsidRDefault="0040620F">
      <w:pPr>
        <w:spacing w:line="360" w:lineRule="auto"/>
        <w:ind w:firstLine="480"/>
        <w:rPr>
          <w:bCs/>
          <w:sz w:val="24"/>
          <w:lang w:eastAsia="zh-CN"/>
        </w:rPr>
      </w:pPr>
      <w:r w:rsidRPr="002C2B23">
        <w:rPr>
          <w:bCs/>
          <w:sz w:val="24"/>
          <w:lang w:eastAsia="zh-CN"/>
        </w:rPr>
        <w:t>四、清算费用</w:t>
      </w:r>
    </w:p>
    <w:p w14:paraId="6AF21D3E" w14:textId="77777777" w:rsidR="005039DD" w:rsidRPr="002C2B23" w:rsidRDefault="0040620F">
      <w:pPr>
        <w:spacing w:line="360" w:lineRule="auto"/>
        <w:ind w:firstLine="480"/>
        <w:rPr>
          <w:bCs/>
          <w:sz w:val="24"/>
          <w:lang w:eastAsia="zh-CN"/>
        </w:rPr>
      </w:pPr>
      <w:r w:rsidRPr="002C2B23">
        <w:rPr>
          <w:bCs/>
          <w:sz w:val="24"/>
          <w:lang w:eastAsia="zh-CN"/>
        </w:rPr>
        <w:t>清算费用是指基金财产清算小组在进行基金清算过程中发生的所有合理费用，清算费用由基金财产清算小组优先从基金剩余财产中支付。</w:t>
      </w:r>
    </w:p>
    <w:p w14:paraId="6558B228" w14:textId="77777777" w:rsidR="005039DD" w:rsidRPr="002C2B23" w:rsidRDefault="005039DD">
      <w:pPr>
        <w:spacing w:line="360" w:lineRule="auto"/>
        <w:ind w:firstLine="480"/>
        <w:rPr>
          <w:bCs/>
          <w:sz w:val="24"/>
          <w:lang w:eastAsia="zh-CN"/>
        </w:rPr>
      </w:pPr>
    </w:p>
    <w:p w14:paraId="16B79242" w14:textId="77777777" w:rsidR="005039DD" w:rsidRPr="002C2B23" w:rsidRDefault="0040620F">
      <w:pPr>
        <w:spacing w:line="360" w:lineRule="auto"/>
        <w:ind w:firstLine="480"/>
        <w:rPr>
          <w:bCs/>
          <w:sz w:val="24"/>
          <w:lang w:eastAsia="zh-CN"/>
        </w:rPr>
      </w:pPr>
      <w:r w:rsidRPr="002C2B23">
        <w:rPr>
          <w:bCs/>
          <w:sz w:val="24"/>
          <w:lang w:eastAsia="zh-CN"/>
        </w:rPr>
        <w:t>五、基金财产清算剩余资产的分配</w:t>
      </w:r>
    </w:p>
    <w:p w14:paraId="1B72ACC5" w14:textId="77777777" w:rsidR="005039DD" w:rsidRPr="002C2B23" w:rsidRDefault="0040620F">
      <w:pPr>
        <w:spacing w:line="360" w:lineRule="auto"/>
        <w:ind w:firstLine="480"/>
        <w:rPr>
          <w:bCs/>
          <w:sz w:val="24"/>
          <w:lang w:eastAsia="zh-CN"/>
        </w:rPr>
      </w:pPr>
      <w:r w:rsidRPr="002C2B23">
        <w:rPr>
          <w:bCs/>
          <w:sz w:val="24"/>
          <w:lang w:eastAsia="zh-CN"/>
        </w:rPr>
        <w:t>依据基金财产清算的分配方案，将基金财产清算后的全部剩余资产扣除基金财产清算费用、交纳所欠税款并清偿基金债务后，按基金份额持有人持有的各类基金份额比例进行分配。</w:t>
      </w:r>
    </w:p>
    <w:p w14:paraId="195ABD49" w14:textId="77777777" w:rsidR="005039DD" w:rsidRPr="002C2B23" w:rsidRDefault="005039DD">
      <w:pPr>
        <w:spacing w:line="360" w:lineRule="auto"/>
        <w:ind w:firstLine="480"/>
        <w:rPr>
          <w:bCs/>
          <w:sz w:val="24"/>
          <w:lang w:eastAsia="zh-CN"/>
        </w:rPr>
      </w:pPr>
    </w:p>
    <w:p w14:paraId="491C6A71" w14:textId="77777777" w:rsidR="005039DD" w:rsidRPr="002C2B23" w:rsidRDefault="005039DD">
      <w:pPr>
        <w:spacing w:line="360" w:lineRule="auto"/>
        <w:ind w:firstLine="480"/>
        <w:rPr>
          <w:bCs/>
          <w:sz w:val="24"/>
          <w:lang w:eastAsia="zh-CN"/>
        </w:rPr>
      </w:pPr>
    </w:p>
    <w:p w14:paraId="622C517B" w14:textId="77777777" w:rsidR="005039DD" w:rsidRPr="002C2B23" w:rsidRDefault="005039DD">
      <w:pPr>
        <w:spacing w:line="360" w:lineRule="auto"/>
        <w:ind w:firstLine="480"/>
        <w:rPr>
          <w:bCs/>
          <w:sz w:val="24"/>
          <w:lang w:eastAsia="zh-CN"/>
        </w:rPr>
      </w:pPr>
    </w:p>
    <w:p w14:paraId="593ED31E" w14:textId="77777777" w:rsidR="005039DD" w:rsidRPr="002C2B23" w:rsidRDefault="0040620F">
      <w:pPr>
        <w:spacing w:line="360" w:lineRule="auto"/>
        <w:ind w:firstLine="480"/>
        <w:rPr>
          <w:bCs/>
          <w:sz w:val="24"/>
          <w:lang w:eastAsia="zh-CN"/>
        </w:rPr>
      </w:pPr>
      <w:r w:rsidRPr="002C2B23">
        <w:rPr>
          <w:bCs/>
          <w:sz w:val="24"/>
          <w:lang w:eastAsia="zh-CN"/>
        </w:rPr>
        <w:t>六、基金财产清算的公告</w:t>
      </w:r>
    </w:p>
    <w:p w14:paraId="5A361444" w14:textId="77777777" w:rsidR="005039DD" w:rsidRPr="002C2B23" w:rsidRDefault="0040620F">
      <w:pPr>
        <w:spacing w:line="360" w:lineRule="auto"/>
        <w:ind w:firstLine="480"/>
        <w:rPr>
          <w:bCs/>
          <w:sz w:val="24"/>
          <w:lang w:eastAsia="zh-CN"/>
        </w:rPr>
      </w:pPr>
      <w:r w:rsidRPr="002C2B23">
        <w:rPr>
          <w:bCs/>
          <w:sz w:val="24"/>
          <w:lang w:eastAsia="zh-CN"/>
        </w:rPr>
        <w:t>清算过程中的有关重大事项须及时公告；基金财产清算报告经</w:t>
      </w:r>
      <w:proofErr w:type="gramStart"/>
      <w:r w:rsidRPr="002C2B23">
        <w:rPr>
          <w:rFonts w:ascii="宋体" w:hAnsi="宋体" w:hint="eastAsia"/>
          <w:sz w:val="24"/>
          <w:szCs w:val="24"/>
          <w:lang w:eastAsia="zh-CN"/>
        </w:rPr>
        <w:t>经</w:t>
      </w:r>
      <w:proofErr w:type="gramEnd"/>
      <w:r w:rsidRPr="002C2B23">
        <w:rPr>
          <w:rFonts w:ascii="宋体" w:hAnsi="宋体" w:hint="eastAsia"/>
          <w:sz w:val="24"/>
          <w:lang w:eastAsia="zh-CN"/>
        </w:rPr>
        <w:t>具有证券、期货相关业务资格的</w:t>
      </w:r>
      <w:r w:rsidRPr="002C2B23">
        <w:rPr>
          <w:bCs/>
          <w:sz w:val="24"/>
          <w:lang w:eastAsia="zh-CN"/>
        </w:rPr>
        <w:t>会计师事务所审计并由律师事务所出具法律意见书后报中国证监会备案并公告。基金财产清算公告于基金财产清算报告报中国证监会备案后</w:t>
      </w:r>
      <w:r w:rsidRPr="002C2B23">
        <w:rPr>
          <w:bCs/>
          <w:sz w:val="24"/>
          <w:lang w:eastAsia="zh-CN"/>
        </w:rPr>
        <w:t>5</w:t>
      </w:r>
      <w:r w:rsidRPr="002C2B23">
        <w:rPr>
          <w:bCs/>
          <w:sz w:val="24"/>
          <w:lang w:eastAsia="zh-CN"/>
        </w:rPr>
        <w:t>个工作日内由基金财产清算小组进行公告。</w:t>
      </w:r>
    </w:p>
    <w:p w14:paraId="67B463E5" w14:textId="77777777" w:rsidR="005039DD" w:rsidRPr="002C2B23" w:rsidRDefault="005039DD">
      <w:pPr>
        <w:spacing w:line="360" w:lineRule="auto"/>
        <w:ind w:firstLine="480"/>
        <w:rPr>
          <w:bCs/>
          <w:sz w:val="24"/>
          <w:lang w:eastAsia="zh-CN"/>
        </w:rPr>
      </w:pPr>
    </w:p>
    <w:p w14:paraId="0E693750" w14:textId="77777777" w:rsidR="005039DD" w:rsidRPr="002C2B23" w:rsidRDefault="0040620F">
      <w:pPr>
        <w:spacing w:line="360" w:lineRule="auto"/>
        <w:ind w:firstLine="480"/>
        <w:rPr>
          <w:bCs/>
          <w:sz w:val="24"/>
          <w:lang w:eastAsia="zh-CN"/>
        </w:rPr>
      </w:pPr>
      <w:r w:rsidRPr="002C2B23">
        <w:rPr>
          <w:bCs/>
          <w:sz w:val="24"/>
          <w:lang w:eastAsia="zh-CN"/>
        </w:rPr>
        <w:t>七、基金财产清算账册及文件的保存</w:t>
      </w:r>
    </w:p>
    <w:p w14:paraId="757BB9D9" w14:textId="61C0570E" w:rsidR="005039DD" w:rsidRPr="002C2B23" w:rsidRDefault="0040620F">
      <w:pPr>
        <w:spacing w:line="360" w:lineRule="auto"/>
        <w:ind w:firstLine="480"/>
        <w:rPr>
          <w:bCs/>
          <w:sz w:val="24"/>
          <w:lang w:eastAsia="zh-CN"/>
        </w:rPr>
      </w:pPr>
      <w:r w:rsidRPr="002C2B23">
        <w:rPr>
          <w:bCs/>
          <w:sz w:val="24"/>
          <w:lang w:eastAsia="zh-CN"/>
        </w:rPr>
        <w:t>基金财产清算账册及有关文件由基金托管人保存</w:t>
      </w:r>
      <w:r w:rsidRPr="002C2B23">
        <w:rPr>
          <w:rFonts w:hint="eastAsia"/>
          <w:bCs/>
          <w:sz w:val="24"/>
          <w:lang w:eastAsia="zh-CN"/>
        </w:rPr>
        <w:t>，保存期限按照法律法规的规定执行</w:t>
      </w:r>
      <w:r w:rsidRPr="002C2B23">
        <w:rPr>
          <w:bCs/>
          <w:sz w:val="24"/>
          <w:lang w:eastAsia="zh-CN"/>
        </w:rPr>
        <w:t>。</w:t>
      </w:r>
    </w:p>
    <w:p w14:paraId="56121F6A" w14:textId="77777777" w:rsidR="005039DD" w:rsidRPr="002C2B23" w:rsidRDefault="005039DD">
      <w:pPr>
        <w:spacing w:line="360" w:lineRule="auto"/>
        <w:ind w:firstLine="480"/>
        <w:rPr>
          <w:bCs/>
          <w:sz w:val="24"/>
          <w:lang w:eastAsia="zh-CN"/>
        </w:rPr>
      </w:pPr>
    </w:p>
    <w:p w14:paraId="104C1BE6" w14:textId="77777777" w:rsidR="005039DD" w:rsidRPr="002C2B23" w:rsidRDefault="0040620F">
      <w:pPr>
        <w:spacing w:line="360" w:lineRule="auto"/>
        <w:ind w:firstLine="480"/>
        <w:rPr>
          <w:bCs/>
          <w:sz w:val="24"/>
          <w:lang w:eastAsia="zh-CN"/>
        </w:rPr>
      </w:pPr>
      <w:r w:rsidRPr="002C2B23">
        <w:rPr>
          <w:bCs/>
          <w:sz w:val="24"/>
          <w:lang w:eastAsia="zh-CN"/>
        </w:rPr>
        <w:t>八、基金合并</w:t>
      </w:r>
    </w:p>
    <w:p w14:paraId="12151D98" w14:textId="77777777" w:rsidR="005039DD" w:rsidRPr="002C2B23" w:rsidRDefault="0040620F">
      <w:pPr>
        <w:spacing w:line="360" w:lineRule="auto"/>
        <w:ind w:firstLine="480"/>
        <w:rPr>
          <w:bCs/>
          <w:sz w:val="24"/>
          <w:lang w:eastAsia="zh-CN"/>
        </w:rPr>
        <w:sectPr w:rsidR="005039DD" w:rsidRPr="002C2B23">
          <w:footerReference w:type="default" r:id="rId28"/>
          <w:pgSz w:w="12240" w:h="15840"/>
          <w:pgMar w:top="1440" w:right="1800" w:bottom="1440" w:left="1800" w:header="720" w:footer="720" w:gutter="0"/>
          <w:cols w:space="720"/>
          <w:docGrid w:linePitch="312"/>
        </w:sectPr>
      </w:pPr>
      <w:r w:rsidRPr="002C2B23">
        <w:rPr>
          <w:bCs/>
          <w:sz w:val="24"/>
          <w:lang w:eastAsia="zh-CN"/>
        </w:rPr>
        <w:t>本基金与其他基金的合并应当按照法律法规规定的程序进行。</w:t>
      </w:r>
    </w:p>
    <w:p w14:paraId="4F1D1CF2" w14:textId="77777777" w:rsidR="005039DD" w:rsidRPr="002C2B23" w:rsidRDefault="0040620F">
      <w:pPr>
        <w:pStyle w:val="112"/>
        <w:spacing w:before="0" w:after="0"/>
        <w:jc w:val="center"/>
        <w:rPr>
          <w:rFonts w:ascii="Times New Roman"/>
          <w:sz w:val="30"/>
          <w:lang w:eastAsia="zh-CN"/>
        </w:rPr>
      </w:pPr>
      <w:bookmarkStart w:id="444" w:name="_Toc23166"/>
      <w:bookmarkStart w:id="445" w:name="_Toc48649720"/>
      <w:bookmarkStart w:id="446" w:name="_Toc8710"/>
      <w:bookmarkStart w:id="447" w:name="_Toc30645"/>
      <w:bookmarkStart w:id="448" w:name="_Toc141703901"/>
      <w:bookmarkStart w:id="449" w:name="_Toc9708"/>
      <w:bookmarkStart w:id="450" w:name="_Toc98560365"/>
      <w:bookmarkStart w:id="451" w:name="_Toc21240"/>
      <w:bookmarkStart w:id="452" w:name="_Toc109141380"/>
      <w:bookmarkStart w:id="453" w:name="_Toc27058"/>
      <w:bookmarkStart w:id="454" w:name="_Toc123051466"/>
      <w:bookmarkStart w:id="455" w:name="_Toc23022"/>
      <w:bookmarkStart w:id="456" w:name="_Toc13398"/>
      <w:bookmarkStart w:id="457" w:name="_Toc139991750"/>
      <w:bookmarkStart w:id="458" w:name="_Toc12191"/>
      <w:bookmarkStart w:id="459" w:name="_Toc123102467"/>
      <w:bookmarkStart w:id="460" w:name="_Toc79392641"/>
      <w:bookmarkStart w:id="461" w:name="_Toc28549"/>
      <w:bookmarkStart w:id="462" w:name="_Toc7367"/>
      <w:bookmarkStart w:id="463" w:name="_Toc123112248"/>
      <w:bookmarkEnd w:id="443"/>
      <w:r w:rsidRPr="002C2B23">
        <w:rPr>
          <w:rFonts w:ascii="Times New Roman"/>
          <w:sz w:val="30"/>
          <w:lang w:eastAsia="zh-CN"/>
        </w:rPr>
        <w:t>第二十部分</w:t>
      </w:r>
      <w:r w:rsidRPr="002C2B23">
        <w:rPr>
          <w:rFonts w:ascii="Times New Roman"/>
          <w:sz w:val="30"/>
          <w:lang w:eastAsia="zh-CN"/>
        </w:rPr>
        <w:t xml:space="preserve">  </w:t>
      </w:r>
      <w:r w:rsidRPr="002C2B23">
        <w:rPr>
          <w:rFonts w:ascii="Times New Roman"/>
          <w:sz w:val="30"/>
          <w:lang w:eastAsia="zh-CN"/>
        </w:rPr>
        <w:t>违约责任</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14:paraId="2AEC49C1" w14:textId="77777777" w:rsidR="005039DD" w:rsidRPr="002C2B23" w:rsidRDefault="005039DD">
      <w:pPr>
        <w:spacing w:line="360" w:lineRule="auto"/>
        <w:ind w:firstLine="480"/>
        <w:rPr>
          <w:bCs/>
          <w:sz w:val="24"/>
          <w:lang w:eastAsia="zh-CN"/>
        </w:rPr>
      </w:pPr>
    </w:p>
    <w:p w14:paraId="45D642C9" w14:textId="77777777" w:rsidR="005039DD" w:rsidRPr="002C2B23" w:rsidRDefault="0040620F">
      <w:pPr>
        <w:spacing w:line="360" w:lineRule="auto"/>
        <w:ind w:firstLine="480"/>
        <w:rPr>
          <w:bCs/>
          <w:sz w:val="24"/>
          <w:lang w:eastAsia="zh-CN"/>
        </w:rPr>
      </w:pPr>
      <w:r w:rsidRPr="002C2B23">
        <w:rPr>
          <w:bCs/>
          <w:sz w:val="24"/>
          <w:lang w:eastAsia="zh-CN"/>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对损失的赔偿，仅限于直接损失。但是发生下列情况的，当事人免责：</w:t>
      </w:r>
    </w:p>
    <w:p w14:paraId="47CCF269"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、不可抗力；</w:t>
      </w:r>
    </w:p>
    <w:p w14:paraId="1C7C745F"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、基金管理人和</w:t>
      </w:r>
      <w:r w:rsidRPr="002C2B23">
        <w:rPr>
          <w:bCs/>
          <w:sz w:val="24"/>
          <w:lang w:eastAsia="zh-CN"/>
        </w:rPr>
        <w:t>/</w:t>
      </w:r>
      <w:r w:rsidRPr="002C2B23">
        <w:rPr>
          <w:bCs/>
          <w:sz w:val="24"/>
          <w:lang w:eastAsia="zh-CN"/>
        </w:rPr>
        <w:t>或基金托管人按照当时有效的法律法规或中国证监会的规定作为或不作为而造成的损失等；</w:t>
      </w:r>
    </w:p>
    <w:p w14:paraId="6D892C43"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w:t>
      </w:r>
      <w:r w:rsidRPr="002C2B23">
        <w:rPr>
          <w:rFonts w:hint="eastAsia"/>
          <w:bCs/>
          <w:sz w:val="24"/>
          <w:lang w:eastAsia="zh-CN"/>
        </w:rPr>
        <w:t>在没有过错的情况下，</w:t>
      </w:r>
      <w:r w:rsidRPr="002C2B23">
        <w:rPr>
          <w:bCs/>
          <w:sz w:val="24"/>
          <w:lang w:eastAsia="zh-CN"/>
        </w:rPr>
        <w:t>基金管理人由于按照基金合同规定的投资原则行使或不行使其投资权而造成的损失等。</w:t>
      </w:r>
    </w:p>
    <w:p w14:paraId="4273F8AE" w14:textId="77777777" w:rsidR="005039DD" w:rsidRPr="002C2B23" w:rsidRDefault="005039DD">
      <w:pPr>
        <w:spacing w:line="360" w:lineRule="auto"/>
        <w:ind w:firstLine="480"/>
        <w:rPr>
          <w:bCs/>
          <w:sz w:val="24"/>
          <w:lang w:eastAsia="zh-CN"/>
        </w:rPr>
      </w:pPr>
    </w:p>
    <w:p w14:paraId="76180C3D" w14:textId="77777777" w:rsidR="005039DD" w:rsidRPr="002C2B23" w:rsidRDefault="0040620F">
      <w:pPr>
        <w:spacing w:line="360" w:lineRule="auto"/>
        <w:ind w:firstLineChars="177" w:firstLine="425"/>
        <w:rPr>
          <w:bCs/>
          <w:sz w:val="24"/>
          <w:lang w:eastAsia="zh-CN"/>
        </w:rPr>
      </w:pPr>
      <w:bookmarkStart w:id="464" w:name="_Hlk13851254"/>
      <w:r w:rsidRPr="002C2B23">
        <w:rPr>
          <w:rFonts w:hint="eastAsia"/>
          <w:bCs/>
          <w:sz w:val="24"/>
          <w:lang w:eastAsia="zh-CN"/>
        </w:rPr>
        <w:t>二、</w:t>
      </w:r>
      <w:r w:rsidRPr="002C2B23">
        <w:rPr>
          <w:bCs/>
          <w:sz w:val="24"/>
          <w:lang w:eastAsia="zh-CN"/>
        </w:rPr>
        <w:t>在发生一方或多方违约的情况下，在最大限度地保护基金份额持有人利益的前提下，《基金合同》能够继续履行的应当继续履行。</w:t>
      </w:r>
      <w:bookmarkEnd w:id="464"/>
      <w:r w:rsidRPr="002C2B23">
        <w:rPr>
          <w:bCs/>
          <w:sz w:val="24"/>
          <w:lang w:eastAsia="zh-CN"/>
        </w:rPr>
        <w:t>非违约方当事人在职责范围内有义务及时采取必要的措施，防止损失的扩大。没有采取适当措施致使损失进一步扩大的，不得就扩大的损失要求赔偿。非违约方因防止损失扩大而支出的合理费用由违约方承担。</w:t>
      </w:r>
      <w:r w:rsidRPr="002C2B23">
        <w:rPr>
          <w:bCs/>
          <w:sz w:val="24"/>
          <w:lang w:eastAsia="zh-CN"/>
        </w:rPr>
        <w:t xml:space="preserve"> </w:t>
      </w:r>
    </w:p>
    <w:p w14:paraId="139A88FB" w14:textId="77777777" w:rsidR="005039DD" w:rsidRPr="002C2B23" w:rsidRDefault="005039DD">
      <w:pPr>
        <w:spacing w:line="360" w:lineRule="auto"/>
        <w:ind w:left="480"/>
        <w:rPr>
          <w:bCs/>
          <w:sz w:val="24"/>
          <w:lang w:eastAsia="zh-CN"/>
        </w:rPr>
      </w:pPr>
    </w:p>
    <w:p w14:paraId="6CF64083" w14:textId="77777777" w:rsidR="005039DD" w:rsidRPr="002C2B23" w:rsidRDefault="0040620F">
      <w:pPr>
        <w:spacing w:line="360" w:lineRule="auto"/>
        <w:ind w:firstLine="480"/>
        <w:rPr>
          <w:bCs/>
          <w:sz w:val="24"/>
          <w:lang w:eastAsia="zh-CN"/>
        </w:rPr>
        <w:sectPr w:rsidR="005039DD" w:rsidRPr="002C2B23">
          <w:footerReference w:type="default" r:id="rId29"/>
          <w:pgSz w:w="12240" w:h="15840"/>
          <w:pgMar w:top="1440" w:right="1800" w:bottom="1440" w:left="1800" w:header="720" w:footer="720" w:gutter="0"/>
          <w:cols w:space="720"/>
          <w:docGrid w:linePitch="312"/>
        </w:sectPr>
      </w:pPr>
      <w:r w:rsidRPr="002C2B23">
        <w:rPr>
          <w:bCs/>
          <w:sz w:val="24"/>
          <w:lang w:eastAsia="zh-CN"/>
        </w:rPr>
        <w:t>三、由于基金管理人、基金托管人不可控制的因素导致业务出现差错，基金管理人和基金托管人虽然已经采取必要、适当、合理的措施进行检查，但是未能发现错误</w:t>
      </w:r>
      <w:r w:rsidRPr="002C2B23">
        <w:rPr>
          <w:rFonts w:hint="eastAsia"/>
          <w:bCs/>
          <w:sz w:val="24"/>
          <w:lang w:eastAsia="zh-CN"/>
        </w:rPr>
        <w:t>或未能避免错误发生或虽然发现但因前述原因无法及时更正</w:t>
      </w:r>
      <w:r w:rsidRPr="002C2B23">
        <w:rPr>
          <w:bCs/>
          <w:sz w:val="24"/>
          <w:lang w:eastAsia="zh-CN"/>
        </w:rPr>
        <w:t>的，由此造成基金财产或投资人损失，基金管理人和基金托管人免除赔偿责任。但是基金管理人和基金托管人应积极采取必要的措施消除或</w:t>
      </w:r>
      <w:bookmarkStart w:id="465" w:name="_Hlk37259670"/>
      <w:r w:rsidRPr="002C2B23">
        <w:rPr>
          <w:bCs/>
          <w:sz w:val="24"/>
          <w:lang w:eastAsia="zh-CN"/>
        </w:rPr>
        <w:t>减轻</w:t>
      </w:r>
      <w:bookmarkEnd w:id="465"/>
      <w:r w:rsidRPr="002C2B23">
        <w:rPr>
          <w:bCs/>
          <w:sz w:val="24"/>
          <w:lang w:eastAsia="zh-CN"/>
        </w:rPr>
        <w:t>由此造成的影响。</w:t>
      </w:r>
    </w:p>
    <w:p w14:paraId="3E15E58A" w14:textId="77777777" w:rsidR="005039DD" w:rsidRPr="002C2B23" w:rsidRDefault="0040620F">
      <w:pPr>
        <w:pStyle w:val="112"/>
        <w:spacing w:before="0" w:after="0"/>
        <w:jc w:val="center"/>
        <w:rPr>
          <w:rFonts w:ascii="Times New Roman"/>
          <w:sz w:val="30"/>
          <w:lang w:eastAsia="zh-CN"/>
        </w:rPr>
      </w:pPr>
      <w:bookmarkStart w:id="466" w:name="_Toc1790"/>
      <w:bookmarkStart w:id="467" w:name="_Toc8636"/>
      <w:bookmarkStart w:id="468" w:name="_Toc30350"/>
      <w:bookmarkStart w:id="469" w:name="_Toc123102468"/>
      <w:bookmarkStart w:id="470" w:name="_Toc109141381"/>
      <w:bookmarkStart w:id="471" w:name="_Toc123051467"/>
      <w:bookmarkStart w:id="472" w:name="_Toc141703902"/>
      <w:bookmarkStart w:id="473" w:name="_Toc24923"/>
      <w:bookmarkStart w:id="474" w:name="_Toc139991751"/>
      <w:bookmarkStart w:id="475" w:name="_Toc25651"/>
      <w:bookmarkStart w:id="476" w:name="_Toc123112249"/>
      <w:bookmarkStart w:id="477" w:name="_Toc98560366"/>
      <w:bookmarkStart w:id="478" w:name="_Toc6202"/>
      <w:bookmarkStart w:id="479" w:name="_Toc21983"/>
      <w:bookmarkStart w:id="480" w:name="_Toc23999"/>
      <w:bookmarkStart w:id="481" w:name="_Toc7288"/>
      <w:bookmarkStart w:id="482" w:name="_Toc6110"/>
      <w:bookmarkStart w:id="483" w:name="_Toc3319"/>
      <w:r w:rsidRPr="002C2B23">
        <w:rPr>
          <w:rFonts w:ascii="Times New Roman"/>
          <w:sz w:val="30"/>
          <w:lang w:eastAsia="zh-CN"/>
        </w:rPr>
        <w:t>第二十一部分</w:t>
      </w:r>
      <w:r w:rsidRPr="002C2B23">
        <w:rPr>
          <w:rFonts w:ascii="Times New Roman"/>
          <w:sz w:val="30"/>
          <w:lang w:eastAsia="zh-CN"/>
        </w:rPr>
        <w:t xml:space="preserve">  </w:t>
      </w:r>
      <w:r w:rsidRPr="002C2B23">
        <w:rPr>
          <w:rFonts w:ascii="Times New Roman"/>
          <w:sz w:val="30"/>
          <w:lang w:eastAsia="zh-CN"/>
        </w:rPr>
        <w:t>争议的处理和适用的法律</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14:paraId="6913B406" w14:textId="77777777" w:rsidR="005039DD" w:rsidRPr="002C2B23" w:rsidRDefault="005039DD">
      <w:pPr>
        <w:spacing w:line="360" w:lineRule="auto"/>
        <w:ind w:firstLine="482"/>
        <w:rPr>
          <w:b/>
          <w:bCs/>
          <w:sz w:val="24"/>
          <w:lang w:eastAsia="zh-CN"/>
        </w:rPr>
      </w:pPr>
    </w:p>
    <w:p w14:paraId="33EE42AA" w14:textId="2F7EAC83" w:rsidR="005039DD" w:rsidRPr="002C2B23" w:rsidRDefault="0040620F">
      <w:pPr>
        <w:spacing w:line="360" w:lineRule="auto"/>
        <w:ind w:firstLine="482"/>
        <w:rPr>
          <w:bCs/>
          <w:sz w:val="24"/>
          <w:lang w:eastAsia="zh-CN"/>
        </w:rPr>
      </w:pPr>
      <w:r w:rsidRPr="002C2B23">
        <w:rPr>
          <w:bCs/>
          <w:sz w:val="24"/>
          <w:lang w:eastAsia="zh-CN"/>
        </w:rPr>
        <w:t>对于因基金合同的订立、内容、履行和解释或与基金合同有关的争议，基金合同当事人应尽量通过协商、调解途径解决。不愿或者不能通过协商、调解解决的，任何一方均有权将争议提交</w:t>
      </w:r>
      <w:r w:rsidRPr="002C2B23">
        <w:rPr>
          <w:rFonts w:hint="eastAsia"/>
          <w:bCs/>
          <w:sz w:val="24"/>
          <w:lang w:eastAsia="zh-CN"/>
        </w:rPr>
        <w:t>中国国际经济贸易仲裁委员会</w:t>
      </w:r>
      <w:r w:rsidRPr="002C2B23">
        <w:rPr>
          <w:bCs/>
          <w:sz w:val="24"/>
          <w:lang w:eastAsia="zh-CN"/>
        </w:rPr>
        <w:t>，按照</w:t>
      </w:r>
      <w:r w:rsidRPr="002C2B23">
        <w:rPr>
          <w:rFonts w:hint="eastAsia"/>
          <w:bCs/>
          <w:sz w:val="24"/>
          <w:lang w:eastAsia="zh-CN"/>
        </w:rPr>
        <w:t>中国国际经济贸易仲裁委员会</w:t>
      </w:r>
      <w:r w:rsidRPr="002C2B23">
        <w:rPr>
          <w:bCs/>
          <w:sz w:val="24"/>
          <w:lang w:eastAsia="zh-CN"/>
        </w:rPr>
        <w:t>届时有效的仲裁规则进行仲裁。仲裁地点为</w:t>
      </w:r>
      <w:r w:rsidRPr="002C2B23">
        <w:rPr>
          <w:rFonts w:hint="eastAsia"/>
          <w:bCs/>
          <w:sz w:val="24"/>
          <w:lang w:eastAsia="zh-CN"/>
        </w:rPr>
        <w:t>北京市</w:t>
      </w:r>
      <w:r w:rsidRPr="002C2B23">
        <w:rPr>
          <w:bCs/>
          <w:sz w:val="24"/>
          <w:lang w:eastAsia="zh-CN"/>
        </w:rPr>
        <w:t>。仲裁裁决是终局的，对各方当事人均有约束力。除裁决另有规定的，仲裁费由败诉方承担。</w:t>
      </w:r>
    </w:p>
    <w:p w14:paraId="56805098" w14:textId="77777777" w:rsidR="005039DD" w:rsidRPr="002C2B23" w:rsidRDefault="0040620F">
      <w:pPr>
        <w:spacing w:line="360" w:lineRule="auto"/>
        <w:ind w:firstLine="482"/>
        <w:rPr>
          <w:bCs/>
          <w:sz w:val="24"/>
          <w:lang w:eastAsia="zh-CN"/>
        </w:rPr>
      </w:pPr>
      <w:r w:rsidRPr="002C2B23">
        <w:rPr>
          <w:bCs/>
          <w:sz w:val="24"/>
          <w:lang w:eastAsia="zh-CN"/>
        </w:rPr>
        <w:t>争议处理期间，基金合同当事人应恪守各自的职责，继续忠实、勤勉、尽责地履行基金合同规定的义务，维护基金份额持有人的合法权益。</w:t>
      </w:r>
    </w:p>
    <w:p w14:paraId="6855CFB2" w14:textId="77777777" w:rsidR="005039DD" w:rsidRPr="002C2B23" w:rsidRDefault="0040620F">
      <w:pPr>
        <w:spacing w:line="360" w:lineRule="auto"/>
        <w:ind w:firstLine="482"/>
        <w:rPr>
          <w:bCs/>
          <w:sz w:val="24"/>
          <w:lang w:eastAsia="zh-CN"/>
        </w:rPr>
        <w:sectPr w:rsidR="005039DD" w:rsidRPr="002C2B23">
          <w:footerReference w:type="default" r:id="rId30"/>
          <w:pgSz w:w="12240" w:h="15840"/>
          <w:pgMar w:top="1440" w:right="1800" w:bottom="1440" w:left="1800" w:header="720" w:footer="720" w:gutter="0"/>
          <w:cols w:space="720"/>
          <w:docGrid w:linePitch="312"/>
        </w:sectPr>
      </w:pPr>
      <w:r w:rsidRPr="002C2B23">
        <w:rPr>
          <w:bCs/>
          <w:sz w:val="24"/>
          <w:lang w:eastAsia="zh-CN"/>
        </w:rPr>
        <w:t>本基金合同受中国法律（为本基金合同之目的，在此不包括香港、澳门特别行政区和台湾地区的有关规定）管辖并从其解释。</w:t>
      </w:r>
    </w:p>
    <w:p w14:paraId="3F0DDE5E" w14:textId="77777777" w:rsidR="005039DD" w:rsidRPr="002C2B23" w:rsidRDefault="0040620F">
      <w:pPr>
        <w:pStyle w:val="112"/>
        <w:spacing w:before="0" w:after="0"/>
        <w:jc w:val="center"/>
        <w:rPr>
          <w:rFonts w:ascii="Times New Roman"/>
          <w:sz w:val="30"/>
          <w:lang w:eastAsia="zh-CN"/>
        </w:rPr>
      </w:pPr>
      <w:bookmarkStart w:id="484" w:name="_Toc8703"/>
      <w:bookmarkStart w:id="485" w:name="_Toc26461"/>
      <w:bookmarkStart w:id="486" w:name="_Toc20350"/>
      <w:bookmarkStart w:id="487" w:name="_Toc8454"/>
      <w:bookmarkStart w:id="488" w:name="_Toc123051468"/>
      <w:bookmarkStart w:id="489" w:name="_Toc484"/>
      <w:bookmarkStart w:id="490" w:name="_Toc123112250"/>
      <w:bookmarkStart w:id="491" w:name="_Toc141703903"/>
      <w:bookmarkStart w:id="492" w:name="_Toc123102469"/>
      <w:bookmarkStart w:id="493" w:name="_Toc11618"/>
      <w:bookmarkStart w:id="494" w:name="_Toc29505"/>
      <w:bookmarkStart w:id="495" w:name="_Toc23991"/>
      <w:bookmarkStart w:id="496" w:name="_Toc109141382"/>
      <w:bookmarkStart w:id="497" w:name="_Toc31966"/>
      <w:bookmarkStart w:id="498" w:name="_Toc139991752"/>
      <w:bookmarkStart w:id="499" w:name="_Toc2532"/>
      <w:bookmarkStart w:id="500" w:name="_Toc28690"/>
      <w:r w:rsidRPr="002C2B23">
        <w:rPr>
          <w:rFonts w:ascii="Times New Roman"/>
          <w:sz w:val="30"/>
          <w:lang w:eastAsia="zh-CN"/>
        </w:rPr>
        <w:t>第二十二部分</w:t>
      </w:r>
      <w:r w:rsidRPr="002C2B23">
        <w:rPr>
          <w:rFonts w:ascii="Times New Roman"/>
          <w:sz w:val="30"/>
          <w:lang w:eastAsia="zh-CN"/>
        </w:rPr>
        <w:t xml:space="preserve">  </w:t>
      </w:r>
      <w:r w:rsidRPr="002C2B23">
        <w:rPr>
          <w:rFonts w:ascii="Times New Roman"/>
          <w:sz w:val="30"/>
          <w:lang w:eastAsia="zh-CN"/>
        </w:rPr>
        <w:t>基金合同的效力</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14:paraId="12189BE9" w14:textId="77777777" w:rsidR="005039DD" w:rsidRPr="002C2B23" w:rsidRDefault="005039DD">
      <w:pPr>
        <w:spacing w:line="360" w:lineRule="auto"/>
        <w:ind w:firstLine="480"/>
        <w:rPr>
          <w:bCs/>
          <w:sz w:val="24"/>
          <w:lang w:eastAsia="zh-CN"/>
        </w:rPr>
      </w:pPr>
    </w:p>
    <w:p w14:paraId="5521F25D" w14:textId="77777777" w:rsidR="005039DD" w:rsidRPr="002C2B23" w:rsidRDefault="0040620F">
      <w:pPr>
        <w:spacing w:line="360" w:lineRule="auto"/>
        <w:ind w:firstLine="480"/>
        <w:rPr>
          <w:bCs/>
          <w:sz w:val="24"/>
          <w:lang w:eastAsia="zh-CN"/>
        </w:rPr>
      </w:pPr>
      <w:r w:rsidRPr="002C2B23">
        <w:rPr>
          <w:bCs/>
          <w:sz w:val="24"/>
          <w:lang w:eastAsia="zh-CN"/>
        </w:rPr>
        <w:t>《基金合同》是约定基金合同当事人之间权利义务关系的法律文件。</w:t>
      </w:r>
    </w:p>
    <w:p w14:paraId="125BC6E2" w14:textId="77777777" w:rsidR="005039DD" w:rsidRPr="002C2B23" w:rsidRDefault="0040620F">
      <w:pPr>
        <w:spacing w:line="360" w:lineRule="auto"/>
        <w:ind w:firstLine="480"/>
        <w:rPr>
          <w:bCs/>
          <w:sz w:val="24"/>
          <w:lang w:eastAsia="zh-CN"/>
        </w:rPr>
      </w:pPr>
      <w:r w:rsidRPr="002C2B23">
        <w:rPr>
          <w:bCs/>
          <w:sz w:val="24"/>
          <w:lang w:eastAsia="zh-CN"/>
        </w:rPr>
        <w:t>1</w:t>
      </w:r>
      <w:r w:rsidRPr="002C2B23">
        <w:rPr>
          <w:bCs/>
          <w:sz w:val="24"/>
          <w:lang w:eastAsia="zh-CN"/>
        </w:rPr>
        <w:t>、《基金合同》经基金管理人、基金托管人双方盖章以及双方法定代表人或授权代表签字（或盖章）并在募集结束后经基金管理人向中国证监会办理基金备案手续，并经中国证监会书面确认后生效。</w:t>
      </w:r>
    </w:p>
    <w:p w14:paraId="65E9918F" w14:textId="77777777" w:rsidR="005039DD" w:rsidRPr="002C2B23" w:rsidRDefault="0040620F">
      <w:pPr>
        <w:spacing w:line="360" w:lineRule="auto"/>
        <w:ind w:firstLine="480"/>
        <w:rPr>
          <w:bCs/>
          <w:sz w:val="24"/>
          <w:lang w:eastAsia="zh-CN"/>
        </w:rPr>
      </w:pPr>
      <w:r w:rsidRPr="002C2B23">
        <w:rPr>
          <w:bCs/>
          <w:sz w:val="24"/>
          <w:lang w:eastAsia="zh-CN"/>
        </w:rPr>
        <w:t>2</w:t>
      </w:r>
      <w:r w:rsidRPr="002C2B23">
        <w:rPr>
          <w:bCs/>
          <w:sz w:val="24"/>
          <w:lang w:eastAsia="zh-CN"/>
        </w:rPr>
        <w:t>、《基金合同》的有效期自其生效之日起至基金财产清算结果报中国证监会备案并公告之日止。</w:t>
      </w:r>
    </w:p>
    <w:p w14:paraId="4C820366" w14:textId="77777777" w:rsidR="005039DD" w:rsidRPr="002C2B23" w:rsidRDefault="0040620F">
      <w:pPr>
        <w:spacing w:line="360" w:lineRule="auto"/>
        <w:ind w:firstLine="480"/>
        <w:rPr>
          <w:bCs/>
          <w:sz w:val="24"/>
          <w:lang w:eastAsia="zh-CN"/>
        </w:rPr>
      </w:pPr>
      <w:r w:rsidRPr="002C2B23">
        <w:rPr>
          <w:bCs/>
          <w:sz w:val="24"/>
          <w:lang w:eastAsia="zh-CN"/>
        </w:rPr>
        <w:t>3</w:t>
      </w:r>
      <w:r w:rsidRPr="002C2B23">
        <w:rPr>
          <w:bCs/>
          <w:sz w:val="24"/>
          <w:lang w:eastAsia="zh-CN"/>
        </w:rPr>
        <w:t>、《基金合同》自生效之日起对包括基金管理人、基金托管人和基金份额持有人在内的《基金合同》各方当事人具有同等的法律约束力。</w:t>
      </w:r>
    </w:p>
    <w:p w14:paraId="32C941D6" w14:textId="77777777" w:rsidR="005039DD" w:rsidRPr="002C2B23" w:rsidRDefault="0040620F">
      <w:pPr>
        <w:spacing w:line="360" w:lineRule="auto"/>
        <w:ind w:firstLine="480"/>
        <w:rPr>
          <w:bCs/>
          <w:sz w:val="24"/>
          <w:lang w:eastAsia="zh-CN"/>
        </w:rPr>
      </w:pPr>
      <w:r w:rsidRPr="002C2B23">
        <w:rPr>
          <w:bCs/>
          <w:sz w:val="24"/>
          <w:lang w:eastAsia="zh-CN"/>
        </w:rPr>
        <w:t>4</w:t>
      </w:r>
      <w:r w:rsidRPr="002C2B23">
        <w:rPr>
          <w:bCs/>
          <w:sz w:val="24"/>
          <w:lang w:eastAsia="zh-CN"/>
        </w:rPr>
        <w:t>、《基金合同》正本一式</w:t>
      </w:r>
      <w:r w:rsidRPr="002C2B23">
        <w:rPr>
          <w:rFonts w:hint="eastAsia"/>
          <w:bCs/>
          <w:sz w:val="24"/>
          <w:lang w:eastAsia="zh-CN"/>
        </w:rPr>
        <w:t>三</w:t>
      </w:r>
      <w:r w:rsidRPr="002C2B23">
        <w:rPr>
          <w:bCs/>
          <w:sz w:val="24"/>
          <w:lang w:eastAsia="zh-CN"/>
        </w:rPr>
        <w:t>份，除上报有关监管机构一份外，基金管理人、基金托管人</w:t>
      </w:r>
      <w:r w:rsidRPr="002C2B23">
        <w:rPr>
          <w:rFonts w:hint="eastAsia"/>
          <w:bCs/>
          <w:sz w:val="24"/>
          <w:lang w:eastAsia="zh-CN"/>
        </w:rPr>
        <w:t>各</w:t>
      </w:r>
      <w:r w:rsidRPr="002C2B23">
        <w:rPr>
          <w:bCs/>
          <w:sz w:val="24"/>
          <w:lang w:eastAsia="zh-CN"/>
        </w:rPr>
        <w:t>持有</w:t>
      </w:r>
      <w:r w:rsidRPr="002C2B23">
        <w:rPr>
          <w:rFonts w:hint="eastAsia"/>
          <w:bCs/>
          <w:sz w:val="24"/>
          <w:lang w:eastAsia="zh-CN"/>
        </w:rPr>
        <w:t>一</w:t>
      </w:r>
      <w:r w:rsidRPr="002C2B23">
        <w:rPr>
          <w:bCs/>
          <w:sz w:val="24"/>
          <w:lang w:eastAsia="zh-CN"/>
        </w:rPr>
        <w:t>份，每份具有同等的法律效力。</w:t>
      </w:r>
    </w:p>
    <w:p w14:paraId="5AAE7AA4" w14:textId="77777777" w:rsidR="005039DD" w:rsidRPr="002C2B23" w:rsidRDefault="0040620F">
      <w:pPr>
        <w:spacing w:line="360" w:lineRule="auto"/>
        <w:ind w:firstLine="480"/>
        <w:rPr>
          <w:bCs/>
          <w:sz w:val="24"/>
          <w:lang w:eastAsia="zh-CN"/>
        </w:rPr>
        <w:sectPr w:rsidR="005039DD" w:rsidRPr="002C2B23">
          <w:footerReference w:type="default" r:id="rId31"/>
          <w:pgSz w:w="12240" w:h="15840"/>
          <w:pgMar w:top="1440" w:right="1800" w:bottom="1440" w:left="1800" w:header="720" w:footer="720" w:gutter="0"/>
          <w:cols w:space="720"/>
          <w:docGrid w:linePitch="312"/>
        </w:sectPr>
      </w:pPr>
      <w:r w:rsidRPr="002C2B23">
        <w:rPr>
          <w:bCs/>
          <w:sz w:val="24"/>
          <w:lang w:eastAsia="zh-CN"/>
        </w:rPr>
        <w:t>5</w:t>
      </w:r>
      <w:r w:rsidRPr="002C2B23">
        <w:rPr>
          <w:bCs/>
          <w:sz w:val="24"/>
          <w:lang w:eastAsia="zh-CN"/>
        </w:rPr>
        <w:t>、《基金合同》可印制成册，供投资者在基金管理人、基金托管人、销售机构的办公场所和营业场所查阅。</w:t>
      </w:r>
    </w:p>
    <w:p w14:paraId="72A3C2A3" w14:textId="77777777" w:rsidR="005039DD" w:rsidRPr="002C2B23" w:rsidRDefault="0040620F">
      <w:pPr>
        <w:pStyle w:val="112"/>
        <w:spacing w:before="0" w:after="0"/>
        <w:jc w:val="center"/>
        <w:rPr>
          <w:rFonts w:ascii="Times New Roman"/>
          <w:sz w:val="30"/>
          <w:lang w:eastAsia="zh-CN"/>
        </w:rPr>
      </w:pPr>
      <w:bookmarkStart w:id="501" w:name="_Toc21726"/>
      <w:bookmarkStart w:id="502" w:name="_Toc109141383"/>
      <w:bookmarkStart w:id="503" w:name="_Toc9704"/>
      <w:r w:rsidRPr="002C2B23">
        <w:rPr>
          <w:rFonts w:ascii="Times New Roman"/>
          <w:sz w:val="30"/>
          <w:lang w:eastAsia="zh-CN"/>
        </w:rPr>
        <w:t>第二十三部分</w:t>
      </w:r>
      <w:r w:rsidRPr="002C2B23">
        <w:rPr>
          <w:rFonts w:ascii="Times New Roman"/>
          <w:sz w:val="30"/>
          <w:lang w:eastAsia="zh-CN"/>
        </w:rPr>
        <w:t xml:space="preserve">  </w:t>
      </w:r>
      <w:r w:rsidRPr="002C2B23">
        <w:rPr>
          <w:rFonts w:ascii="Times New Roman"/>
          <w:sz w:val="30"/>
          <w:lang w:eastAsia="zh-CN"/>
        </w:rPr>
        <w:t>其他事项</w:t>
      </w:r>
      <w:bookmarkEnd w:id="501"/>
      <w:bookmarkEnd w:id="502"/>
      <w:bookmarkEnd w:id="503"/>
    </w:p>
    <w:p w14:paraId="0F6ED7FC" w14:textId="77777777" w:rsidR="005039DD" w:rsidRPr="002C2B23" w:rsidRDefault="005039DD">
      <w:pPr>
        <w:spacing w:line="360" w:lineRule="auto"/>
        <w:ind w:firstLine="480"/>
        <w:rPr>
          <w:rFonts w:ascii="宋体" w:hAnsi="宋体"/>
          <w:sz w:val="24"/>
          <w:lang w:eastAsia="zh-CN"/>
        </w:rPr>
      </w:pPr>
    </w:p>
    <w:p w14:paraId="503238CF" w14:textId="77777777" w:rsidR="005039DD" w:rsidRPr="002C2B23" w:rsidRDefault="0040620F">
      <w:pPr>
        <w:spacing w:line="360" w:lineRule="auto"/>
        <w:ind w:firstLine="480"/>
        <w:rPr>
          <w:rFonts w:ascii="宋体" w:hAnsi="宋体"/>
          <w:sz w:val="24"/>
          <w:lang w:eastAsia="zh-CN"/>
        </w:rPr>
        <w:sectPr w:rsidR="005039DD" w:rsidRPr="002C2B23">
          <w:footerReference w:type="default" r:id="rId32"/>
          <w:pgSz w:w="12240" w:h="15840"/>
          <w:pgMar w:top="1440" w:right="1800" w:bottom="1440" w:left="1800" w:header="720" w:footer="720" w:gutter="0"/>
          <w:cols w:space="720"/>
          <w:docGrid w:linePitch="312"/>
        </w:sectPr>
      </w:pPr>
      <w:r w:rsidRPr="002C2B23">
        <w:rPr>
          <w:rFonts w:ascii="宋体" w:hAnsi="宋体"/>
          <w:sz w:val="24"/>
          <w:lang w:eastAsia="zh-CN"/>
        </w:rPr>
        <w:t>《基金合同》如有未尽事宜，由《基金合同》当事人各方按有关法律法规协商解决。</w:t>
      </w:r>
    </w:p>
    <w:p w14:paraId="31BA4C3F" w14:textId="55E6E2B1" w:rsidR="005039DD" w:rsidRPr="002C2B23" w:rsidRDefault="0040620F">
      <w:pPr>
        <w:pStyle w:val="112"/>
        <w:spacing w:before="0" w:after="0"/>
        <w:jc w:val="center"/>
        <w:rPr>
          <w:rFonts w:ascii="Times New Roman"/>
          <w:sz w:val="30"/>
          <w:lang w:eastAsia="zh-CN"/>
        </w:rPr>
      </w:pPr>
      <w:bookmarkStart w:id="504" w:name="_Toc7437"/>
      <w:bookmarkStart w:id="505" w:name="_Toc21122"/>
      <w:bookmarkStart w:id="506" w:name="_Toc15664"/>
      <w:bookmarkStart w:id="507" w:name="_Toc15045"/>
      <w:bookmarkStart w:id="508" w:name="_Toc17263"/>
      <w:bookmarkStart w:id="509" w:name="_Toc5108"/>
      <w:bookmarkStart w:id="510" w:name="_Toc20098"/>
      <w:bookmarkStart w:id="511" w:name="_Toc1360"/>
      <w:bookmarkStart w:id="512" w:name="_Toc32355"/>
      <w:bookmarkStart w:id="513" w:name="_Toc109141384"/>
      <w:bookmarkStart w:id="514" w:name="_Toc12499"/>
      <w:bookmarkStart w:id="515" w:name="_Toc9054"/>
      <w:bookmarkStart w:id="516" w:name="_Toc141703905"/>
      <w:r w:rsidRPr="002C2B23">
        <w:rPr>
          <w:rFonts w:ascii="Times New Roman"/>
          <w:sz w:val="30"/>
          <w:lang w:eastAsia="zh-CN"/>
        </w:rPr>
        <w:t>第二十四部分</w:t>
      </w:r>
      <w:r w:rsidRPr="002C2B23">
        <w:rPr>
          <w:rFonts w:ascii="Times New Roman"/>
          <w:sz w:val="30"/>
          <w:lang w:eastAsia="zh-CN"/>
        </w:rPr>
        <w:t xml:space="preserve">  </w:t>
      </w:r>
      <w:r w:rsidRPr="002C2B23">
        <w:rPr>
          <w:rFonts w:ascii="Times New Roman"/>
          <w:sz w:val="30"/>
          <w:lang w:eastAsia="zh-CN"/>
        </w:rPr>
        <w:t>基金合同摘要</w:t>
      </w:r>
      <w:bookmarkEnd w:id="0"/>
      <w:bookmarkEnd w:id="66"/>
      <w:bookmarkEnd w:id="67"/>
      <w:bookmarkEnd w:id="504"/>
      <w:bookmarkEnd w:id="505"/>
      <w:bookmarkEnd w:id="506"/>
      <w:bookmarkEnd w:id="507"/>
      <w:bookmarkEnd w:id="508"/>
      <w:bookmarkEnd w:id="509"/>
      <w:bookmarkEnd w:id="510"/>
      <w:bookmarkEnd w:id="511"/>
      <w:bookmarkEnd w:id="512"/>
      <w:bookmarkEnd w:id="513"/>
      <w:bookmarkEnd w:id="514"/>
      <w:bookmarkEnd w:id="515"/>
      <w:bookmarkEnd w:id="516"/>
    </w:p>
    <w:p w14:paraId="530BC7B4" w14:textId="77777777" w:rsidR="005039DD" w:rsidRPr="002C2B23" w:rsidRDefault="005039DD">
      <w:pPr>
        <w:spacing w:line="360" w:lineRule="auto"/>
        <w:rPr>
          <w:rFonts w:ascii="宋体" w:hAnsi="宋体"/>
          <w:sz w:val="24"/>
          <w:lang w:eastAsia="zh-CN"/>
        </w:rPr>
      </w:pPr>
    </w:p>
    <w:p w14:paraId="1385B7C8" w14:textId="77777777" w:rsidR="00C21F15" w:rsidRPr="002C2B23" w:rsidRDefault="00C21F15" w:rsidP="00C21F15">
      <w:pPr>
        <w:spacing w:line="360" w:lineRule="auto"/>
        <w:ind w:firstLine="480"/>
        <w:rPr>
          <w:rFonts w:ascii="宋体" w:hAnsi="宋体"/>
          <w:sz w:val="24"/>
          <w:lang w:eastAsia="zh-CN"/>
        </w:rPr>
      </w:pPr>
      <w:r w:rsidRPr="002C2B23">
        <w:rPr>
          <w:rFonts w:ascii="宋体" w:hAnsi="宋体"/>
          <w:sz w:val="24"/>
          <w:lang w:eastAsia="zh-CN"/>
        </w:rPr>
        <w:t>一、基金管理人、基金托管人及基金份额持有人的权利与义务</w:t>
      </w:r>
    </w:p>
    <w:p w14:paraId="0BE83A9E" w14:textId="77777777" w:rsidR="00C21F15" w:rsidRPr="002C2B23" w:rsidRDefault="00C21F15" w:rsidP="00C21F15">
      <w:pPr>
        <w:spacing w:line="360" w:lineRule="auto"/>
        <w:ind w:firstLine="480"/>
        <w:rPr>
          <w:rFonts w:ascii="宋体" w:hAnsi="宋体"/>
          <w:sz w:val="24"/>
          <w:lang w:eastAsia="zh-CN"/>
        </w:rPr>
      </w:pPr>
      <w:r w:rsidRPr="002C2B23">
        <w:rPr>
          <w:rFonts w:ascii="宋体" w:hAnsi="宋体"/>
          <w:sz w:val="24"/>
          <w:lang w:eastAsia="zh-CN"/>
        </w:rPr>
        <w:t>（一）基金管理人的权利与义务</w:t>
      </w:r>
    </w:p>
    <w:p w14:paraId="671D7366" w14:textId="77777777" w:rsidR="00C21F15" w:rsidRPr="002C2B23" w:rsidRDefault="00C21F15" w:rsidP="00C21F15">
      <w:pPr>
        <w:spacing w:line="360" w:lineRule="auto"/>
        <w:ind w:firstLine="480"/>
        <w:rPr>
          <w:bCs/>
          <w:sz w:val="24"/>
          <w:lang w:eastAsia="zh-CN"/>
        </w:rPr>
      </w:pPr>
      <w:r w:rsidRPr="002C2B23">
        <w:rPr>
          <w:bCs/>
          <w:sz w:val="24"/>
          <w:lang w:eastAsia="zh-CN"/>
        </w:rPr>
        <w:t>1</w:t>
      </w:r>
      <w:r w:rsidRPr="002C2B23">
        <w:rPr>
          <w:bCs/>
          <w:sz w:val="24"/>
          <w:lang w:eastAsia="zh-CN"/>
        </w:rPr>
        <w:t>、根据《基金法》《运作办法》及其他有关规定，基金管理人的权利包括但不限于：</w:t>
      </w:r>
    </w:p>
    <w:p w14:paraId="6FE0EC24"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）依法募集资金；</w:t>
      </w:r>
    </w:p>
    <w:p w14:paraId="22D003FC"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）自《基金合同》生效之日起，根据法律法规和《基金合同》独立运用并管理基金财产；</w:t>
      </w:r>
    </w:p>
    <w:p w14:paraId="2135AB66"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3</w:t>
      </w:r>
      <w:r w:rsidRPr="002C2B23">
        <w:rPr>
          <w:bCs/>
          <w:sz w:val="24"/>
          <w:lang w:eastAsia="zh-CN"/>
        </w:rPr>
        <w:t>）依照《基金合同》收取基金管理费以及法律法规规定或中国证监会批准的其他费用；</w:t>
      </w:r>
    </w:p>
    <w:p w14:paraId="22FD1B28"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4</w:t>
      </w:r>
      <w:r w:rsidRPr="002C2B23">
        <w:rPr>
          <w:bCs/>
          <w:sz w:val="24"/>
          <w:lang w:eastAsia="zh-CN"/>
        </w:rPr>
        <w:t>）销售基金份额；</w:t>
      </w:r>
    </w:p>
    <w:p w14:paraId="6307A2B9"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5</w:t>
      </w:r>
      <w:r w:rsidRPr="002C2B23">
        <w:rPr>
          <w:bCs/>
          <w:sz w:val="24"/>
          <w:lang w:eastAsia="zh-CN"/>
        </w:rPr>
        <w:t>）按照规定召集基金份额持有人大会；</w:t>
      </w:r>
    </w:p>
    <w:p w14:paraId="36FA8134"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6</w:t>
      </w:r>
      <w:r w:rsidRPr="002C2B23">
        <w:rPr>
          <w:bCs/>
          <w:sz w:val="24"/>
          <w:lang w:eastAsia="zh-CN"/>
        </w:rPr>
        <w:t>）依据《基金合同》及有关法律规定监督基金托管人，如认为基金托管人违反了《基金合同》及国家有关法律规定，应呈报中国证监会和其他监管部门，并采取必要措施保护基金投资者的利益；</w:t>
      </w:r>
    </w:p>
    <w:p w14:paraId="433B743E"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7</w:t>
      </w:r>
      <w:r w:rsidRPr="002C2B23">
        <w:rPr>
          <w:bCs/>
          <w:sz w:val="24"/>
          <w:lang w:eastAsia="zh-CN"/>
        </w:rPr>
        <w:t>）在基金托管人更换时，提名新的基金托管人；</w:t>
      </w:r>
    </w:p>
    <w:p w14:paraId="5AE74BE2" w14:textId="77777777" w:rsidR="00C21F15" w:rsidRPr="002C2B23" w:rsidRDefault="00C21F15" w:rsidP="00C21F15">
      <w:pPr>
        <w:spacing w:line="440" w:lineRule="atLeast"/>
        <w:ind w:firstLine="480"/>
        <w:rPr>
          <w:bCs/>
          <w:sz w:val="24"/>
          <w:lang w:eastAsia="zh-CN"/>
        </w:rPr>
      </w:pPr>
      <w:r w:rsidRPr="002C2B23">
        <w:rPr>
          <w:bCs/>
          <w:sz w:val="24"/>
          <w:lang w:eastAsia="zh-CN"/>
        </w:rPr>
        <w:t>（</w:t>
      </w:r>
      <w:r w:rsidRPr="002C2B23">
        <w:rPr>
          <w:bCs/>
          <w:sz w:val="24"/>
          <w:lang w:eastAsia="zh-CN"/>
        </w:rPr>
        <w:t>8</w:t>
      </w:r>
      <w:r w:rsidRPr="002C2B23">
        <w:rPr>
          <w:bCs/>
          <w:sz w:val="24"/>
          <w:lang w:eastAsia="zh-CN"/>
        </w:rPr>
        <w:t>）选择、更换基金销售机构，对基金销售机构的相关行为进行监督和处理；</w:t>
      </w:r>
      <w:r w:rsidRPr="002C2B23">
        <w:rPr>
          <w:bCs/>
          <w:sz w:val="24"/>
          <w:lang w:eastAsia="zh-CN"/>
        </w:rPr>
        <w:t xml:space="preserve"> </w:t>
      </w:r>
    </w:p>
    <w:p w14:paraId="76570360" w14:textId="77777777" w:rsidR="00C21F15" w:rsidRPr="002C2B23" w:rsidRDefault="00C21F15" w:rsidP="00C21F15">
      <w:pPr>
        <w:spacing w:line="440" w:lineRule="atLeast"/>
        <w:ind w:firstLine="480"/>
        <w:rPr>
          <w:bCs/>
          <w:sz w:val="24"/>
          <w:lang w:eastAsia="zh-CN"/>
        </w:rPr>
      </w:pPr>
      <w:r w:rsidRPr="002C2B23">
        <w:rPr>
          <w:bCs/>
          <w:sz w:val="24"/>
          <w:lang w:eastAsia="zh-CN"/>
        </w:rPr>
        <w:t>（</w:t>
      </w:r>
      <w:r w:rsidRPr="002C2B23">
        <w:rPr>
          <w:bCs/>
          <w:sz w:val="24"/>
          <w:lang w:eastAsia="zh-CN"/>
        </w:rPr>
        <w:t>9</w:t>
      </w:r>
      <w:r w:rsidRPr="002C2B23">
        <w:rPr>
          <w:bCs/>
          <w:sz w:val="24"/>
          <w:lang w:eastAsia="zh-CN"/>
        </w:rPr>
        <w:t>）担任或委托其他符合条件的机构担任基金登记机构办理基金登记业务并获得《基金合同》规定的费用；</w:t>
      </w:r>
      <w:r w:rsidRPr="002C2B23">
        <w:rPr>
          <w:bCs/>
          <w:sz w:val="24"/>
          <w:lang w:eastAsia="zh-CN"/>
        </w:rPr>
        <w:t xml:space="preserve"> </w:t>
      </w:r>
    </w:p>
    <w:p w14:paraId="032977C2" w14:textId="77777777" w:rsidR="00C21F15" w:rsidRPr="002C2B23" w:rsidRDefault="00C21F15" w:rsidP="00C21F15">
      <w:pPr>
        <w:spacing w:line="440" w:lineRule="atLeast"/>
        <w:ind w:firstLine="480"/>
        <w:rPr>
          <w:bCs/>
          <w:sz w:val="24"/>
          <w:lang w:eastAsia="zh-CN"/>
        </w:rPr>
      </w:pPr>
      <w:r w:rsidRPr="002C2B23">
        <w:rPr>
          <w:bCs/>
          <w:sz w:val="24"/>
          <w:lang w:eastAsia="zh-CN"/>
        </w:rPr>
        <w:t>（</w:t>
      </w:r>
      <w:r w:rsidRPr="002C2B23">
        <w:rPr>
          <w:bCs/>
          <w:sz w:val="24"/>
          <w:lang w:eastAsia="zh-CN"/>
        </w:rPr>
        <w:t>10</w:t>
      </w:r>
      <w:r w:rsidRPr="002C2B23">
        <w:rPr>
          <w:bCs/>
          <w:sz w:val="24"/>
          <w:lang w:eastAsia="zh-CN"/>
        </w:rPr>
        <w:t>）依据《基金合同》及有关法律规定决定基金收益的分配方案；</w:t>
      </w:r>
      <w:r w:rsidRPr="002C2B23">
        <w:rPr>
          <w:bCs/>
          <w:sz w:val="24"/>
          <w:lang w:eastAsia="zh-CN"/>
        </w:rPr>
        <w:tab/>
      </w:r>
    </w:p>
    <w:p w14:paraId="68E406F2" w14:textId="77777777" w:rsidR="00C21F15" w:rsidRPr="002C2B23" w:rsidRDefault="00C21F15" w:rsidP="00C21F15">
      <w:pPr>
        <w:spacing w:line="440" w:lineRule="atLeast"/>
        <w:ind w:firstLine="480"/>
        <w:rPr>
          <w:bCs/>
          <w:sz w:val="24"/>
          <w:lang w:eastAsia="zh-CN"/>
        </w:rPr>
      </w:pPr>
      <w:r w:rsidRPr="002C2B23">
        <w:rPr>
          <w:bCs/>
          <w:sz w:val="24"/>
          <w:lang w:eastAsia="zh-CN"/>
        </w:rPr>
        <w:t>（</w:t>
      </w:r>
      <w:r w:rsidRPr="002C2B23">
        <w:rPr>
          <w:bCs/>
          <w:sz w:val="24"/>
          <w:lang w:eastAsia="zh-CN"/>
        </w:rPr>
        <w:t>11</w:t>
      </w:r>
      <w:r w:rsidRPr="002C2B23">
        <w:rPr>
          <w:bCs/>
          <w:sz w:val="24"/>
          <w:lang w:eastAsia="zh-CN"/>
        </w:rPr>
        <w:t>）在《基金合同》约定的范围内，拒绝或暂停受理申购、赎回与转换申请；</w:t>
      </w:r>
      <w:r w:rsidRPr="002C2B23">
        <w:rPr>
          <w:bCs/>
          <w:sz w:val="24"/>
          <w:lang w:eastAsia="zh-CN"/>
        </w:rPr>
        <w:t xml:space="preserve"> </w:t>
      </w:r>
    </w:p>
    <w:p w14:paraId="0EEB57F9" w14:textId="77777777" w:rsidR="00C21F15" w:rsidRPr="002C2B23" w:rsidRDefault="00C21F15" w:rsidP="00C21F15">
      <w:pPr>
        <w:spacing w:line="440" w:lineRule="atLeast"/>
        <w:ind w:firstLine="480"/>
        <w:rPr>
          <w:bCs/>
          <w:sz w:val="24"/>
          <w:lang w:eastAsia="zh-CN"/>
        </w:rPr>
      </w:pPr>
      <w:r w:rsidRPr="002C2B23">
        <w:rPr>
          <w:bCs/>
          <w:sz w:val="24"/>
          <w:lang w:eastAsia="zh-CN"/>
        </w:rPr>
        <w:t>（</w:t>
      </w:r>
      <w:r w:rsidRPr="002C2B23">
        <w:rPr>
          <w:bCs/>
          <w:sz w:val="24"/>
          <w:lang w:eastAsia="zh-CN"/>
        </w:rPr>
        <w:t>12</w:t>
      </w:r>
      <w:r w:rsidRPr="002C2B23">
        <w:rPr>
          <w:bCs/>
          <w:sz w:val="24"/>
          <w:lang w:eastAsia="zh-CN"/>
        </w:rPr>
        <w:t>）依照法律法规为基金的利益对被投资公司行使股东权利，为基金的利益行使因基金财产投资于证券所产生的权利；</w:t>
      </w:r>
    </w:p>
    <w:p w14:paraId="759A9EB4" w14:textId="77777777" w:rsidR="00C21F15" w:rsidRPr="002C2B23" w:rsidRDefault="00C21F15" w:rsidP="00C21F15">
      <w:pPr>
        <w:spacing w:line="440" w:lineRule="atLeast"/>
        <w:ind w:firstLine="480"/>
        <w:rPr>
          <w:bCs/>
          <w:sz w:val="24"/>
          <w:lang w:eastAsia="zh-CN"/>
        </w:rPr>
      </w:pPr>
      <w:r w:rsidRPr="002C2B23">
        <w:rPr>
          <w:bCs/>
          <w:sz w:val="24"/>
          <w:lang w:eastAsia="zh-CN"/>
        </w:rPr>
        <w:t>（</w:t>
      </w:r>
      <w:r w:rsidRPr="002C2B23">
        <w:rPr>
          <w:bCs/>
          <w:sz w:val="24"/>
          <w:lang w:eastAsia="zh-CN"/>
        </w:rPr>
        <w:t>13</w:t>
      </w:r>
      <w:r w:rsidRPr="002C2B23">
        <w:rPr>
          <w:bCs/>
          <w:sz w:val="24"/>
          <w:lang w:eastAsia="zh-CN"/>
        </w:rPr>
        <w:t>）在法律法规允许的前提下，为基金的利益依法为基金进行融资；</w:t>
      </w:r>
      <w:r w:rsidRPr="002C2B23">
        <w:rPr>
          <w:bCs/>
          <w:sz w:val="24"/>
          <w:lang w:eastAsia="zh-CN"/>
        </w:rPr>
        <w:t xml:space="preserve"> </w:t>
      </w:r>
    </w:p>
    <w:p w14:paraId="47C768E2" w14:textId="77777777" w:rsidR="00C21F15" w:rsidRPr="002C2B23" w:rsidRDefault="00C21F15" w:rsidP="00C21F15">
      <w:pPr>
        <w:spacing w:line="440" w:lineRule="atLeast"/>
        <w:ind w:firstLine="480"/>
        <w:rPr>
          <w:bCs/>
          <w:sz w:val="24"/>
          <w:lang w:eastAsia="zh-CN"/>
        </w:rPr>
      </w:pPr>
      <w:r w:rsidRPr="002C2B23">
        <w:rPr>
          <w:bCs/>
          <w:sz w:val="24"/>
          <w:lang w:eastAsia="zh-CN"/>
        </w:rPr>
        <w:t>（</w:t>
      </w:r>
      <w:r w:rsidRPr="002C2B23">
        <w:rPr>
          <w:bCs/>
          <w:sz w:val="24"/>
          <w:lang w:eastAsia="zh-CN"/>
        </w:rPr>
        <w:t>14</w:t>
      </w:r>
      <w:r w:rsidRPr="002C2B23">
        <w:rPr>
          <w:bCs/>
          <w:sz w:val="24"/>
          <w:lang w:eastAsia="zh-CN"/>
        </w:rPr>
        <w:t>）以基金管理人的名义，代表基金份额持有人的利益行使诉讼权利或者实施其他法律行为；</w:t>
      </w:r>
    </w:p>
    <w:p w14:paraId="480F8BEE" w14:textId="77777777" w:rsidR="00C21F15" w:rsidRPr="002C2B23" w:rsidRDefault="00C21F15" w:rsidP="00C21F15">
      <w:pPr>
        <w:spacing w:line="440" w:lineRule="atLeast"/>
        <w:ind w:firstLine="480"/>
        <w:rPr>
          <w:bCs/>
          <w:sz w:val="24"/>
          <w:lang w:eastAsia="zh-CN"/>
        </w:rPr>
      </w:pPr>
      <w:r w:rsidRPr="002C2B23">
        <w:rPr>
          <w:bCs/>
          <w:sz w:val="24"/>
          <w:lang w:eastAsia="zh-CN"/>
        </w:rPr>
        <w:t>（</w:t>
      </w:r>
      <w:r w:rsidRPr="002C2B23">
        <w:rPr>
          <w:bCs/>
          <w:sz w:val="24"/>
          <w:lang w:eastAsia="zh-CN"/>
        </w:rPr>
        <w:t>15</w:t>
      </w:r>
      <w:r w:rsidRPr="002C2B23">
        <w:rPr>
          <w:bCs/>
          <w:sz w:val="24"/>
          <w:lang w:eastAsia="zh-CN"/>
        </w:rPr>
        <w:t>）选择、更换律师事务所、会计师事务所、证券、期货经纪商或其他为基金提供服务的外部机构；</w:t>
      </w:r>
    </w:p>
    <w:p w14:paraId="1777FD89" w14:textId="77777777" w:rsidR="00C21F15" w:rsidRPr="002C2B23" w:rsidRDefault="00C21F15" w:rsidP="00C21F15">
      <w:pPr>
        <w:spacing w:line="440" w:lineRule="atLeast"/>
        <w:ind w:firstLine="480"/>
        <w:rPr>
          <w:bCs/>
          <w:sz w:val="24"/>
          <w:lang w:eastAsia="zh-CN"/>
        </w:rPr>
      </w:pPr>
      <w:r w:rsidRPr="002C2B23">
        <w:rPr>
          <w:bCs/>
          <w:sz w:val="24"/>
          <w:lang w:eastAsia="zh-CN"/>
        </w:rPr>
        <w:t>（</w:t>
      </w:r>
      <w:r w:rsidRPr="002C2B23">
        <w:rPr>
          <w:bCs/>
          <w:sz w:val="24"/>
          <w:lang w:eastAsia="zh-CN"/>
        </w:rPr>
        <w:t>16</w:t>
      </w:r>
      <w:r w:rsidRPr="002C2B23">
        <w:rPr>
          <w:bCs/>
          <w:sz w:val="24"/>
          <w:lang w:eastAsia="zh-CN"/>
        </w:rPr>
        <w:t>）在符合有关法律、法规的前提下，制订和调整有关基金认购、申购、赎回、转换、定期定额投资和</w:t>
      </w:r>
      <w:proofErr w:type="gramStart"/>
      <w:r w:rsidRPr="002C2B23">
        <w:rPr>
          <w:bCs/>
          <w:sz w:val="24"/>
          <w:lang w:eastAsia="zh-CN"/>
        </w:rPr>
        <w:t>非交易</w:t>
      </w:r>
      <w:proofErr w:type="gramEnd"/>
      <w:r w:rsidRPr="002C2B23">
        <w:rPr>
          <w:bCs/>
          <w:sz w:val="24"/>
          <w:lang w:eastAsia="zh-CN"/>
        </w:rPr>
        <w:t>过户等业务规则；</w:t>
      </w:r>
    </w:p>
    <w:p w14:paraId="71461C9A" w14:textId="77777777" w:rsidR="00C21F15" w:rsidRPr="002C2B23" w:rsidRDefault="00C21F15" w:rsidP="00C21F15">
      <w:pPr>
        <w:spacing w:line="440" w:lineRule="atLeast"/>
        <w:ind w:firstLine="480"/>
        <w:rPr>
          <w:bCs/>
          <w:sz w:val="24"/>
          <w:lang w:eastAsia="zh-CN"/>
        </w:rPr>
      </w:pPr>
      <w:r w:rsidRPr="002C2B23">
        <w:rPr>
          <w:bCs/>
          <w:sz w:val="24"/>
          <w:lang w:eastAsia="zh-CN"/>
        </w:rPr>
        <w:t>（</w:t>
      </w:r>
      <w:r w:rsidRPr="002C2B23">
        <w:rPr>
          <w:bCs/>
          <w:sz w:val="24"/>
          <w:lang w:eastAsia="zh-CN"/>
        </w:rPr>
        <w:t>17</w:t>
      </w:r>
      <w:r w:rsidRPr="002C2B23">
        <w:rPr>
          <w:bCs/>
          <w:sz w:val="24"/>
          <w:lang w:eastAsia="zh-CN"/>
        </w:rPr>
        <w:t>）法律法规及中国证监会规定的和《基金合同》约定的其他权利。</w:t>
      </w:r>
    </w:p>
    <w:p w14:paraId="29C423C0" w14:textId="77777777" w:rsidR="00C21F15" w:rsidRPr="002C2B23" w:rsidRDefault="00C21F15" w:rsidP="00C21F15">
      <w:pPr>
        <w:spacing w:line="440" w:lineRule="atLeast"/>
        <w:ind w:firstLine="480"/>
        <w:rPr>
          <w:bCs/>
          <w:sz w:val="24"/>
          <w:lang w:eastAsia="zh-CN"/>
        </w:rPr>
      </w:pPr>
      <w:r w:rsidRPr="002C2B23">
        <w:rPr>
          <w:bCs/>
          <w:sz w:val="24"/>
          <w:lang w:eastAsia="zh-CN"/>
        </w:rPr>
        <w:t>2</w:t>
      </w:r>
      <w:r w:rsidRPr="002C2B23">
        <w:rPr>
          <w:bCs/>
          <w:sz w:val="24"/>
          <w:lang w:eastAsia="zh-CN"/>
        </w:rPr>
        <w:t>、根据《基金法》《运作办法》及其他有关规定，基金管理人的义务包括但不限于：</w:t>
      </w:r>
    </w:p>
    <w:p w14:paraId="649C547D" w14:textId="77777777" w:rsidR="00C21F15" w:rsidRPr="002C2B23" w:rsidRDefault="00C21F15" w:rsidP="00C21F15">
      <w:pPr>
        <w:spacing w:line="440" w:lineRule="atLeast"/>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）依法募集资金，办理或者委托经中国证监会认定的其他机构代为办理基金份额的发售、申购、赎回和登记事宜；</w:t>
      </w:r>
    </w:p>
    <w:p w14:paraId="5C623426" w14:textId="77777777" w:rsidR="00C21F15" w:rsidRPr="002C2B23" w:rsidRDefault="00C21F15" w:rsidP="00C21F15">
      <w:pPr>
        <w:spacing w:line="440" w:lineRule="atLeast"/>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）办理基金备案手续；</w:t>
      </w:r>
    </w:p>
    <w:p w14:paraId="3E776F7F" w14:textId="77777777" w:rsidR="00C21F15" w:rsidRPr="002C2B23" w:rsidRDefault="00C21F15" w:rsidP="00C21F15">
      <w:pPr>
        <w:spacing w:line="440" w:lineRule="atLeast"/>
        <w:ind w:firstLine="480"/>
        <w:rPr>
          <w:bCs/>
          <w:sz w:val="24"/>
          <w:lang w:eastAsia="zh-CN"/>
        </w:rPr>
      </w:pPr>
      <w:r w:rsidRPr="002C2B23">
        <w:rPr>
          <w:bCs/>
          <w:sz w:val="24"/>
          <w:lang w:eastAsia="zh-CN"/>
        </w:rPr>
        <w:t>（</w:t>
      </w:r>
      <w:r w:rsidRPr="002C2B23">
        <w:rPr>
          <w:bCs/>
          <w:sz w:val="24"/>
          <w:lang w:eastAsia="zh-CN"/>
        </w:rPr>
        <w:t>3</w:t>
      </w:r>
      <w:r w:rsidRPr="002C2B23">
        <w:rPr>
          <w:bCs/>
          <w:sz w:val="24"/>
          <w:lang w:eastAsia="zh-CN"/>
        </w:rPr>
        <w:t>）自《基金合同》生效之日起，以诚实信用、谨慎勤勉的原则管理和运用基金财产；</w:t>
      </w:r>
    </w:p>
    <w:p w14:paraId="06FD1EE0"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4</w:t>
      </w:r>
      <w:r w:rsidRPr="002C2B23">
        <w:rPr>
          <w:bCs/>
          <w:sz w:val="24"/>
          <w:lang w:eastAsia="zh-CN"/>
        </w:rPr>
        <w:t>）配备足够的具有专业资格的人员进行基金投资分析、决策，以专业化的经营方式管理和运作基金财产；</w:t>
      </w:r>
    </w:p>
    <w:p w14:paraId="379632A5"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5</w:t>
      </w:r>
      <w:r w:rsidRPr="002C2B23">
        <w:rPr>
          <w:bCs/>
          <w:sz w:val="24"/>
          <w:lang w:eastAsia="zh-CN"/>
        </w:rPr>
        <w:t>）建立健全内部风险控制、监察与稽核、财务管理及人事管理等制度，保证所管理的基金财产和基金管理人的财产相互独立，对所管理的不同基金分别管理，分别记账，进行证券投资；</w:t>
      </w:r>
    </w:p>
    <w:p w14:paraId="1821B16C"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6</w:t>
      </w:r>
      <w:r w:rsidRPr="002C2B23">
        <w:rPr>
          <w:bCs/>
          <w:sz w:val="24"/>
          <w:lang w:eastAsia="zh-CN"/>
        </w:rPr>
        <w:t>）除依据《基金法》《基金合同》及其他有关规定外，不得利用基金财产为自己及任何第三人谋取利益，不得委托第三人运作基金财产；</w:t>
      </w:r>
    </w:p>
    <w:p w14:paraId="5FA028AA"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7</w:t>
      </w:r>
      <w:r w:rsidRPr="002C2B23">
        <w:rPr>
          <w:bCs/>
          <w:sz w:val="24"/>
          <w:lang w:eastAsia="zh-CN"/>
        </w:rPr>
        <w:t>）依法接受基金托管人的监督；</w:t>
      </w:r>
    </w:p>
    <w:p w14:paraId="1E44F6F3"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8</w:t>
      </w:r>
      <w:r w:rsidRPr="002C2B23">
        <w:rPr>
          <w:bCs/>
          <w:sz w:val="24"/>
          <w:lang w:eastAsia="zh-CN"/>
        </w:rPr>
        <w:t>）采取适当合理的措施使计算基金份额认购、申购、赎回和注销价格的方法符合《基金合同》等法律文件的规定，按有关规定计算并公告基金净值信息，确定基金份额申购、赎回的价格；</w:t>
      </w:r>
    </w:p>
    <w:p w14:paraId="56C27F0D"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9</w:t>
      </w:r>
      <w:r w:rsidRPr="002C2B23">
        <w:rPr>
          <w:bCs/>
          <w:sz w:val="24"/>
          <w:lang w:eastAsia="zh-CN"/>
        </w:rPr>
        <w:t>）进行基金会计核算并编制基金财务会计报告；</w:t>
      </w:r>
    </w:p>
    <w:p w14:paraId="7E90E717"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10</w:t>
      </w:r>
      <w:r w:rsidRPr="002C2B23">
        <w:rPr>
          <w:bCs/>
          <w:sz w:val="24"/>
          <w:lang w:eastAsia="zh-CN"/>
        </w:rPr>
        <w:t>）编制季度报告、中期报告和年度报告；</w:t>
      </w:r>
    </w:p>
    <w:p w14:paraId="17FE679A"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11</w:t>
      </w:r>
      <w:r w:rsidRPr="002C2B23">
        <w:rPr>
          <w:bCs/>
          <w:sz w:val="24"/>
          <w:lang w:eastAsia="zh-CN"/>
        </w:rPr>
        <w:t>）严格按照《基金法》《基金合同》及其他有关规定，履行信息披露及报告义务；</w:t>
      </w:r>
    </w:p>
    <w:p w14:paraId="15D9375F"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12</w:t>
      </w:r>
      <w:r w:rsidRPr="002C2B23">
        <w:rPr>
          <w:bCs/>
          <w:sz w:val="24"/>
          <w:lang w:eastAsia="zh-CN"/>
        </w:rPr>
        <w:t>）保守基金商业秘密，不泄露基金投资计划、投资意向等。除《基金法》《基金合同》及其他有关规定另有规定外，在基金信息公开披露前应予保密，不向他人泄露，</w:t>
      </w:r>
      <w:r w:rsidRPr="002C2B23">
        <w:rPr>
          <w:rFonts w:hint="eastAsia"/>
          <w:bCs/>
          <w:sz w:val="24"/>
          <w:lang w:eastAsia="zh-CN"/>
        </w:rPr>
        <w:t>但根据监管机构、司法机关等有权机关的要求，或</w:t>
      </w:r>
      <w:r w:rsidRPr="002C2B23">
        <w:rPr>
          <w:bCs/>
          <w:sz w:val="24"/>
          <w:lang w:eastAsia="zh-CN"/>
        </w:rPr>
        <w:t>向审计、法律等外部专业顾问提供的除外；</w:t>
      </w:r>
    </w:p>
    <w:p w14:paraId="492DE25F"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13</w:t>
      </w:r>
      <w:r w:rsidRPr="002C2B23">
        <w:rPr>
          <w:bCs/>
          <w:sz w:val="24"/>
          <w:lang w:eastAsia="zh-CN"/>
        </w:rPr>
        <w:t>）按《基金合同》的约定确定基金收益分配方案，及时向基金份额持有人分配基金收益；</w:t>
      </w:r>
    </w:p>
    <w:p w14:paraId="00522C75"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14</w:t>
      </w:r>
      <w:r w:rsidRPr="002C2B23">
        <w:rPr>
          <w:bCs/>
          <w:sz w:val="24"/>
          <w:lang w:eastAsia="zh-CN"/>
        </w:rPr>
        <w:t>）按规定受理申购与赎回申请，及时、足额支付赎回款项；</w:t>
      </w:r>
    </w:p>
    <w:p w14:paraId="6B804517"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15</w:t>
      </w:r>
      <w:r w:rsidRPr="002C2B23">
        <w:rPr>
          <w:bCs/>
          <w:sz w:val="24"/>
          <w:lang w:eastAsia="zh-CN"/>
        </w:rPr>
        <w:t>）依据《基金法》《基金合同》及其他有关规定召集基金份额持有人大会或配合基金托管人、基金份额持有人依法召集基金份额持有人大会；</w:t>
      </w:r>
    </w:p>
    <w:p w14:paraId="32E7733A"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16</w:t>
      </w:r>
      <w:r w:rsidRPr="002C2B23">
        <w:rPr>
          <w:bCs/>
          <w:sz w:val="24"/>
          <w:lang w:eastAsia="zh-CN"/>
        </w:rPr>
        <w:t>）按规定保存基金财产管理业务活动的会计账册、报表、记录和其他相关资料</w:t>
      </w:r>
      <w:r w:rsidRPr="002C2B23">
        <w:rPr>
          <w:rFonts w:hint="eastAsia"/>
          <w:bCs/>
          <w:sz w:val="24"/>
          <w:lang w:eastAsia="zh-CN"/>
        </w:rPr>
        <w:t>，保存期限</w:t>
      </w:r>
      <w:r w:rsidRPr="002C2B23">
        <w:rPr>
          <w:bCs/>
          <w:sz w:val="24"/>
          <w:lang w:eastAsia="zh-CN"/>
        </w:rPr>
        <w:t>不低于法律法规规定的最低年限；</w:t>
      </w:r>
    </w:p>
    <w:p w14:paraId="743C4146"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17</w:t>
      </w:r>
      <w:r w:rsidRPr="002C2B23">
        <w:rPr>
          <w:bCs/>
          <w:sz w:val="24"/>
          <w:lang w:eastAsia="zh-CN"/>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46A10607"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18</w:t>
      </w:r>
      <w:r w:rsidRPr="002C2B23">
        <w:rPr>
          <w:bCs/>
          <w:sz w:val="24"/>
          <w:lang w:eastAsia="zh-CN"/>
        </w:rPr>
        <w:t>）组织并参加基金财产清算小组，参与基金财产的保管、清理、估价、变现和分配；</w:t>
      </w:r>
    </w:p>
    <w:p w14:paraId="2A710E17"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19</w:t>
      </w:r>
      <w:r w:rsidRPr="002C2B23">
        <w:rPr>
          <w:bCs/>
          <w:sz w:val="24"/>
          <w:lang w:eastAsia="zh-CN"/>
        </w:rPr>
        <w:t>）面临解散、依法被撤销或者被依法宣告破产时，及时报告中国证监会并通知基金托管人；</w:t>
      </w:r>
    </w:p>
    <w:p w14:paraId="4E365023"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20</w:t>
      </w:r>
      <w:r w:rsidRPr="002C2B23">
        <w:rPr>
          <w:bCs/>
          <w:sz w:val="24"/>
          <w:lang w:eastAsia="zh-CN"/>
        </w:rPr>
        <w:t>）因违反《基金合同》导致基金财产的损失或损害基金份额持有人合法权益时，应当承担赔偿责任，其赔偿责任不因其退任而免除；</w:t>
      </w:r>
    </w:p>
    <w:p w14:paraId="14AD2902"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21</w:t>
      </w:r>
      <w:r w:rsidRPr="002C2B23">
        <w:rPr>
          <w:bCs/>
          <w:sz w:val="24"/>
          <w:lang w:eastAsia="zh-CN"/>
        </w:rPr>
        <w:t>）监督基金托管人按法律法规和《基金合同》规定履行自己的义务，基金托管人违反《基金合同》造成基金财产损失时，基金管理人应为基金份额持有人利益向基金托管人追偿；</w:t>
      </w:r>
    </w:p>
    <w:p w14:paraId="520AE07B"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22</w:t>
      </w:r>
      <w:r w:rsidRPr="002C2B23">
        <w:rPr>
          <w:bCs/>
          <w:sz w:val="24"/>
          <w:lang w:eastAsia="zh-CN"/>
        </w:rPr>
        <w:t>）当基金管理人将其义务委托第三方处理时，应当对第三方处理有关基金事务的行为承担责任；</w:t>
      </w:r>
    </w:p>
    <w:p w14:paraId="0652B5B7"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23</w:t>
      </w:r>
      <w:r w:rsidRPr="002C2B23">
        <w:rPr>
          <w:bCs/>
          <w:sz w:val="24"/>
          <w:lang w:eastAsia="zh-CN"/>
        </w:rPr>
        <w:t>）以基金管理人名义，代表基金份额持有人利益行使诉讼权利或实施其他法律行为</w:t>
      </w:r>
      <w:r w:rsidRPr="002C2B23">
        <w:rPr>
          <w:rFonts w:hint="eastAsia"/>
          <w:bCs/>
          <w:sz w:val="24"/>
          <w:lang w:eastAsia="zh-CN"/>
        </w:rPr>
        <w:t>；</w:t>
      </w:r>
    </w:p>
    <w:p w14:paraId="2E11D797"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24</w:t>
      </w:r>
      <w:r w:rsidRPr="002C2B23">
        <w:rPr>
          <w:bCs/>
          <w:sz w:val="24"/>
          <w:lang w:eastAsia="zh-CN"/>
        </w:rPr>
        <w:t>）基金管理人在募集期间未能达到基金的备案条件，《基金合同》不能生效，基金管理人承担全部募集费用，将已募集资金并加计银行同期活期存款利息在基金募集期结束后</w:t>
      </w:r>
      <w:r w:rsidRPr="002C2B23">
        <w:rPr>
          <w:bCs/>
          <w:sz w:val="24"/>
          <w:lang w:eastAsia="zh-CN"/>
        </w:rPr>
        <w:t>30</w:t>
      </w:r>
      <w:r w:rsidRPr="002C2B23">
        <w:rPr>
          <w:bCs/>
          <w:sz w:val="24"/>
          <w:lang w:eastAsia="zh-CN"/>
        </w:rPr>
        <w:t>日内退还基金认购人；</w:t>
      </w:r>
    </w:p>
    <w:p w14:paraId="7D8898D7"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25</w:t>
      </w:r>
      <w:r w:rsidRPr="002C2B23">
        <w:rPr>
          <w:bCs/>
          <w:sz w:val="24"/>
          <w:lang w:eastAsia="zh-CN"/>
        </w:rPr>
        <w:t>）执行生效的基金份额持有人大会的决议；</w:t>
      </w:r>
    </w:p>
    <w:p w14:paraId="7C5C59E7"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26</w:t>
      </w:r>
      <w:r w:rsidRPr="002C2B23">
        <w:rPr>
          <w:bCs/>
          <w:sz w:val="24"/>
          <w:lang w:eastAsia="zh-CN"/>
        </w:rPr>
        <w:t>）建立并保存基金份额持有人名册；</w:t>
      </w:r>
    </w:p>
    <w:p w14:paraId="7DF1DF09" w14:textId="77777777" w:rsidR="00C21F15" w:rsidRPr="002C2B23" w:rsidRDefault="00C21F15" w:rsidP="00C21F15">
      <w:pPr>
        <w:spacing w:line="360" w:lineRule="auto"/>
        <w:ind w:firstLine="480"/>
        <w:rPr>
          <w:rFonts w:ascii="宋体" w:hAnsi="宋体"/>
          <w:sz w:val="24"/>
          <w:lang w:eastAsia="zh-CN"/>
        </w:rPr>
      </w:pPr>
      <w:r w:rsidRPr="002C2B23">
        <w:rPr>
          <w:bCs/>
          <w:sz w:val="24"/>
          <w:lang w:eastAsia="zh-CN"/>
        </w:rPr>
        <w:t>（</w:t>
      </w:r>
      <w:r w:rsidRPr="002C2B23">
        <w:rPr>
          <w:bCs/>
          <w:sz w:val="24"/>
          <w:lang w:eastAsia="zh-CN"/>
        </w:rPr>
        <w:t>27</w:t>
      </w:r>
      <w:r w:rsidRPr="002C2B23">
        <w:rPr>
          <w:bCs/>
          <w:sz w:val="24"/>
          <w:lang w:eastAsia="zh-CN"/>
        </w:rPr>
        <w:t>）法律法规及中国证监会规定的和《基金合同》约定的其他义务。</w:t>
      </w:r>
    </w:p>
    <w:p w14:paraId="430660AB" w14:textId="77777777" w:rsidR="00C21F15" w:rsidRPr="002C2B23" w:rsidRDefault="00C21F15" w:rsidP="00C21F15">
      <w:pPr>
        <w:spacing w:line="360" w:lineRule="auto"/>
        <w:ind w:firstLine="480"/>
        <w:rPr>
          <w:rFonts w:ascii="宋体" w:hAnsi="宋体"/>
          <w:sz w:val="24"/>
          <w:lang w:eastAsia="zh-CN"/>
        </w:rPr>
      </w:pPr>
      <w:r w:rsidRPr="002C2B23">
        <w:rPr>
          <w:rFonts w:ascii="宋体" w:hAnsi="宋体"/>
          <w:sz w:val="24"/>
          <w:lang w:eastAsia="zh-CN"/>
        </w:rPr>
        <w:t>（二）基金托管人的权利与义务</w:t>
      </w:r>
    </w:p>
    <w:p w14:paraId="66B75876" w14:textId="77777777" w:rsidR="00C21F15" w:rsidRPr="002C2B23" w:rsidRDefault="00C21F15" w:rsidP="00C21F15">
      <w:pPr>
        <w:spacing w:line="360" w:lineRule="auto"/>
        <w:ind w:firstLine="480"/>
        <w:rPr>
          <w:bCs/>
          <w:sz w:val="24"/>
          <w:lang w:eastAsia="zh-CN"/>
        </w:rPr>
      </w:pPr>
      <w:r w:rsidRPr="002C2B23">
        <w:rPr>
          <w:bCs/>
          <w:sz w:val="24"/>
          <w:lang w:eastAsia="zh-CN"/>
        </w:rPr>
        <w:t>1</w:t>
      </w:r>
      <w:r w:rsidRPr="002C2B23">
        <w:rPr>
          <w:bCs/>
          <w:sz w:val="24"/>
          <w:lang w:eastAsia="zh-CN"/>
        </w:rPr>
        <w:t>、根据《基金法》《运作办法》及其他有关规定，基金托管人的权利包括但不限于：</w:t>
      </w:r>
    </w:p>
    <w:p w14:paraId="22C986A1"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）自《基金合同》生效之日起，依法</w:t>
      </w:r>
      <w:proofErr w:type="gramStart"/>
      <w:r w:rsidRPr="002C2B23">
        <w:rPr>
          <w:bCs/>
          <w:sz w:val="24"/>
          <w:lang w:eastAsia="zh-CN"/>
        </w:rPr>
        <w:t>律法规</w:t>
      </w:r>
      <w:proofErr w:type="gramEnd"/>
      <w:r w:rsidRPr="002C2B23">
        <w:rPr>
          <w:bCs/>
          <w:sz w:val="24"/>
          <w:lang w:eastAsia="zh-CN"/>
        </w:rPr>
        <w:t>和《基金合同》的规定安全保管基金财产；</w:t>
      </w:r>
    </w:p>
    <w:p w14:paraId="283E8736"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）依《基金合同》约定获得基金托管费以及法律法规规定或监管部门批准的其他费用；</w:t>
      </w:r>
    </w:p>
    <w:p w14:paraId="01D5E95B"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3</w:t>
      </w:r>
      <w:r w:rsidRPr="002C2B23">
        <w:rPr>
          <w:bCs/>
          <w:sz w:val="24"/>
          <w:lang w:eastAsia="zh-CN"/>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0665E728"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4</w:t>
      </w:r>
      <w:r w:rsidRPr="002C2B23">
        <w:rPr>
          <w:bCs/>
          <w:sz w:val="24"/>
          <w:lang w:eastAsia="zh-CN"/>
        </w:rPr>
        <w:t>）根据相关市场规则，为基金开设资金账户、证券账户等投资所需账户，为基金办理证券、期货交易资金清算；</w:t>
      </w:r>
    </w:p>
    <w:p w14:paraId="0E61ABA0"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5</w:t>
      </w:r>
      <w:r w:rsidRPr="002C2B23">
        <w:rPr>
          <w:bCs/>
          <w:sz w:val="24"/>
          <w:lang w:eastAsia="zh-CN"/>
        </w:rPr>
        <w:t>）提议召开或召集基金份额持有人大会；</w:t>
      </w:r>
    </w:p>
    <w:p w14:paraId="5401C52C"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6</w:t>
      </w:r>
      <w:r w:rsidRPr="002C2B23">
        <w:rPr>
          <w:bCs/>
          <w:sz w:val="24"/>
          <w:lang w:eastAsia="zh-CN"/>
        </w:rPr>
        <w:t>）在基金管理人更换时，提名新的基金管理人；</w:t>
      </w:r>
    </w:p>
    <w:p w14:paraId="62F61272"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7</w:t>
      </w:r>
      <w:r w:rsidRPr="002C2B23">
        <w:rPr>
          <w:bCs/>
          <w:sz w:val="24"/>
          <w:lang w:eastAsia="zh-CN"/>
        </w:rPr>
        <w:t>）法律法规及中国证监会规定的和《基金合同》约定的其他权利。</w:t>
      </w:r>
    </w:p>
    <w:p w14:paraId="152E7F53" w14:textId="77777777" w:rsidR="00C21F15" w:rsidRPr="002C2B23" w:rsidRDefault="00C21F15" w:rsidP="00C21F15">
      <w:pPr>
        <w:spacing w:line="360" w:lineRule="auto"/>
        <w:ind w:firstLine="480"/>
        <w:rPr>
          <w:bCs/>
          <w:sz w:val="24"/>
          <w:lang w:eastAsia="zh-CN"/>
        </w:rPr>
      </w:pPr>
      <w:r w:rsidRPr="002C2B23">
        <w:rPr>
          <w:bCs/>
          <w:sz w:val="24"/>
          <w:lang w:eastAsia="zh-CN"/>
        </w:rPr>
        <w:t>2</w:t>
      </w:r>
      <w:r w:rsidRPr="002C2B23">
        <w:rPr>
          <w:bCs/>
          <w:sz w:val="24"/>
          <w:lang w:eastAsia="zh-CN"/>
        </w:rPr>
        <w:t>、根据《基金法》《运作办法》及其他有关规定，基金托管人的义务包括但不限于：</w:t>
      </w:r>
    </w:p>
    <w:p w14:paraId="33D759D0"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）以诚实信用、勤勉尽责的原则持有并安全保管基金财产；</w:t>
      </w:r>
    </w:p>
    <w:p w14:paraId="679D3F0D"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）设立专门的基金托管部门，具有符合要求的营业场所，配备足够的、合格的熟悉基金托管业务的专职人员，负责基金财产托管事宜；</w:t>
      </w:r>
    </w:p>
    <w:p w14:paraId="1688C24C"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3</w:t>
      </w:r>
      <w:r w:rsidRPr="002C2B23">
        <w:rPr>
          <w:bCs/>
          <w:sz w:val="24"/>
          <w:lang w:eastAsia="zh-CN"/>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179298A8"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4</w:t>
      </w:r>
      <w:r w:rsidRPr="002C2B23">
        <w:rPr>
          <w:bCs/>
          <w:sz w:val="24"/>
          <w:lang w:eastAsia="zh-CN"/>
        </w:rPr>
        <w:t>）除依据《基金法》《基金合同》及其他有关规定外，不得利用基金财产为自己及任何第三人谋取利益，不得委托第三人托管基金财产；</w:t>
      </w:r>
    </w:p>
    <w:p w14:paraId="6DF71D9A"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5</w:t>
      </w:r>
      <w:r w:rsidRPr="002C2B23">
        <w:rPr>
          <w:bCs/>
          <w:sz w:val="24"/>
          <w:lang w:eastAsia="zh-CN"/>
        </w:rPr>
        <w:t>）保管由基金管理人代表基金签订的与基金有关的重大合同及有关凭证；</w:t>
      </w:r>
    </w:p>
    <w:p w14:paraId="3C377C1B"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6</w:t>
      </w:r>
      <w:r w:rsidRPr="002C2B23">
        <w:rPr>
          <w:bCs/>
          <w:sz w:val="24"/>
          <w:lang w:eastAsia="zh-CN"/>
        </w:rPr>
        <w:t>）按规定开设基金财产的资金账户、证券账户等投资所需账户，按照《基金合同》的约定，根据基金管理人的投资指令，及时办理清算、交割事宜；</w:t>
      </w:r>
    </w:p>
    <w:p w14:paraId="37A0E5A9"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7</w:t>
      </w:r>
      <w:r w:rsidRPr="002C2B23">
        <w:rPr>
          <w:bCs/>
          <w:sz w:val="24"/>
          <w:lang w:eastAsia="zh-CN"/>
        </w:rPr>
        <w:t>）保守基金商业秘密，除《基金法》《基金合同》及其他有关规定另有规定外，在基金信息公开披露前予以保密，不得向他人泄露，但</w:t>
      </w:r>
      <w:r w:rsidRPr="002C2B23">
        <w:rPr>
          <w:rFonts w:hint="eastAsia"/>
          <w:bCs/>
          <w:sz w:val="24"/>
          <w:lang w:eastAsia="zh-CN"/>
        </w:rPr>
        <w:t>根据监管机构、司法机关等有权机关的要求，或</w:t>
      </w:r>
      <w:r w:rsidRPr="002C2B23">
        <w:rPr>
          <w:bCs/>
          <w:sz w:val="24"/>
          <w:lang w:eastAsia="zh-CN"/>
        </w:rPr>
        <w:t>向审计、法律等外部专业顾问提供的除外；</w:t>
      </w:r>
    </w:p>
    <w:p w14:paraId="329753AB"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8</w:t>
      </w:r>
      <w:r w:rsidRPr="002C2B23">
        <w:rPr>
          <w:bCs/>
          <w:sz w:val="24"/>
          <w:lang w:eastAsia="zh-CN"/>
        </w:rPr>
        <w:t>）复核、审查基金管理人计算的基金资产净值、各类基金份额净值、基金份额申购、赎回价格；</w:t>
      </w:r>
    </w:p>
    <w:p w14:paraId="7271A7B3"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9</w:t>
      </w:r>
      <w:r w:rsidRPr="002C2B23">
        <w:rPr>
          <w:bCs/>
          <w:sz w:val="24"/>
          <w:lang w:eastAsia="zh-CN"/>
        </w:rPr>
        <w:t>）办理与基金托管业务活动有关的信息披露事项；</w:t>
      </w:r>
    </w:p>
    <w:p w14:paraId="0D3B8367"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10</w:t>
      </w:r>
      <w:r w:rsidRPr="002C2B23">
        <w:rPr>
          <w:bCs/>
          <w:sz w:val="24"/>
          <w:lang w:eastAsia="zh-CN"/>
        </w:rPr>
        <w:t>）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14:paraId="3F2CC62F"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11</w:t>
      </w:r>
      <w:r w:rsidRPr="002C2B23">
        <w:rPr>
          <w:bCs/>
          <w:sz w:val="24"/>
          <w:lang w:eastAsia="zh-CN"/>
        </w:rPr>
        <w:t>）保存基金托管业务活动的记录、账册、报表和其他相关资料</w:t>
      </w:r>
      <w:r w:rsidRPr="002C2B23">
        <w:rPr>
          <w:rFonts w:hint="eastAsia"/>
          <w:bCs/>
          <w:sz w:val="24"/>
          <w:lang w:eastAsia="zh-CN"/>
        </w:rPr>
        <w:t>，保存期限按照法律法规的规定执行</w:t>
      </w:r>
      <w:r w:rsidRPr="002C2B23">
        <w:rPr>
          <w:bCs/>
          <w:sz w:val="24"/>
          <w:lang w:eastAsia="zh-CN"/>
        </w:rPr>
        <w:t>；</w:t>
      </w:r>
    </w:p>
    <w:p w14:paraId="33BBC2A8"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12</w:t>
      </w:r>
      <w:r w:rsidRPr="002C2B23">
        <w:rPr>
          <w:bCs/>
          <w:sz w:val="24"/>
          <w:lang w:eastAsia="zh-CN"/>
        </w:rPr>
        <w:t>）从基金管理人或其委托的登记机构处接收并保存基金份额持有人名册；</w:t>
      </w:r>
    </w:p>
    <w:p w14:paraId="452768BE"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13</w:t>
      </w:r>
      <w:r w:rsidRPr="002C2B23">
        <w:rPr>
          <w:bCs/>
          <w:sz w:val="24"/>
          <w:lang w:eastAsia="zh-CN"/>
        </w:rPr>
        <w:t>）按规定制作相关账册并与基金管理人核对；</w:t>
      </w:r>
    </w:p>
    <w:p w14:paraId="13EA2654"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14</w:t>
      </w:r>
      <w:r w:rsidRPr="002C2B23">
        <w:rPr>
          <w:bCs/>
          <w:sz w:val="24"/>
          <w:lang w:eastAsia="zh-CN"/>
        </w:rPr>
        <w:t>）依据基金管理人的指令或有关规定向基金份额持有人支付基金收益和赎回款项；</w:t>
      </w:r>
    </w:p>
    <w:p w14:paraId="18CD2E2C"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15</w:t>
      </w:r>
      <w:r w:rsidRPr="002C2B23">
        <w:rPr>
          <w:bCs/>
          <w:sz w:val="24"/>
          <w:lang w:eastAsia="zh-CN"/>
        </w:rPr>
        <w:t>）依据《基金法》《基金合同》及其他有关规定，召集基金份额持有人大会或配合基金管理人、基金份额持有人依法召集基金份额持有人大会；</w:t>
      </w:r>
    </w:p>
    <w:p w14:paraId="127116AB"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16</w:t>
      </w:r>
      <w:r w:rsidRPr="002C2B23">
        <w:rPr>
          <w:bCs/>
          <w:sz w:val="24"/>
          <w:lang w:eastAsia="zh-CN"/>
        </w:rPr>
        <w:t>）按照法律法规和《基金合同》的规定监督基金管理人的投资运作；</w:t>
      </w:r>
    </w:p>
    <w:p w14:paraId="177F58F1"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17</w:t>
      </w:r>
      <w:r w:rsidRPr="002C2B23">
        <w:rPr>
          <w:bCs/>
          <w:sz w:val="24"/>
          <w:lang w:eastAsia="zh-CN"/>
        </w:rPr>
        <w:t>）参加基金财产清算小组，参与基金财产的保管、清理、估价、变现和分配；</w:t>
      </w:r>
    </w:p>
    <w:p w14:paraId="0B83DF95"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18</w:t>
      </w:r>
      <w:r w:rsidRPr="002C2B23">
        <w:rPr>
          <w:bCs/>
          <w:sz w:val="24"/>
          <w:lang w:eastAsia="zh-CN"/>
        </w:rPr>
        <w:t>）面临解散、依法被撤销或者被依法宣告破产时，及时报告中国证监会和银行监管机构，并通知基金管理人；</w:t>
      </w:r>
    </w:p>
    <w:p w14:paraId="5D251C49"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19</w:t>
      </w:r>
      <w:r w:rsidRPr="002C2B23">
        <w:rPr>
          <w:bCs/>
          <w:sz w:val="24"/>
          <w:lang w:eastAsia="zh-CN"/>
        </w:rPr>
        <w:t>）因违反《基金合同》导致基金财产损失时，应承担赔偿责任，其赔偿责任不因其退任而免除；</w:t>
      </w:r>
    </w:p>
    <w:p w14:paraId="73BB0F75"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20</w:t>
      </w:r>
      <w:r w:rsidRPr="002C2B23">
        <w:rPr>
          <w:bCs/>
          <w:sz w:val="24"/>
          <w:lang w:eastAsia="zh-CN"/>
        </w:rPr>
        <w:t>）按规定监督基金管理人按法律法规和《基金合同》规定履行自己的义务，基金管理人因违反《基金合同》造成基金财产损失时，应为基金份额持有人利益向基金管理人追偿；</w:t>
      </w:r>
    </w:p>
    <w:p w14:paraId="6A4CEDC4"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21</w:t>
      </w:r>
      <w:r w:rsidRPr="002C2B23">
        <w:rPr>
          <w:bCs/>
          <w:sz w:val="24"/>
          <w:lang w:eastAsia="zh-CN"/>
        </w:rPr>
        <w:t>）执行生效的基金份额持有人大会的决议；</w:t>
      </w:r>
    </w:p>
    <w:p w14:paraId="244A788F" w14:textId="77777777" w:rsidR="00C21F15" w:rsidRPr="002C2B23" w:rsidRDefault="00C21F15" w:rsidP="00C21F15">
      <w:pPr>
        <w:spacing w:line="360" w:lineRule="auto"/>
        <w:ind w:firstLine="480"/>
        <w:rPr>
          <w:rFonts w:ascii="宋体" w:hAnsi="宋体"/>
          <w:sz w:val="24"/>
          <w:lang w:eastAsia="zh-CN"/>
        </w:rPr>
      </w:pPr>
      <w:r w:rsidRPr="002C2B23">
        <w:rPr>
          <w:bCs/>
          <w:sz w:val="24"/>
          <w:lang w:eastAsia="zh-CN"/>
        </w:rPr>
        <w:t>（</w:t>
      </w:r>
      <w:r w:rsidRPr="002C2B23">
        <w:rPr>
          <w:bCs/>
          <w:sz w:val="24"/>
          <w:lang w:eastAsia="zh-CN"/>
        </w:rPr>
        <w:t>22</w:t>
      </w:r>
      <w:r w:rsidRPr="002C2B23">
        <w:rPr>
          <w:bCs/>
          <w:sz w:val="24"/>
          <w:lang w:eastAsia="zh-CN"/>
        </w:rPr>
        <w:t>）法律法规及中国证监会规定的和《基金合同》约定的其他义务。</w:t>
      </w:r>
    </w:p>
    <w:p w14:paraId="57FFBF31" w14:textId="77777777" w:rsidR="00C21F15" w:rsidRPr="002C2B23" w:rsidRDefault="00C21F15" w:rsidP="00C21F15">
      <w:pPr>
        <w:spacing w:line="360" w:lineRule="auto"/>
        <w:ind w:firstLine="480"/>
        <w:rPr>
          <w:rFonts w:ascii="宋体" w:hAnsi="宋体"/>
          <w:sz w:val="24"/>
          <w:lang w:eastAsia="zh-CN"/>
        </w:rPr>
      </w:pPr>
      <w:r w:rsidRPr="002C2B23">
        <w:rPr>
          <w:rFonts w:ascii="宋体" w:hAnsi="宋体"/>
          <w:sz w:val="24"/>
          <w:lang w:eastAsia="zh-CN"/>
        </w:rPr>
        <w:t>（三）基金份额持有人</w:t>
      </w:r>
    </w:p>
    <w:p w14:paraId="0956B251" w14:textId="77777777" w:rsidR="00C21F15" w:rsidRPr="002C2B23" w:rsidRDefault="00C21F15" w:rsidP="00C21F15">
      <w:pPr>
        <w:spacing w:line="360" w:lineRule="auto"/>
        <w:ind w:firstLine="480"/>
        <w:rPr>
          <w:bCs/>
          <w:sz w:val="24"/>
          <w:lang w:eastAsia="zh-CN"/>
        </w:rPr>
      </w:pPr>
      <w:r w:rsidRPr="002C2B23">
        <w:rPr>
          <w:bCs/>
          <w:sz w:val="24"/>
          <w:lang w:eastAsia="zh-CN"/>
        </w:rPr>
        <w:t>基金投资者持有本</w:t>
      </w:r>
      <w:proofErr w:type="gramStart"/>
      <w:r w:rsidRPr="002C2B23">
        <w:rPr>
          <w:bCs/>
          <w:sz w:val="24"/>
          <w:lang w:eastAsia="zh-CN"/>
        </w:rPr>
        <w:t>基金基金</w:t>
      </w:r>
      <w:proofErr w:type="gramEnd"/>
      <w:r w:rsidRPr="002C2B23">
        <w:rPr>
          <w:bCs/>
          <w:sz w:val="24"/>
          <w:lang w:eastAsia="zh-CN"/>
        </w:rPr>
        <w:t>份额的行为即视为对《基金合同》的承认和接受，基金投资者</w:t>
      </w:r>
      <w:proofErr w:type="gramStart"/>
      <w:r w:rsidRPr="002C2B23">
        <w:rPr>
          <w:bCs/>
          <w:sz w:val="24"/>
          <w:lang w:eastAsia="zh-CN"/>
        </w:rPr>
        <w:t>自依据</w:t>
      </w:r>
      <w:proofErr w:type="gramEnd"/>
      <w:r w:rsidRPr="002C2B23">
        <w:rPr>
          <w:bCs/>
          <w:sz w:val="24"/>
          <w:lang w:eastAsia="zh-CN"/>
        </w:rPr>
        <w:t>《基金合同》取得基金份额，即成为本基金份额持有人和《基金合同》的当事人，直至其不再持有本基金的基金份额。基金份额持有人作为《基金合同》当事人并不以在《基金合同》上书面签章或签字为必要条件。</w:t>
      </w:r>
    </w:p>
    <w:p w14:paraId="5E037609" w14:textId="77777777" w:rsidR="00C21F15" w:rsidRPr="002C2B23" w:rsidRDefault="00C21F15" w:rsidP="00C21F15">
      <w:pPr>
        <w:spacing w:line="360" w:lineRule="auto"/>
        <w:ind w:firstLine="480"/>
        <w:rPr>
          <w:bCs/>
          <w:sz w:val="24"/>
          <w:lang w:eastAsia="zh-CN"/>
        </w:rPr>
      </w:pPr>
      <w:r w:rsidRPr="002C2B23">
        <w:rPr>
          <w:bCs/>
          <w:sz w:val="24"/>
          <w:lang w:eastAsia="zh-CN"/>
        </w:rPr>
        <w:t>除法律法规另有规定或本基金合同另有约定外，同一类别每份基金份额具有同等的合法权益。</w:t>
      </w:r>
    </w:p>
    <w:p w14:paraId="45D42258" w14:textId="77777777" w:rsidR="00C21F15" w:rsidRPr="002C2B23" w:rsidRDefault="00C21F15" w:rsidP="00C21F15">
      <w:pPr>
        <w:spacing w:line="360" w:lineRule="auto"/>
        <w:ind w:firstLine="480"/>
        <w:rPr>
          <w:bCs/>
          <w:sz w:val="24"/>
          <w:lang w:eastAsia="zh-CN"/>
        </w:rPr>
      </w:pPr>
      <w:r w:rsidRPr="002C2B23">
        <w:rPr>
          <w:bCs/>
          <w:sz w:val="24"/>
          <w:lang w:eastAsia="zh-CN"/>
        </w:rPr>
        <w:t>1</w:t>
      </w:r>
      <w:r w:rsidRPr="002C2B23">
        <w:rPr>
          <w:bCs/>
          <w:sz w:val="24"/>
          <w:lang w:eastAsia="zh-CN"/>
        </w:rPr>
        <w:t>、根据《基金法》《运作办法》及其他有关规定，基金份额持有人的权利包括但不限于：</w:t>
      </w:r>
    </w:p>
    <w:p w14:paraId="76365319"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）分享基金财产收益；</w:t>
      </w:r>
    </w:p>
    <w:p w14:paraId="1D1ECAB7"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）参与分配清算后的剩余基金财产；</w:t>
      </w:r>
    </w:p>
    <w:p w14:paraId="41537FDC"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3</w:t>
      </w:r>
      <w:r w:rsidRPr="002C2B23">
        <w:rPr>
          <w:bCs/>
          <w:sz w:val="24"/>
          <w:lang w:eastAsia="zh-CN"/>
        </w:rPr>
        <w:t>）依法转让或者申请赎回其持有的基金份额；</w:t>
      </w:r>
    </w:p>
    <w:p w14:paraId="3B5CE94C"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4</w:t>
      </w:r>
      <w:r w:rsidRPr="002C2B23">
        <w:rPr>
          <w:bCs/>
          <w:sz w:val="24"/>
          <w:lang w:eastAsia="zh-CN"/>
        </w:rPr>
        <w:t>）按照规定要求召开基金份额持有人大会或者召集基金份额持有人大会；</w:t>
      </w:r>
    </w:p>
    <w:p w14:paraId="766EE24C"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5</w:t>
      </w:r>
      <w:r w:rsidRPr="002C2B23">
        <w:rPr>
          <w:bCs/>
          <w:sz w:val="24"/>
          <w:lang w:eastAsia="zh-CN"/>
        </w:rPr>
        <w:t>）出席或者委派代表出席基金份额持有人大会，对基金份额持有人大会审议事项行使表决权；</w:t>
      </w:r>
    </w:p>
    <w:p w14:paraId="16EC67B6"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6</w:t>
      </w:r>
      <w:r w:rsidRPr="002C2B23">
        <w:rPr>
          <w:bCs/>
          <w:sz w:val="24"/>
          <w:lang w:eastAsia="zh-CN"/>
        </w:rPr>
        <w:t>）查阅或者复制公开披露的基金信息资料；</w:t>
      </w:r>
    </w:p>
    <w:p w14:paraId="06536C64"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7</w:t>
      </w:r>
      <w:r w:rsidRPr="002C2B23">
        <w:rPr>
          <w:bCs/>
          <w:sz w:val="24"/>
          <w:lang w:eastAsia="zh-CN"/>
        </w:rPr>
        <w:t>）监督基金管理人的投资运作；</w:t>
      </w:r>
    </w:p>
    <w:p w14:paraId="4971DF71"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8</w:t>
      </w:r>
      <w:r w:rsidRPr="002C2B23">
        <w:rPr>
          <w:bCs/>
          <w:sz w:val="24"/>
          <w:lang w:eastAsia="zh-CN"/>
        </w:rPr>
        <w:t>）对基金管理人、基金托管人、基金服务机构损害其合法权益的行为依法提起诉讼或仲裁；</w:t>
      </w:r>
    </w:p>
    <w:p w14:paraId="3095C4D9"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9</w:t>
      </w:r>
      <w:r w:rsidRPr="002C2B23">
        <w:rPr>
          <w:bCs/>
          <w:sz w:val="24"/>
          <w:lang w:eastAsia="zh-CN"/>
        </w:rPr>
        <w:t>）法律法规及中国证监会规定的和《基金合同》约定的其他权利。</w:t>
      </w:r>
    </w:p>
    <w:p w14:paraId="7CAD87A7" w14:textId="77777777" w:rsidR="00C21F15" w:rsidRPr="002C2B23" w:rsidRDefault="00C21F15" w:rsidP="00C21F15">
      <w:pPr>
        <w:spacing w:line="360" w:lineRule="auto"/>
        <w:ind w:firstLine="480"/>
        <w:rPr>
          <w:bCs/>
          <w:sz w:val="24"/>
          <w:lang w:eastAsia="zh-CN"/>
        </w:rPr>
      </w:pPr>
      <w:r w:rsidRPr="002C2B23">
        <w:rPr>
          <w:bCs/>
          <w:sz w:val="24"/>
          <w:lang w:eastAsia="zh-CN"/>
        </w:rPr>
        <w:t>2</w:t>
      </w:r>
      <w:r w:rsidRPr="002C2B23">
        <w:rPr>
          <w:bCs/>
          <w:sz w:val="24"/>
          <w:lang w:eastAsia="zh-CN"/>
        </w:rPr>
        <w:t>、根据《基金法》《运作办法》及其他有关规定，基金份额持有人的义务包括但不限于：</w:t>
      </w:r>
    </w:p>
    <w:p w14:paraId="283A152B"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）认真阅读并遵守《基金合同》、招募说明书等信息披露文件；</w:t>
      </w:r>
    </w:p>
    <w:p w14:paraId="574AE411"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）了解所投资基金产品，了解自身风险承受能力，自主判断基金的投资价值，自主做出投资决策，自行承担投资风险；</w:t>
      </w:r>
    </w:p>
    <w:p w14:paraId="6F1C4B05"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3</w:t>
      </w:r>
      <w:r w:rsidRPr="002C2B23">
        <w:rPr>
          <w:bCs/>
          <w:sz w:val="24"/>
          <w:lang w:eastAsia="zh-CN"/>
        </w:rPr>
        <w:t>）关注基金信息披露，及时行使权利和履行义务；</w:t>
      </w:r>
    </w:p>
    <w:p w14:paraId="2B76FFC5"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4</w:t>
      </w:r>
      <w:r w:rsidRPr="002C2B23">
        <w:rPr>
          <w:bCs/>
          <w:sz w:val="24"/>
          <w:lang w:eastAsia="zh-CN"/>
        </w:rPr>
        <w:t>）交纳基金认购、申购款项及法律法规和《基金合同》所规定的费用；</w:t>
      </w:r>
    </w:p>
    <w:p w14:paraId="0F3EF346"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5</w:t>
      </w:r>
      <w:r w:rsidRPr="002C2B23">
        <w:rPr>
          <w:bCs/>
          <w:sz w:val="24"/>
          <w:lang w:eastAsia="zh-CN"/>
        </w:rPr>
        <w:t>）在其持有的基金份额范围内，承担基金亏损或者《基金合同》终止的有限责任；</w:t>
      </w:r>
    </w:p>
    <w:p w14:paraId="7D077B93"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6</w:t>
      </w:r>
      <w:r w:rsidRPr="002C2B23">
        <w:rPr>
          <w:bCs/>
          <w:sz w:val="24"/>
          <w:lang w:eastAsia="zh-CN"/>
        </w:rPr>
        <w:t>）不从事任何有损基金及其他《基金合同》当事人合法权益的活动；</w:t>
      </w:r>
    </w:p>
    <w:p w14:paraId="231CAA9E"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7</w:t>
      </w:r>
      <w:r w:rsidRPr="002C2B23">
        <w:rPr>
          <w:bCs/>
          <w:sz w:val="24"/>
          <w:lang w:eastAsia="zh-CN"/>
        </w:rPr>
        <w:t>）执行生效的基金份额持有人大会的决议；</w:t>
      </w:r>
    </w:p>
    <w:p w14:paraId="1DCA3EC0"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8</w:t>
      </w:r>
      <w:r w:rsidRPr="002C2B23">
        <w:rPr>
          <w:bCs/>
          <w:sz w:val="24"/>
          <w:lang w:eastAsia="zh-CN"/>
        </w:rPr>
        <w:t>）返还在基金交易过程中因任何原因获得的不当得利；</w:t>
      </w:r>
    </w:p>
    <w:p w14:paraId="72D60CEF" w14:textId="77777777" w:rsidR="00C21F15" w:rsidRPr="002C2B23" w:rsidRDefault="00C21F15" w:rsidP="00C21F15">
      <w:pPr>
        <w:spacing w:line="360" w:lineRule="auto"/>
        <w:ind w:firstLine="480"/>
        <w:rPr>
          <w:rFonts w:ascii="宋体" w:hAnsi="宋体"/>
          <w:sz w:val="24"/>
          <w:lang w:eastAsia="zh-CN"/>
        </w:rPr>
      </w:pPr>
      <w:r w:rsidRPr="002C2B23">
        <w:rPr>
          <w:bCs/>
          <w:sz w:val="24"/>
          <w:lang w:eastAsia="zh-CN"/>
        </w:rPr>
        <w:t>（</w:t>
      </w:r>
      <w:r w:rsidRPr="002C2B23">
        <w:rPr>
          <w:bCs/>
          <w:sz w:val="24"/>
          <w:lang w:eastAsia="zh-CN"/>
        </w:rPr>
        <w:t>9</w:t>
      </w:r>
      <w:r w:rsidRPr="002C2B23">
        <w:rPr>
          <w:bCs/>
          <w:sz w:val="24"/>
          <w:lang w:eastAsia="zh-CN"/>
        </w:rPr>
        <w:t>）法律法规及中国证监会规定的和《基金合同》约定的其他义务。</w:t>
      </w:r>
    </w:p>
    <w:p w14:paraId="18BB2E14" w14:textId="77777777" w:rsidR="00C21F15" w:rsidRPr="002C2B23" w:rsidRDefault="00C21F15" w:rsidP="00C21F15">
      <w:pPr>
        <w:spacing w:line="360" w:lineRule="auto"/>
        <w:ind w:firstLine="480"/>
        <w:rPr>
          <w:rFonts w:ascii="宋体" w:hAnsi="宋体"/>
          <w:sz w:val="24"/>
          <w:lang w:eastAsia="zh-CN"/>
        </w:rPr>
      </w:pPr>
      <w:r w:rsidRPr="002C2B23">
        <w:rPr>
          <w:rFonts w:ascii="宋体" w:hAnsi="宋体"/>
          <w:sz w:val="24"/>
          <w:lang w:eastAsia="zh-CN"/>
        </w:rPr>
        <w:t>二、基金份额持有人大会召集、议事及表决的程序和规则</w:t>
      </w:r>
    </w:p>
    <w:p w14:paraId="5FE3757A" w14:textId="77777777" w:rsidR="00C21F15" w:rsidRPr="002C2B23" w:rsidRDefault="00C21F15" w:rsidP="00C21F15">
      <w:pPr>
        <w:spacing w:line="360" w:lineRule="auto"/>
        <w:ind w:firstLine="480"/>
        <w:rPr>
          <w:bCs/>
          <w:sz w:val="24"/>
          <w:lang w:eastAsia="zh-CN"/>
        </w:rPr>
      </w:pPr>
      <w:r w:rsidRPr="002C2B23">
        <w:rPr>
          <w:bCs/>
          <w:sz w:val="24"/>
          <w:lang w:eastAsia="zh-CN"/>
        </w:rPr>
        <w:t>基金份额持有人大会由基金份额持有人组成，基金份额持有人的合法授权代表有权代表基金份额持有人出席会议并表决。除法律法规另有规定或本基金合同另有约定外，基金份额持有人持有的同一类别每一基金份额拥有平等的投票权。</w:t>
      </w:r>
    </w:p>
    <w:p w14:paraId="341EBCB6" w14:textId="77777777" w:rsidR="00C21F15" w:rsidRPr="002C2B23" w:rsidRDefault="00C21F15" w:rsidP="00C21F15">
      <w:pPr>
        <w:spacing w:line="360" w:lineRule="auto"/>
        <w:ind w:firstLine="480"/>
        <w:rPr>
          <w:rFonts w:ascii="宋体" w:hAnsi="宋体"/>
          <w:sz w:val="24"/>
          <w:lang w:eastAsia="zh-CN"/>
        </w:rPr>
      </w:pPr>
      <w:r w:rsidRPr="002C2B23">
        <w:rPr>
          <w:bCs/>
          <w:sz w:val="24"/>
          <w:lang w:eastAsia="zh-CN"/>
        </w:rPr>
        <w:t>本基金份额持有人大会不设日常机构。</w:t>
      </w:r>
    </w:p>
    <w:p w14:paraId="1A3A6178" w14:textId="77777777" w:rsidR="00C21F15" w:rsidRPr="002C2B23" w:rsidRDefault="00C21F15" w:rsidP="00C21F15">
      <w:pPr>
        <w:spacing w:line="360" w:lineRule="auto"/>
        <w:ind w:firstLine="480"/>
        <w:rPr>
          <w:rFonts w:ascii="宋体" w:hAnsi="宋体"/>
          <w:sz w:val="24"/>
          <w:lang w:eastAsia="zh-CN"/>
        </w:rPr>
      </w:pPr>
      <w:r w:rsidRPr="002C2B23">
        <w:rPr>
          <w:rFonts w:ascii="宋体" w:hAnsi="宋体"/>
          <w:sz w:val="24"/>
          <w:lang w:eastAsia="zh-CN"/>
        </w:rPr>
        <w:t>（一）召开事由</w:t>
      </w:r>
    </w:p>
    <w:p w14:paraId="4CB9F9C8" w14:textId="77777777" w:rsidR="00C21F15" w:rsidRPr="002C2B23" w:rsidRDefault="00C21F15" w:rsidP="00C21F15">
      <w:pPr>
        <w:spacing w:line="360" w:lineRule="auto"/>
        <w:ind w:firstLine="480"/>
        <w:rPr>
          <w:bCs/>
          <w:sz w:val="24"/>
          <w:lang w:eastAsia="zh-CN"/>
        </w:rPr>
      </w:pPr>
      <w:r w:rsidRPr="002C2B23">
        <w:rPr>
          <w:bCs/>
          <w:sz w:val="24"/>
          <w:lang w:eastAsia="zh-CN"/>
        </w:rPr>
        <w:t>1</w:t>
      </w:r>
      <w:r w:rsidRPr="002C2B23">
        <w:rPr>
          <w:bCs/>
          <w:sz w:val="24"/>
          <w:lang w:eastAsia="zh-CN"/>
        </w:rPr>
        <w:t>、除法律法规和中国证监会另有规定或《基金合同》另有约定外，当出现或需要决定下列事由之一的，应当召开基金份额持有人大会：</w:t>
      </w:r>
    </w:p>
    <w:p w14:paraId="15B0488C" w14:textId="77777777" w:rsidR="00C21F15" w:rsidRPr="002C2B23" w:rsidRDefault="00C21F15" w:rsidP="00C21F15">
      <w:pPr>
        <w:spacing w:line="440" w:lineRule="atLeast"/>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）终止《基金合同》；</w:t>
      </w:r>
    </w:p>
    <w:p w14:paraId="26DBE300" w14:textId="77777777" w:rsidR="00C21F15" w:rsidRPr="002C2B23" w:rsidRDefault="00C21F15" w:rsidP="00C21F15">
      <w:pPr>
        <w:spacing w:line="440" w:lineRule="atLeast"/>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）更换基金管理人；</w:t>
      </w:r>
    </w:p>
    <w:p w14:paraId="5CA03D0E" w14:textId="77777777" w:rsidR="00C21F15" w:rsidRPr="002C2B23" w:rsidRDefault="00C21F15" w:rsidP="00C21F15">
      <w:pPr>
        <w:spacing w:line="440" w:lineRule="atLeast"/>
        <w:ind w:firstLine="480"/>
        <w:rPr>
          <w:bCs/>
          <w:sz w:val="24"/>
          <w:lang w:eastAsia="zh-CN"/>
        </w:rPr>
      </w:pPr>
      <w:r w:rsidRPr="002C2B23">
        <w:rPr>
          <w:bCs/>
          <w:sz w:val="24"/>
          <w:lang w:eastAsia="zh-CN"/>
        </w:rPr>
        <w:t>（</w:t>
      </w:r>
      <w:r w:rsidRPr="002C2B23">
        <w:rPr>
          <w:bCs/>
          <w:sz w:val="24"/>
          <w:lang w:eastAsia="zh-CN"/>
        </w:rPr>
        <w:t>3</w:t>
      </w:r>
      <w:r w:rsidRPr="002C2B23">
        <w:rPr>
          <w:bCs/>
          <w:sz w:val="24"/>
          <w:lang w:eastAsia="zh-CN"/>
        </w:rPr>
        <w:t>）更换基金托管人；</w:t>
      </w:r>
    </w:p>
    <w:p w14:paraId="0A533BEC" w14:textId="77777777" w:rsidR="00C21F15" w:rsidRPr="002C2B23" w:rsidRDefault="00C21F15" w:rsidP="00C21F15">
      <w:pPr>
        <w:spacing w:line="440" w:lineRule="atLeast"/>
        <w:ind w:firstLine="480"/>
        <w:rPr>
          <w:bCs/>
          <w:sz w:val="24"/>
          <w:lang w:eastAsia="zh-CN"/>
        </w:rPr>
      </w:pPr>
      <w:r w:rsidRPr="002C2B23">
        <w:rPr>
          <w:bCs/>
          <w:sz w:val="24"/>
          <w:lang w:eastAsia="zh-CN"/>
        </w:rPr>
        <w:t>（</w:t>
      </w:r>
      <w:r w:rsidRPr="002C2B23">
        <w:rPr>
          <w:bCs/>
          <w:sz w:val="24"/>
          <w:lang w:eastAsia="zh-CN"/>
        </w:rPr>
        <w:t>4</w:t>
      </w:r>
      <w:r w:rsidRPr="002C2B23">
        <w:rPr>
          <w:bCs/>
          <w:sz w:val="24"/>
          <w:lang w:eastAsia="zh-CN"/>
        </w:rPr>
        <w:t>）转换基金运作方式；</w:t>
      </w:r>
    </w:p>
    <w:p w14:paraId="362E8D8C" w14:textId="77777777" w:rsidR="00C21F15" w:rsidRPr="002C2B23" w:rsidRDefault="00C21F15" w:rsidP="00C21F15">
      <w:pPr>
        <w:spacing w:line="440" w:lineRule="atLeast"/>
        <w:ind w:firstLine="480"/>
        <w:rPr>
          <w:bCs/>
          <w:sz w:val="24"/>
          <w:lang w:eastAsia="zh-CN"/>
        </w:rPr>
      </w:pPr>
      <w:r w:rsidRPr="002C2B23">
        <w:rPr>
          <w:bCs/>
          <w:sz w:val="24"/>
          <w:lang w:eastAsia="zh-CN"/>
        </w:rPr>
        <w:t>（</w:t>
      </w:r>
      <w:r w:rsidRPr="002C2B23">
        <w:rPr>
          <w:bCs/>
          <w:sz w:val="24"/>
          <w:lang w:eastAsia="zh-CN"/>
        </w:rPr>
        <w:t>5</w:t>
      </w:r>
      <w:r w:rsidRPr="002C2B23">
        <w:rPr>
          <w:bCs/>
          <w:sz w:val="24"/>
          <w:lang w:eastAsia="zh-CN"/>
        </w:rPr>
        <w:t>）调整基金管理人、基金托管人的报酬标准或提高销售服务费率；</w:t>
      </w:r>
    </w:p>
    <w:p w14:paraId="32F91245" w14:textId="77777777" w:rsidR="00C21F15" w:rsidRPr="002C2B23" w:rsidRDefault="00C21F15" w:rsidP="00C21F15">
      <w:pPr>
        <w:spacing w:line="440" w:lineRule="atLeast"/>
        <w:ind w:firstLine="480"/>
        <w:rPr>
          <w:bCs/>
          <w:sz w:val="24"/>
          <w:lang w:eastAsia="zh-CN"/>
        </w:rPr>
      </w:pPr>
      <w:r w:rsidRPr="002C2B23">
        <w:rPr>
          <w:bCs/>
          <w:sz w:val="24"/>
          <w:lang w:eastAsia="zh-CN"/>
        </w:rPr>
        <w:t>（</w:t>
      </w:r>
      <w:r w:rsidRPr="002C2B23">
        <w:rPr>
          <w:bCs/>
          <w:sz w:val="24"/>
          <w:lang w:eastAsia="zh-CN"/>
        </w:rPr>
        <w:t>6</w:t>
      </w:r>
      <w:r w:rsidRPr="002C2B23">
        <w:rPr>
          <w:bCs/>
          <w:sz w:val="24"/>
          <w:lang w:eastAsia="zh-CN"/>
        </w:rPr>
        <w:t>）变更基金类别；</w:t>
      </w:r>
    </w:p>
    <w:p w14:paraId="183EB5D0" w14:textId="77777777" w:rsidR="00C21F15" w:rsidRPr="002C2B23" w:rsidRDefault="00C21F15" w:rsidP="00C21F15">
      <w:pPr>
        <w:spacing w:line="440" w:lineRule="atLeast"/>
        <w:ind w:firstLine="480"/>
        <w:rPr>
          <w:bCs/>
          <w:sz w:val="24"/>
          <w:lang w:eastAsia="zh-CN"/>
        </w:rPr>
      </w:pPr>
      <w:r w:rsidRPr="002C2B23">
        <w:rPr>
          <w:bCs/>
          <w:sz w:val="24"/>
          <w:lang w:eastAsia="zh-CN"/>
        </w:rPr>
        <w:t>（</w:t>
      </w:r>
      <w:r w:rsidRPr="002C2B23">
        <w:rPr>
          <w:bCs/>
          <w:sz w:val="24"/>
          <w:lang w:eastAsia="zh-CN"/>
        </w:rPr>
        <w:t>7</w:t>
      </w:r>
      <w:r w:rsidRPr="002C2B23">
        <w:rPr>
          <w:bCs/>
          <w:sz w:val="24"/>
          <w:lang w:eastAsia="zh-CN"/>
        </w:rPr>
        <w:t>）本基金与其他基金的合并；</w:t>
      </w:r>
    </w:p>
    <w:p w14:paraId="38D1B0BF" w14:textId="77777777" w:rsidR="00C21F15" w:rsidRPr="002C2B23" w:rsidRDefault="00C21F15" w:rsidP="00C21F15">
      <w:pPr>
        <w:spacing w:line="440" w:lineRule="atLeast"/>
        <w:ind w:firstLine="480"/>
        <w:rPr>
          <w:bCs/>
          <w:sz w:val="24"/>
          <w:lang w:eastAsia="zh-CN"/>
        </w:rPr>
      </w:pPr>
      <w:r w:rsidRPr="002C2B23">
        <w:rPr>
          <w:bCs/>
          <w:sz w:val="24"/>
          <w:lang w:eastAsia="zh-CN"/>
        </w:rPr>
        <w:t>（</w:t>
      </w:r>
      <w:r w:rsidRPr="002C2B23">
        <w:rPr>
          <w:bCs/>
          <w:sz w:val="24"/>
          <w:lang w:eastAsia="zh-CN"/>
        </w:rPr>
        <w:t>8</w:t>
      </w:r>
      <w:r w:rsidRPr="002C2B23">
        <w:rPr>
          <w:bCs/>
          <w:sz w:val="24"/>
          <w:lang w:eastAsia="zh-CN"/>
        </w:rPr>
        <w:t>）变更基金投资目标、范围或策略；</w:t>
      </w:r>
    </w:p>
    <w:p w14:paraId="5F767477" w14:textId="77777777" w:rsidR="00C21F15" w:rsidRPr="002C2B23" w:rsidRDefault="00C21F15" w:rsidP="00C21F15">
      <w:pPr>
        <w:spacing w:line="440" w:lineRule="atLeast"/>
        <w:ind w:firstLine="480"/>
        <w:rPr>
          <w:bCs/>
          <w:sz w:val="24"/>
          <w:lang w:eastAsia="zh-CN"/>
        </w:rPr>
      </w:pPr>
      <w:r w:rsidRPr="002C2B23">
        <w:rPr>
          <w:bCs/>
          <w:sz w:val="24"/>
          <w:lang w:eastAsia="zh-CN"/>
        </w:rPr>
        <w:t>（</w:t>
      </w:r>
      <w:r w:rsidRPr="002C2B23">
        <w:rPr>
          <w:bCs/>
          <w:sz w:val="24"/>
          <w:lang w:eastAsia="zh-CN"/>
        </w:rPr>
        <w:t>9</w:t>
      </w:r>
      <w:r w:rsidRPr="002C2B23">
        <w:rPr>
          <w:bCs/>
          <w:sz w:val="24"/>
          <w:lang w:eastAsia="zh-CN"/>
        </w:rPr>
        <w:t>）变更基金份额持有人大会程序；</w:t>
      </w:r>
    </w:p>
    <w:p w14:paraId="5E5ED457" w14:textId="77777777" w:rsidR="00C21F15" w:rsidRPr="002C2B23" w:rsidRDefault="00C21F15" w:rsidP="00C21F15">
      <w:pPr>
        <w:spacing w:line="440" w:lineRule="atLeast"/>
        <w:ind w:firstLine="480"/>
        <w:rPr>
          <w:bCs/>
          <w:sz w:val="24"/>
          <w:lang w:eastAsia="zh-CN"/>
        </w:rPr>
      </w:pPr>
      <w:r w:rsidRPr="002C2B23">
        <w:rPr>
          <w:bCs/>
          <w:sz w:val="24"/>
          <w:lang w:eastAsia="zh-CN"/>
        </w:rPr>
        <w:t>（</w:t>
      </w:r>
      <w:r w:rsidRPr="002C2B23">
        <w:rPr>
          <w:bCs/>
          <w:sz w:val="24"/>
          <w:lang w:eastAsia="zh-CN"/>
        </w:rPr>
        <w:t>10</w:t>
      </w:r>
      <w:r w:rsidRPr="002C2B23">
        <w:rPr>
          <w:bCs/>
          <w:sz w:val="24"/>
          <w:lang w:eastAsia="zh-CN"/>
        </w:rPr>
        <w:t>）基金管理人或基金托管人要求召开基金份额持有人大会；</w:t>
      </w:r>
    </w:p>
    <w:p w14:paraId="77050902" w14:textId="77777777" w:rsidR="00C21F15" w:rsidRPr="002C2B23" w:rsidRDefault="00C21F15" w:rsidP="00C21F15">
      <w:pPr>
        <w:spacing w:line="440" w:lineRule="atLeast"/>
        <w:ind w:firstLine="480"/>
        <w:rPr>
          <w:bCs/>
          <w:sz w:val="24"/>
          <w:lang w:eastAsia="zh-CN"/>
        </w:rPr>
      </w:pPr>
      <w:r w:rsidRPr="002C2B23">
        <w:rPr>
          <w:bCs/>
          <w:sz w:val="24"/>
          <w:lang w:eastAsia="zh-CN"/>
        </w:rPr>
        <w:t>（</w:t>
      </w:r>
      <w:r w:rsidRPr="002C2B23">
        <w:rPr>
          <w:bCs/>
          <w:sz w:val="24"/>
          <w:lang w:eastAsia="zh-CN"/>
        </w:rPr>
        <w:t>11</w:t>
      </w:r>
      <w:r w:rsidRPr="002C2B23">
        <w:rPr>
          <w:bCs/>
          <w:sz w:val="24"/>
          <w:lang w:eastAsia="zh-CN"/>
        </w:rPr>
        <w:t>）单独或合计持有本基金总份额</w:t>
      </w:r>
      <w:r w:rsidRPr="002C2B23">
        <w:rPr>
          <w:bCs/>
          <w:sz w:val="24"/>
          <w:lang w:eastAsia="zh-CN"/>
        </w:rPr>
        <w:t>10%</w:t>
      </w:r>
      <w:r w:rsidRPr="002C2B23">
        <w:rPr>
          <w:bCs/>
          <w:sz w:val="24"/>
          <w:lang w:eastAsia="zh-CN"/>
        </w:rPr>
        <w:t>以上（含</w:t>
      </w:r>
      <w:r w:rsidRPr="002C2B23">
        <w:rPr>
          <w:bCs/>
          <w:sz w:val="24"/>
          <w:lang w:eastAsia="zh-CN"/>
        </w:rPr>
        <w:t>10%</w:t>
      </w:r>
      <w:r w:rsidRPr="002C2B23">
        <w:rPr>
          <w:bCs/>
          <w:sz w:val="24"/>
          <w:lang w:eastAsia="zh-CN"/>
        </w:rPr>
        <w:t>）基金份额的基金份额持有人（以基金管理人收到提议当日的基金份额计算，下同）就同一事项书面要求召开基金份额持有人大会；</w:t>
      </w:r>
    </w:p>
    <w:p w14:paraId="17379827" w14:textId="77777777" w:rsidR="00C21F15" w:rsidRPr="002C2B23" w:rsidRDefault="00C21F15" w:rsidP="00C21F15">
      <w:pPr>
        <w:spacing w:line="440" w:lineRule="atLeast"/>
        <w:ind w:firstLine="480"/>
        <w:rPr>
          <w:bCs/>
          <w:sz w:val="24"/>
          <w:lang w:eastAsia="zh-CN"/>
        </w:rPr>
      </w:pPr>
      <w:r w:rsidRPr="002C2B23">
        <w:rPr>
          <w:bCs/>
          <w:sz w:val="24"/>
          <w:lang w:eastAsia="zh-CN"/>
        </w:rPr>
        <w:t>（</w:t>
      </w:r>
      <w:r w:rsidRPr="002C2B23">
        <w:rPr>
          <w:bCs/>
          <w:sz w:val="24"/>
          <w:lang w:eastAsia="zh-CN"/>
        </w:rPr>
        <w:t>12</w:t>
      </w:r>
      <w:r w:rsidRPr="002C2B23">
        <w:rPr>
          <w:bCs/>
          <w:sz w:val="24"/>
          <w:lang w:eastAsia="zh-CN"/>
        </w:rPr>
        <w:t>）对基金合同当事人权利和义务产生重大影响的其他事项；</w:t>
      </w:r>
    </w:p>
    <w:p w14:paraId="4AD4BE8C" w14:textId="77777777" w:rsidR="00C21F15" w:rsidRPr="002C2B23" w:rsidRDefault="00C21F15" w:rsidP="00C21F15">
      <w:pPr>
        <w:spacing w:line="440" w:lineRule="atLeast"/>
        <w:ind w:firstLine="480"/>
        <w:rPr>
          <w:bCs/>
          <w:sz w:val="24"/>
          <w:lang w:eastAsia="zh-CN"/>
        </w:rPr>
      </w:pPr>
      <w:r w:rsidRPr="002C2B23">
        <w:rPr>
          <w:bCs/>
          <w:sz w:val="24"/>
          <w:lang w:eastAsia="zh-CN"/>
        </w:rPr>
        <w:t>（</w:t>
      </w:r>
      <w:r w:rsidRPr="002C2B23">
        <w:rPr>
          <w:bCs/>
          <w:sz w:val="24"/>
          <w:lang w:eastAsia="zh-CN"/>
        </w:rPr>
        <w:t>13</w:t>
      </w:r>
      <w:r w:rsidRPr="002C2B23">
        <w:rPr>
          <w:bCs/>
          <w:sz w:val="24"/>
          <w:lang w:eastAsia="zh-CN"/>
        </w:rPr>
        <w:t>）法律法规、《基金合同》或中国证监会规定的其他应当召开基金份额持有人大会的事项。</w:t>
      </w:r>
    </w:p>
    <w:p w14:paraId="5E9EEB68" w14:textId="77777777" w:rsidR="00C21F15" w:rsidRPr="002C2B23" w:rsidRDefault="00C21F15" w:rsidP="00C21F15">
      <w:pPr>
        <w:spacing w:line="360" w:lineRule="auto"/>
        <w:ind w:firstLine="480"/>
        <w:rPr>
          <w:bCs/>
          <w:sz w:val="24"/>
          <w:lang w:eastAsia="zh-CN"/>
        </w:rPr>
      </w:pPr>
      <w:r w:rsidRPr="002C2B23">
        <w:rPr>
          <w:bCs/>
          <w:sz w:val="24"/>
          <w:lang w:eastAsia="zh-CN"/>
        </w:rPr>
        <w:t>2</w:t>
      </w:r>
      <w:r w:rsidRPr="002C2B23">
        <w:rPr>
          <w:bCs/>
          <w:sz w:val="24"/>
          <w:lang w:eastAsia="zh-CN"/>
        </w:rPr>
        <w:t>、在法律法规规定和《基金合同》约定的范围内且对基金份额持有人利益无实质性不利影响的前提下，以下情况可由基金管理人和基金托管人协商后修改，不需召开基金份额持有人大会：</w:t>
      </w:r>
    </w:p>
    <w:p w14:paraId="11B9D9DD"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）法律法规要求增加的基金费用的收取；</w:t>
      </w:r>
    </w:p>
    <w:p w14:paraId="21E7A809"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）调整本基金的申购费率、调低销售服务费率或变更收费方式，调整基金份额类别设置、对基金份额分类办法及规则进行调整；</w:t>
      </w:r>
    </w:p>
    <w:p w14:paraId="4F263650"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3</w:t>
      </w:r>
      <w:r w:rsidRPr="002C2B23">
        <w:rPr>
          <w:bCs/>
          <w:sz w:val="24"/>
          <w:lang w:eastAsia="zh-CN"/>
        </w:rPr>
        <w:t>）</w:t>
      </w:r>
      <w:proofErr w:type="gramStart"/>
      <w:r w:rsidRPr="002C2B23">
        <w:rPr>
          <w:bCs/>
          <w:sz w:val="24"/>
          <w:lang w:eastAsia="zh-CN"/>
        </w:rPr>
        <w:t>因相应</w:t>
      </w:r>
      <w:proofErr w:type="gramEnd"/>
      <w:r w:rsidRPr="002C2B23">
        <w:rPr>
          <w:bCs/>
          <w:sz w:val="24"/>
          <w:lang w:eastAsia="zh-CN"/>
        </w:rPr>
        <w:t>的法律法规发生变动而应当对《基金合同》进行修改；</w:t>
      </w:r>
    </w:p>
    <w:p w14:paraId="07FE7B20"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4</w:t>
      </w:r>
      <w:r w:rsidRPr="002C2B23">
        <w:rPr>
          <w:bCs/>
          <w:sz w:val="24"/>
          <w:lang w:eastAsia="zh-CN"/>
        </w:rPr>
        <w:t>）对《基金合同》的修改对基金份额持有人利益无实质性不利影响或修改不涉及《基金合同》当事人权利义务关系发生重大变化；</w:t>
      </w:r>
    </w:p>
    <w:p w14:paraId="48C628DB"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5</w:t>
      </w:r>
      <w:r w:rsidRPr="002C2B23">
        <w:rPr>
          <w:bCs/>
          <w:sz w:val="24"/>
          <w:lang w:eastAsia="zh-CN"/>
        </w:rPr>
        <w:t>）基金管理人、登记机构、基金销售机构调整有关申购、赎回、转换、基金交易、</w:t>
      </w:r>
      <w:proofErr w:type="gramStart"/>
      <w:r w:rsidRPr="002C2B23">
        <w:rPr>
          <w:bCs/>
          <w:sz w:val="24"/>
          <w:lang w:eastAsia="zh-CN"/>
        </w:rPr>
        <w:t>非交易</w:t>
      </w:r>
      <w:proofErr w:type="gramEnd"/>
      <w:r w:rsidRPr="002C2B23">
        <w:rPr>
          <w:bCs/>
          <w:sz w:val="24"/>
          <w:lang w:eastAsia="zh-CN"/>
        </w:rPr>
        <w:t>过户、转托管等业务规则；</w:t>
      </w:r>
    </w:p>
    <w:p w14:paraId="751A362B"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6</w:t>
      </w:r>
      <w:r w:rsidRPr="002C2B23">
        <w:rPr>
          <w:bCs/>
          <w:sz w:val="24"/>
          <w:lang w:eastAsia="zh-CN"/>
        </w:rPr>
        <w:t>）履行相关程序后，基金推出新业务或服务；</w:t>
      </w:r>
    </w:p>
    <w:p w14:paraId="099CFCF2" w14:textId="77777777" w:rsidR="00C21F15" w:rsidRPr="002C2B23" w:rsidRDefault="00C21F15" w:rsidP="00C21F15">
      <w:pPr>
        <w:spacing w:line="360" w:lineRule="auto"/>
        <w:ind w:firstLine="480"/>
        <w:rPr>
          <w:rFonts w:ascii="宋体" w:hAnsi="宋体"/>
          <w:sz w:val="24"/>
          <w:lang w:eastAsia="zh-CN"/>
        </w:rPr>
      </w:pPr>
      <w:r w:rsidRPr="002C2B23">
        <w:rPr>
          <w:bCs/>
          <w:sz w:val="24"/>
          <w:lang w:eastAsia="zh-CN"/>
        </w:rPr>
        <w:t>（</w:t>
      </w:r>
      <w:r w:rsidRPr="002C2B23">
        <w:rPr>
          <w:bCs/>
          <w:sz w:val="24"/>
          <w:lang w:eastAsia="zh-CN"/>
        </w:rPr>
        <w:t>7</w:t>
      </w:r>
      <w:r w:rsidRPr="002C2B23">
        <w:rPr>
          <w:bCs/>
          <w:sz w:val="24"/>
          <w:lang w:eastAsia="zh-CN"/>
        </w:rPr>
        <w:t>）按照法律法规和《基金合同》规定不需召开基金份额持有人大会的其他情形。</w:t>
      </w:r>
    </w:p>
    <w:p w14:paraId="66A083FD" w14:textId="77777777" w:rsidR="00C21F15" w:rsidRPr="002C2B23" w:rsidRDefault="00C21F15" w:rsidP="00C21F15">
      <w:pPr>
        <w:spacing w:line="360" w:lineRule="auto"/>
        <w:ind w:firstLine="480"/>
        <w:rPr>
          <w:rFonts w:ascii="宋体" w:hAnsi="宋体"/>
          <w:sz w:val="24"/>
          <w:lang w:eastAsia="zh-CN"/>
        </w:rPr>
      </w:pPr>
      <w:r w:rsidRPr="002C2B23">
        <w:rPr>
          <w:rFonts w:ascii="宋体" w:hAnsi="宋体"/>
          <w:sz w:val="24"/>
          <w:lang w:eastAsia="zh-CN"/>
        </w:rPr>
        <w:t>（二）会议召集人及召集方式</w:t>
      </w:r>
    </w:p>
    <w:p w14:paraId="36F463F7" w14:textId="77777777" w:rsidR="00C21F15" w:rsidRPr="002C2B23" w:rsidRDefault="00C21F15" w:rsidP="00C21F15">
      <w:pPr>
        <w:spacing w:line="360" w:lineRule="auto"/>
        <w:ind w:firstLine="480"/>
        <w:rPr>
          <w:bCs/>
          <w:sz w:val="24"/>
          <w:lang w:eastAsia="zh-CN"/>
        </w:rPr>
      </w:pPr>
      <w:r w:rsidRPr="002C2B23">
        <w:rPr>
          <w:bCs/>
          <w:sz w:val="24"/>
          <w:lang w:eastAsia="zh-CN"/>
        </w:rPr>
        <w:t>1</w:t>
      </w:r>
      <w:r w:rsidRPr="002C2B23">
        <w:rPr>
          <w:bCs/>
          <w:sz w:val="24"/>
          <w:lang w:eastAsia="zh-CN"/>
        </w:rPr>
        <w:t>、除法律法规规定或《基金合同》另有约定外，基金份额持有人大会由基金管理人召集。</w:t>
      </w:r>
    </w:p>
    <w:p w14:paraId="58ABD983" w14:textId="77777777" w:rsidR="00C21F15" w:rsidRPr="002C2B23" w:rsidRDefault="00C21F15" w:rsidP="00C21F15">
      <w:pPr>
        <w:spacing w:line="360" w:lineRule="auto"/>
        <w:ind w:firstLine="480"/>
        <w:rPr>
          <w:bCs/>
          <w:sz w:val="24"/>
          <w:lang w:eastAsia="zh-CN"/>
        </w:rPr>
      </w:pPr>
      <w:r w:rsidRPr="002C2B23">
        <w:rPr>
          <w:bCs/>
          <w:sz w:val="24"/>
          <w:lang w:eastAsia="zh-CN"/>
        </w:rPr>
        <w:t>2</w:t>
      </w:r>
      <w:r w:rsidRPr="002C2B23">
        <w:rPr>
          <w:bCs/>
          <w:sz w:val="24"/>
          <w:lang w:eastAsia="zh-CN"/>
        </w:rPr>
        <w:t>、基金管理人未按规定召集或不能召集时，由基金托管人召集。</w:t>
      </w:r>
    </w:p>
    <w:p w14:paraId="53C46E2D" w14:textId="77777777" w:rsidR="00C21F15" w:rsidRPr="002C2B23" w:rsidRDefault="00C21F15" w:rsidP="00C21F15">
      <w:pPr>
        <w:spacing w:line="360" w:lineRule="auto"/>
        <w:ind w:firstLine="480"/>
        <w:rPr>
          <w:bCs/>
          <w:sz w:val="24"/>
          <w:lang w:eastAsia="zh-CN"/>
        </w:rPr>
      </w:pPr>
      <w:r w:rsidRPr="002C2B23">
        <w:rPr>
          <w:bCs/>
          <w:sz w:val="24"/>
          <w:lang w:eastAsia="zh-CN"/>
        </w:rPr>
        <w:t>3</w:t>
      </w:r>
      <w:r w:rsidRPr="002C2B23">
        <w:rPr>
          <w:bCs/>
          <w:sz w:val="24"/>
          <w:lang w:eastAsia="zh-CN"/>
        </w:rPr>
        <w:t>、基金托管人认为有必要召开基金份额持有人大会的，应当向基金管理人提出书面提议。基金管理人应当自收到书面提议之日起</w:t>
      </w:r>
      <w:r w:rsidRPr="002C2B23">
        <w:rPr>
          <w:bCs/>
          <w:sz w:val="24"/>
          <w:lang w:eastAsia="zh-CN"/>
        </w:rPr>
        <w:t>10</w:t>
      </w:r>
      <w:r w:rsidRPr="002C2B23">
        <w:rPr>
          <w:bCs/>
          <w:sz w:val="24"/>
          <w:lang w:eastAsia="zh-CN"/>
        </w:rPr>
        <w:t>日内决定是否召集，并书面告知基金托管人。基金管理人决定召集的，应当自出具书面决定之日起</w:t>
      </w:r>
      <w:r w:rsidRPr="002C2B23">
        <w:rPr>
          <w:bCs/>
          <w:sz w:val="24"/>
          <w:lang w:eastAsia="zh-CN"/>
        </w:rPr>
        <w:t>60</w:t>
      </w:r>
      <w:r w:rsidRPr="002C2B23">
        <w:rPr>
          <w:bCs/>
          <w:sz w:val="24"/>
          <w:lang w:eastAsia="zh-CN"/>
        </w:rPr>
        <w:t>日内召开；基金管理人决定不召集，基金托管人仍认为有必要召开的，应当由基金托管人自行召集，并自出具书面决定之日起</w:t>
      </w:r>
      <w:r w:rsidRPr="002C2B23">
        <w:rPr>
          <w:bCs/>
          <w:sz w:val="24"/>
          <w:lang w:eastAsia="zh-CN"/>
        </w:rPr>
        <w:t>60</w:t>
      </w:r>
      <w:r w:rsidRPr="002C2B23">
        <w:rPr>
          <w:bCs/>
          <w:sz w:val="24"/>
          <w:lang w:eastAsia="zh-CN"/>
        </w:rPr>
        <w:t>日内召开并告知基金管理人，基金管理人应当配合。</w:t>
      </w:r>
    </w:p>
    <w:p w14:paraId="31C38A4B" w14:textId="77777777" w:rsidR="00C21F15" w:rsidRPr="002C2B23" w:rsidRDefault="00C21F15" w:rsidP="00C21F15">
      <w:pPr>
        <w:spacing w:line="360" w:lineRule="auto"/>
        <w:ind w:firstLine="480"/>
        <w:rPr>
          <w:bCs/>
          <w:sz w:val="24"/>
          <w:lang w:eastAsia="zh-CN"/>
        </w:rPr>
      </w:pPr>
      <w:r w:rsidRPr="002C2B23">
        <w:rPr>
          <w:bCs/>
          <w:sz w:val="24"/>
          <w:lang w:eastAsia="zh-CN"/>
        </w:rPr>
        <w:t>4</w:t>
      </w:r>
      <w:r w:rsidRPr="002C2B23">
        <w:rPr>
          <w:bCs/>
          <w:sz w:val="24"/>
          <w:lang w:eastAsia="zh-CN"/>
        </w:rPr>
        <w:t>、代表基金份额</w:t>
      </w:r>
      <w:r w:rsidRPr="002C2B23">
        <w:rPr>
          <w:bCs/>
          <w:sz w:val="24"/>
          <w:lang w:eastAsia="zh-CN"/>
        </w:rPr>
        <w:t>10%</w:t>
      </w:r>
      <w:r w:rsidRPr="002C2B23">
        <w:rPr>
          <w:bCs/>
          <w:sz w:val="24"/>
          <w:lang w:eastAsia="zh-CN"/>
        </w:rPr>
        <w:t>以上（含</w:t>
      </w:r>
      <w:r w:rsidRPr="002C2B23">
        <w:rPr>
          <w:bCs/>
          <w:sz w:val="24"/>
          <w:lang w:eastAsia="zh-CN"/>
        </w:rPr>
        <w:t>10%</w:t>
      </w:r>
      <w:r w:rsidRPr="002C2B23">
        <w:rPr>
          <w:bCs/>
          <w:sz w:val="24"/>
          <w:lang w:eastAsia="zh-CN"/>
        </w:rPr>
        <w:t>）的基金份额持有人就同一事项书面要求召开基金份额持有人大会，应当向基金管理人提出书面提议。基金管理人应当自收到书面提议之日起</w:t>
      </w:r>
      <w:r w:rsidRPr="002C2B23">
        <w:rPr>
          <w:bCs/>
          <w:sz w:val="24"/>
          <w:lang w:eastAsia="zh-CN"/>
        </w:rPr>
        <w:t>10</w:t>
      </w:r>
      <w:r w:rsidRPr="002C2B23">
        <w:rPr>
          <w:bCs/>
          <w:sz w:val="24"/>
          <w:lang w:eastAsia="zh-CN"/>
        </w:rPr>
        <w:t>日内决定是否召集，并书面告知提出提议的基金份额持有人代表和基金托管人。基金管理人决定召集的，应当自出具书面决定之日起</w:t>
      </w:r>
      <w:r w:rsidRPr="002C2B23">
        <w:rPr>
          <w:bCs/>
          <w:sz w:val="24"/>
          <w:lang w:eastAsia="zh-CN"/>
        </w:rPr>
        <w:t>60</w:t>
      </w:r>
      <w:r w:rsidRPr="002C2B23">
        <w:rPr>
          <w:bCs/>
          <w:sz w:val="24"/>
          <w:lang w:eastAsia="zh-CN"/>
        </w:rPr>
        <w:t>日内召开；基金管理人决定不召集，代表基金份额</w:t>
      </w:r>
      <w:r w:rsidRPr="002C2B23">
        <w:rPr>
          <w:bCs/>
          <w:sz w:val="24"/>
          <w:lang w:eastAsia="zh-CN"/>
        </w:rPr>
        <w:t>10%</w:t>
      </w:r>
      <w:r w:rsidRPr="002C2B23">
        <w:rPr>
          <w:bCs/>
          <w:sz w:val="24"/>
          <w:lang w:eastAsia="zh-CN"/>
        </w:rPr>
        <w:t>以上（含</w:t>
      </w:r>
      <w:r w:rsidRPr="002C2B23">
        <w:rPr>
          <w:bCs/>
          <w:sz w:val="24"/>
          <w:lang w:eastAsia="zh-CN"/>
        </w:rPr>
        <w:t>10%</w:t>
      </w:r>
      <w:r w:rsidRPr="002C2B23">
        <w:rPr>
          <w:bCs/>
          <w:sz w:val="24"/>
          <w:lang w:eastAsia="zh-CN"/>
        </w:rPr>
        <w:t>）的基金份额持有人仍认为有必要召开的，应当向基金托管人提出书面提议。基金托管人应当自收到书面提议之日起</w:t>
      </w:r>
      <w:r w:rsidRPr="002C2B23">
        <w:rPr>
          <w:bCs/>
          <w:sz w:val="24"/>
          <w:lang w:eastAsia="zh-CN"/>
        </w:rPr>
        <w:t>10</w:t>
      </w:r>
      <w:r w:rsidRPr="002C2B23">
        <w:rPr>
          <w:bCs/>
          <w:sz w:val="24"/>
          <w:lang w:eastAsia="zh-CN"/>
        </w:rPr>
        <w:t>日内决定是否召集，并书面告知提出提议的基金份额持有人代表和基金管理人；基金托管人决定召集的，应当自出具书面决定之日起</w:t>
      </w:r>
      <w:r w:rsidRPr="002C2B23">
        <w:rPr>
          <w:bCs/>
          <w:sz w:val="24"/>
          <w:lang w:eastAsia="zh-CN"/>
        </w:rPr>
        <w:t>60</w:t>
      </w:r>
      <w:r w:rsidRPr="002C2B23">
        <w:rPr>
          <w:bCs/>
          <w:sz w:val="24"/>
          <w:lang w:eastAsia="zh-CN"/>
        </w:rPr>
        <w:t>日内召开并告知基金管理人，基金管理人应当配合。</w:t>
      </w:r>
    </w:p>
    <w:p w14:paraId="359D1FD6" w14:textId="77777777" w:rsidR="00C21F15" w:rsidRPr="002C2B23" w:rsidRDefault="00C21F15" w:rsidP="00C21F15">
      <w:pPr>
        <w:spacing w:line="360" w:lineRule="auto"/>
        <w:ind w:firstLine="480"/>
        <w:rPr>
          <w:bCs/>
          <w:sz w:val="24"/>
          <w:lang w:eastAsia="zh-CN"/>
        </w:rPr>
      </w:pPr>
      <w:r w:rsidRPr="002C2B23">
        <w:rPr>
          <w:bCs/>
          <w:sz w:val="24"/>
          <w:lang w:eastAsia="zh-CN"/>
        </w:rPr>
        <w:t>5</w:t>
      </w:r>
      <w:r w:rsidRPr="002C2B23">
        <w:rPr>
          <w:bCs/>
          <w:sz w:val="24"/>
          <w:lang w:eastAsia="zh-CN"/>
        </w:rPr>
        <w:t>、代表基金份额</w:t>
      </w:r>
      <w:r w:rsidRPr="002C2B23">
        <w:rPr>
          <w:bCs/>
          <w:sz w:val="24"/>
          <w:lang w:eastAsia="zh-CN"/>
        </w:rPr>
        <w:t>10%</w:t>
      </w:r>
      <w:r w:rsidRPr="002C2B23">
        <w:rPr>
          <w:bCs/>
          <w:sz w:val="24"/>
          <w:lang w:eastAsia="zh-CN"/>
        </w:rPr>
        <w:t>以上（含</w:t>
      </w:r>
      <w:r w:rsidRPr="002C2B23">
        <w:rPr>
          <w:bCs/>
          <w:sz w:val="24"/>
          <w:lang w:eastAsia="zh-CN"/>
        </w:rPr>
        <w:t>10%</w:t>
      </w:r>
      <w:r w:rsidRPr="002C2B23">
        <w:rPr>
          <w:bCs/>
          <w:sz w:val="24"/>
          <w:lang w:eastAsia="zh-CN"/>
        </w:rPr>
        <w:t>）的基金份额持有人就同一事项要求召开基金份额持有人大会，而基金管理人、基金托管人都不召集的，单独或合计代表基金份额</w:t>
      </w:r>
      <w:r w:rsidRPr="002C2B23">
        <w:rPr>
          <w:bCs/>
          <w:sz w:val="24"/>
          <w:lang w:eastAsia="zh-CN"/>
        </w:rPr>
        <w:t>10%</w:t>
      </w:r>
      <w:r w:rsidRPr="002C2B23">
        <w:rPr>
          <w:bCs/>
          <w:sz w:val="24"/>
          <w:lang w:eastAsia="zh-CN"/>
        </w:rPr>
        <w:t>以上（含</w:t>
      </w:r>
      <w:r w:rsidRPr="002C2B23">
        <w:rPr>
          <w:bCs/>
          <w:sz w:val="24"/>
          <w:lang w:eastAsia="zh-CN"/>
        </w:rPr>
        <w:t>10%</w:t>
      </w:r>
      <w:r w:rsidRPr="002C2B23">
        <w:rPr>
          <w:bCs/>
          <w:sz w:val="24"/>
          <w:lang w:eastAsia="zh-CN"/>
        </w:rPr>
        <w:t>）的基金份额持有人有权自行召集，并至少提前</w:t>
      </w:r>
      <w:r w:rsidRPr="002C2B23">
        <w:rPr>
          <w:bCs/>
          <w:sz w:val="24"/>
          <w:lang w:eastAsia="zh-CN"/>
        </w:rPr>
        <w:t>30</w:t>
      </w:r>
      <w:r w:rsidRPr="002C2B23">
        <w:rPr>
          <w:bCs/>
          <w:sz w:val="24"/>
          <w:lang w:eastAsia="zh-CN"/>
        </w:rPr>
        <w:t>日报中国证监会备案。基金份额持有人依法自行召集基金份额持有人大会的，基金管理人、基金托管人应当配合，不得阻碍、干扰。</w:t>
      </w:r>
    </w:p>
    <w:p w14:paraId="67DB1E3F" w14:textId="77777777" w:rsidR="00C21F15" w:rsidRPr="002C2B23" w:rsidRDefault="00C21F15" w:rsidP="00C21F15">
      <w:pPr>
        <w:spacing w:line="360" w:lineRule="auto"/>
        <w:ind w:firstLine="480"/>
        <w:rPr>
          <w:rFonts w:ascii="宋体" w:hAnsi="宋体"/>
          <w:sz w:val="24"/>
          <w:lang w:eastAsia="zh-CN"/>
        </w:rPr>
      </w:pPr>
      <w:r w:rsidRPr="002C2B23">
        <w:rPr>
          <w:bCs/>
          <w:sz w:val="24"/>
          <w:lang w:eastAsia="zh-CN"/>
        </w:rPr>
        <w:t>6</w:t>
      </w:r>
      <w:r w:rsidRPr="002C2B23">
        <w:rPr>
          <w:bCs/>
          <w:sz w:val="24"/>
          <w:lang w:eastAsia="zh-CN"/>
        </w:rPr>
        <w:t>、基金份额持有人会议的召集人负责选择确定开会时间、地点、方式和权益登记日。</w:t>
      </w:r>
    </w:p>
    <w:p w14:paraId="5C2437FE" w14:textId="77777777" w:rsidR="00C21F15" w:rsidRPr="002C2B23" w:rsidRDefault="00C21F15" w:rsidP="00C21F15">
      <w:pPr>
        <w:spacing w:line="360" w:lineRule="auto"/>
        <w:ind w:firstLine="480"/>
        <w:rPr>
          <w:rFonts w:ascii="宋体" w:hAnsi="宋体"/>
          <w:sz w:val="24"/>
          <w:lang w:eastAsia="zh-CN"/>
        </w:rPr>
      </w:pPr>
      <w:r w:rsidRPr="002C2B23">
        <w:rPr>
          <w:rFonts w:ascii="宋体" w:hAnsi="宋体"/>
          <w:sz w:val="24"/>
          <w:lang w:eastAsia="zh-CN"/>
        </w:rPr>
        <w:t>（三）召开基金份额持有人大会的通知时间、通知内容、通知方式</w:t>
      </w:r>
    </w:p>
    <w:p w14:paraId="7484F4B2" w14:textId="77777777" w:rsidR="00C21F15" w:rsidRPr="002C2B23" w:rsidRDefault="00C21F15" w:rsidP="00C21F15">
      <w:pPr>
        <w:spacing w:line="360" w:lineRule="auto"/>
        <w:ind w:firstLine="480"/>
        <w:rPr>
          <w:bCs/>
          <w:sz w:val="24"/>
          <w:lang w:eastAsia="zh-CN"/>
        </w:rPr>
      </w:pPr>
      <w:r w:rsidRPr="002C2B23">
        <w:rPr>
          <w:bCs/>
          <w:sz w:val="24"/>
          <w:lang w:eastAsia="zh-CN"/>
        </w:rPr>
        <w:t>1</w:t>
      </w:r>
      <w:r w:rsidRPr="002C2B23">
        <w:rPr>
          <w:bCs/>
          <w:sz w:val="24"/>
          <w:lang w:eastAsia="zh-CN"/>
        </w:rPr>
        <w:t>、召开基金份额持有人大会，召集人应于会议召开前</w:t>
      </w:r>
      <w:r w:rsidRPr="002C2B23">
        <w:rPr>
          <w:bCs/>
          <w:sz w:val="24"/>
          <w:lang w:eastAsia="zh-CN"/>
        </w:rPr>
        <w:t>30</w:t>
      </w:r>
      <w:r w:rsidRPr="002C2B23">
        <w:rPr>
          <w:bCs/>
          <w:sz w:val="24"/>
          <w:lang w:eastAsia="zh-CN"/>
        </w:rPr>
        <w:t>日，在规定媒介公告。基金份额持有人大会通知应至少载明以下内容：</w:t>
      </w:r>
    </w:p>
    <w:p w14:paraId="2BAC404F"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）会议召开的时间、地点和会议形式；</w:t>
      </w:r>
    </w:p>
    <w:p w14:paraId="0A2BE30E"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）会议</w:t>
      </w:r>
      <w:proofErr w:type="gramStart"/>
      <w:r w:rsidRPr="002C2B23">
        <w:rPr>
          <w:bCs/>
          <w:sz w:val="24"/>
          <w:lang w:eastAsia="zh-CN"/>
        </w:rPr>
        <w:t>拟审议</w:t>
      </w:r>
      <w:proofErr w:type="gramEnd"/>
      <w:r w:rsidRPr="002C2B23">
        <w:rPr>
          <w:bCs/>
          <w:sz w:val="24"/>
          <w:lang w:eastAsia="zh-CN"/>
        </w:rPr>
        <w:t>的事项、议事程序和表决方式；</w:t>
      </w:r>
    </w:p>
    <w:p w14:paraId="50B24715"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3</w:t>
      </w:r>
      <w:r w:rsidRPr="002C2B23">
        <w:rPr>
          <w:bCs/>
          <w:sz w:val="24"/>
          <w:lang w:eastAsia="zh-CN"/>
        </w:rPr>
        <w:t>）有权出席基金份额持有人大会的基金份额持有人的权益登记日；</w:t>
      </w:r>
    </w:p>
    <w:p w14:paraId="625DD6E7"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4</w:t>
      </w:r>
      <w:r w:rsidRPr="002C2B23">
        <w:rPr>
          <w:bCs/>
          <w:sz w:val="24"/>
          <w:lang w:eastAsia="zh-CN"/>
        </w:rPr>
        <w:t>）授权委托证明的内容要求（包括但不限于代理人身份，代理权限和代理有效期限等）、送达时间和地点；</w:t>
      </w:r>
    </w:p>
    <w:p w14:paraId="450A59CC"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5</w:t>
      </w:r>
      <w:r w:rsidRPr="002C2B23">
        <w:rPr>
          <w:bCs/>
          <w:sz w:val="24"/>
          <w:lang w:eastAsia="zh-CN"/>
        </w:rPr>
        <w:t>）会务常设联系人姓名及联系电话；</w:t>
      </w:r>
    </w:p>
    <w:p w14:paraId="3923C6F2"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6</w:t>
      </w:r>
      <w:r w:rsidRPr="002C2B23">
        <w:rPr>
          <w:bCs/>
          <w:sz w:val="24"/>
          <w:lang w:eastAsia="zh-CN"/>
        </w:rPr>
        <w:t>）出席会议者必须准备的文件和必须履行的手续；</w:t>
      </w:r>
    </w:p>
    <w:p w14:paraId="2C93F19B"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7</w:t>
      </w:r>
      <w:r w:rsidRPr="002C2B23">
        <w:rPr>
          <w:bCs/>
          <w:sz w:val="24"/>
          <w:lang w:eastAsia="zh-CN"/>
        </w:rPr>
        <w:t>）召集人需要通知的其他事项。</w:t>
      </w:r>
    </w:p>
    <w:p w14:paraId="42A889EC" w14:textId="77777777" w:rsidR="00C21F15" w:rsidRPr="002C2B23" w:rsidRDefault="00C21F15" w:rsidP="00C21F15">
      <w:pPr>
        <w:spacing w:line="360" w:lineRule="auto"/>
        <w:ind w:firstLine="480"/>
        <w:rPr>
          <w:bCs/>
          <w:sz w:val="24"/>
          <w:lang w:eastAsia="zh-CN"/>
        </w:rPr>
      </w:pPr>
      <w:r w:rsidRPr="002C2B23">
        <w:rPr>
          <w:bCs/>
          <w:sz w:val="24"/>
          <w:lang w:eastAsia="zh-CN"/>
        </w:rPr>
        <w:t>2</w:t>
      </w:r>
      <w:r w:rsidRPr="002C2B23">
        <w:rPr>
          <w:bCs/>
          <w:sz w:val="24"/>
          <w:lang w:eastAsia="zh-CN"/>
        </w:rPr>
        <w:t>、采取通讯开会方式并进行表决的情况下，由会议召集人决定在会议通知中说明本次基金份额持有人大会所采取的具体通讯方式、委托的公证机关及其联系方式和联系人、表决意见寄交的截止时间和收取方式。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56BFE891" w14:textId="77777777" w:rsidR="00C21F15" w:rsidRPr="002C2B23" w:rsidRDefault="00C21F15" w:rsidP="00C21F15">
      <w:pPr>
        <w:spacing w:line="360" w:lineRule="auto"/>
        <w:ind w:firstLine="480"/>
        <w:rPr>
          <w:rFonts w:ascii="宋体" w:hAnsi="宋体"/>
          <w:sz w:val="24"/>
          <w:lang w:eastAsia="zh-CN"/>
        </w:rPr>
      </w:pPr>
      <w:r w:rsidRPr="002C2B23">
        <w:rPr>
          <w:bCs/>
          <w:sz w:val="24"/>
          <w:lang w:eastAsia="zh-CN"/>
        </w:rPr>
        <w:t>3</w:t>
      </w:r>
      <w:r w:rsidRPr="002C2B23">
        <w:rPr>
          <w:bCs/>
          <w:sz w:val="24"/>
          <w:lang w:eastAsia="zh-CN"/>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w:t>
      </w:r>
      <w:proofErr w:type="gramStart"/>
      <w:r w:rsidRPr="002C2B23">
        <w:rPr>
          <w:bCs/>
          <w:sz w:val="24"/>
          <w:lang w:eastAsia="zh-CN"/>
        </w:rPr>
        <w:t>拒不派</w:t>
      </w:r>
      <w:proofErr w:type="gramEnd"/>
      <w:r w:rsidRPr="002C2B23">
        <w:rPr>
          <w:bCs/>
          <w:sz w:val="24"/>
          <w:lang w:eastAsia="zh-CN"/>
        </w:rPr>
        <w:t>代表对表决意见的计票进行监督的，不影响表决意见的计票效力。</w:t>
      </w:r>
    </w:p>
    <w:p w14:paraId="1B49E79B" w14:textId="77777777" w:rsidR="00C21F15" w:rsidRPr="002C2B23" w:rsidRDefault="00C21F15" w:rsidP="00C21F15">
      <w:pPr>
        <w:spacing w:line="360" w:lineRule="auto"/>
        <w:ind w:firstLine="480"/>
        <w:rPr>
          <w:rFonts w:ascii="宋体" w:hAnsi="宋体"/>
          <w:sz w:val="24"/>
          <w:lang w:eastAsia="zh-CN"/>
        </w:rPr>
      </w:pPr>
      <w:r w:rsidRPr="002C2B23">
        <w:rPr>
          <w:rFonts w:ascii="宋体" w:hAnsi="宋体"/>
          <w:sz w:val="24"/>
          <w:lang w:eastAsia="zh-CN"/>
        </w:rPr>
        <w:t>（四）基金份额持有人出席会议的方式</w:t>
      </w:r>
    </w:p>
    <w:p w14:paraId="7D46F27B" w14:textId="77777777" w:rsidR="00C21F15" w:rsidRPr="002C2B23" w:rsidRDefault="00C21F15" w:rsidP="00C21F15">
      <w:pPr>
        <w:spacing w:line="360" w:lineRule="auto"/>
        <w:ind w:firstLine="480"/>
        <w:rPr>
          <w:bCs/>
          <w:sz w:val="24"/>
          <w:lang w:eastAsia="zh-CN"/>
        </w:rPr>
      </w:pPr>
      <w:r w:rsidRPr="002C2B23">
        <w:rPr>
          <w:bCs/>
          <w:sz w:val="24"/>
          <w:lang w:eastAsia="zh-CN"/>
        </w:rPr>
        <w:t>基金份额持有人大会可通过现场开会方式、通讯开会方式或法律法规、监管机构允许的其他方式召开，会议的召开方式由会议召集人确定。</w:t>
      </w:r>
    </w:p>
    <w:p w14:paraId="25D15C56" w14:textId="77777777" w:rsidR="00C21F15" w:rsidRPr="002C2B23" w:rsidRDefault="00C21F15" w:rsidP="00C21F15">
      <w:pPr>
        <w:spacing w:line="360" w:lineRule="auto"/>
        <w:ind w:firstLine="480"/>
        <w:rPr>
          <w:bCs/>
          <w:sz w:val="24"/>
          <w:lang w:eastAsia="zh-CN"/>
        </w:rPr>
      </w:pPr>
      <w:r w:rsidRPr="002C2B23">
        <w:rPr>
          <w:bCs/>
          <w:sz w:val="24"/>
          <w:lang w:eastAsia="zh-CN"/>
        </w:rPr>
        <w:t>1</w:t>
      </w:r>
      <w:r w:rsidRPr="002C2B23">
        <w:rPr>
          <w:bCs/>
          <w:sz w:val="24"/>
          <w:lang w:eastAsia="zh-CN"/>
        </w:rPr>
        <w:t>、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6BD00843"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26D9D4F3"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w:t>
      </w:r>
      <w:r w:rsidRPr="002C2B23">
        <w:rPr>
          <w:bCs/>
          <w:sz w:val="24"/>
          <w:lang w:eastAsia="zh-CN"/>
        </w:rPr>
        <w:t>3</w:t>
      </w:r>
      <w:r w:rsidRPr="002C2B23">
        <w:rPr>
          <w:bCs/>
          <w:sz w:val="24"/>
          <w:lang w:eastAsia="zh-CN"/>
        </w:rPr>
        <w:t>个月以后、</w:t>
      </w:r>
      <w:r w:rsidRPr="002C2B23">
        <w:rPr>
          <w:bCs/>
          <w:sz w:val="24"/>
          <w:lang w:eastAsia="zh-CN"/>
        </w:rPr>
        <w:t>6</w:t>
      </w:r>
      <w:r w:rsidRPr="002C2B23">
        <w:rPr>
          <w:bCs/>
          <w:sz w:val="24"/>
          <w:lang w:eastAsia="zh-CN"/>
        </w:rPr>
        <w:t>个月以内，就原定审议事项重新召集基金份额持有人大会。重新召集的基金份额持有人大会到会者在权益登记日代表的有效的基金份额应不少于本基金在权益登记日基金总份额的三分之一（含三分之一）。</w:t>
      </w:r>
    </w:p>
    <w:p w14:paraId="0DCB2341" w14:textId="77777777" w:rsidR="00C21F15" w:rsidRPr="002C2B23" w:rsidRDefault="00C21F15" w:rsidP="00C21F15">
      <w:pPr>
        <w:spacing w:line="360" w:lineRule="auto"/>
        <w:ind w:firstLine="480"/>
        <w:rPr>
          <w:bCs/>
          <w:sz w:val="24"/>
          <w:lang w:eastAsia="zh-CN"/>
        </w:rPr>
      </w:pPr>
      <w:r w:rsidRPr="002C2B23">
        <w:rPr>
          <w:bCs/>
          <w:sz w:val="24"/>
          <w:lang w:eastAsia="zh-CN"/>
        </w:rPr>
        <w:t>2</w:t>
      </w:r>
      <w:r w:rsidRPr="002C2B23">
        <w:rPr>
          <w:bCs/>
          <w:sz w:val="24"/>
          <w:lang w:eastAsia="zh-CN"/>
        </w:rPr>
        <w:t>、通讯开会。通讯开会系指基金份额持有人将其对表决事项的投票以书面形式</w:t>
      </w:r>
      <w:proofErr w:type="gramStart"/>
      <w:r w:rsidRPr="002C2B23">
        <w:rPr>
          <w:bCs/>
          <w:sz w:val="24"/>
          <w:lang w:eastAsia="zh-CN"/>
        </w:rPr>
        <w:t>或大会</w:t>
      </w:r>
      <w:proofErr w:type="gramEnd"/>
      <w:r w:rsidRPr="002C2B23">
        <w:rPr>
          <w:bCs/>
          <w:sz w:val="24"/>
          <w:lang w:eastAsia="zh-CN"/>
        </w:rPr>
        <w:t>公告载明的其他方式在表决截止日以前送达至召集人指定的地址。通讯开会应以书面方式</w:t>
      </w:r>
      <w:proofErr w:type="gramStart"/>
      <w:r w:rsidRPr="002C2B23">
        <w:rPr>
          <w:bCs/>
          <w:sz w:val="24"/>
          <w:lang w:eastAsia="zh-CN"/>
        </w:rPr>
        <w:t>或大会</w:t>
      </w:r>
      <w:proofErr w:type="gramEnd"/>
      <w:r w:rsidRPr="002C2B23">
        <w:rPr>
          <w:bCs/>
          <w:sz w:val="24"/>
          <w:lang w:eastAsia="zh-CN"/>
        </w:rPr>
        <w:t>公告载明的其他方式进行表决。</w:t>
      </w:r>
    </w:p>
    <w:p w14:paraId="45143833" w14:textId="77777777" w:rsidR="00C21F15" w:rsidRPr="002C2B23" w:rsidRDefault="00C21F15" w:rsidP="00C21F15">
      <w:pPr>
        <w:spacing w:line="360" w:lineRule="auto"/>
        <w:ind w:firstLine="480"/>
        <w:rPr>
          <w:bCs/>
          <w:sz w:val="24"/>
          <w:lang w:eastAsia="zh-CN"/>
        </w:rPr>
      </w:pPr>
      <w:r w:rsidRPr="002C2B23">
        <w:rPr>
          <w:bCs/>
          <w:sz w:val="24"/>
          <w:lang w:eastAsia="zh-CN"/>
        </w:rPr>
        <w:t>在同时符合以下条件时，通讯开会的方式视为有效：</w:t>
      </w:r>
    </w:p>
    <w:p w14:paraId="33BCD039"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）会议召集人按《基金合同》约定公布会议通知后，在</w:t>
      </w:r>
      <w:r w:rsidRPr="002C2B23">
        <w:rPr>
          <w:bCs/>
          <w:sz w:val="24"/>
          <w:lang w:eastAsia="zh-CN"/>
        </w:rPr>
        <w:t>2</w:t>
      </w:r>
      <w:r w:rsidRPr="002C2B23">
        <w:rPr>
          <w:bCs/>
          <w:sz w:val="24"/>
          <w:lang w:eastAsia="zh-CN"/>
        </w:rPr>
        <w:t>个工作日内连续公布相关提示性公告；</w:t>
      </w:r>
    </w:p>
    <w:p w14:paraId="6D8CF06C"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52F057A5" w14:textId="77777777" w:rsidR="00C21F15" w:rsidRPr="002C2B23" w:rsidRDefault="00C21F15" w:rsidP="00C21F15">
      <w:pPr>
        <w:spacing w:line="360" w:lineRule="auto"/>
        <w:ind w:firstLine="540"/>
        <w:rPr>
          <w:bCs/>
          <w:sz w:val="24"/>
          <w:lang w:eastAsia="zh-CN"/>
        </w:rPr>
      </w:pPr>
      <w:r w:rsidRPr="002C2B23">
        <w:rPr>
          <w:bCs/>
          <w:sz w:val="24"/>
          <w:lang w:eastAsia="zh-CN"/>
        </w:rPr>
        <w:t>（</w:t>
      </w:r>
      <w:r w:rsidRPr="002C2B23">
        <w:rPr>
          <w:bCs/>
          <w:sz w:val="24"/>
          <w:lang w:eastAsia="zh-CN"/>
        </w:rPr>
        <w:t>3</w:t>
      </w:r>
      <w:r w:rsidRPr="002C2B23">
        <w:rPr>
          <w:bCs/>
          <w:sz w:val="24"/>
          <w:lang w:eastAsia="zh-CN"/>
        </w:rPr>
        <w:t>）本人直接出具表决意见或授权他人代表出具表决意见的，基金份额持有人所持有的基金份额不小于在权益登记日基金总份额的二分之一（含二分之一）；若本人直接出具表决意见或授权他人代表出具表决意见基金份额持有人所持有的基金份额小于在权益登记日基金总份额的二分之一，召集人可以在原公告的基金份额持有人大会召开时间的</w:t>
      </w:r>
      <w:r w:rsidRPr="002C2B23">
        <w:rPr>
          <w:bCs/>
          <w:sz w:val="24"/>
          <w:lang w:eastAsia="zh-CN"/>
        </w:rPr>
        <w:t>3</w:t>
      </w:r>
      <w:r w:rsidRPr="002C2B23">
        <w:rPr>
          <w:bCs/>
          <w:sz w:val="24"/>
          <w:lang w:eastAsia="zh-CN"/>
        </w:rPr>
        <w:t>个月以后、</w:t>
      </w:r>
      <w:r w:rsidRPr="002C2B23">
        <w:rPr>
          <w:bCs/>
          <w:sz w:val="24"/>
          <w:lang w:eastAsia="zh-CN"/>
        </w:rPr>
        <w:t>6</w:t>
      </w:r>
      <w:r w:rsidRPr="002C2B23">
        <w:rPr>
          <w:bCs/>
          <w:sz w:val="24"/>
          <w:lang w:eastAsia="zh-CN"/>
        </w:rPr>
        <w:t>个月以内，就原定审议事项重新召集基金份额持有人大会。重新召集的基金份额持有人大会应当有代表三分之一以上（含三分之一）基金份额的持有人直接出具表决意见或授权他人代表出具表决意见；</w:t>
      </w:r>
    </w:p>
    <w:p w14:paraId="695F2AE2"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4</w:t>
      </w:r>
      <w:r w:rsidRPr="002C2B23">
        <w:rPr>
          <w:bCs/>
          <w:sz w:val="24"/>
          <w:lang w:eastAsia="zh-CN"/>
        </w:rPr>
        <w:t>）上述第（</w:t>
      </w:r>
      <w:r w:rsidRPr="002C2B23">
        <w:rPr>
          <w:bCs/>
          <w:sz w:val="24"/>
          <w:lang w:eastAsia="zh-CN"/>
        </w:rPr>
        <w:t>3</w:t>
      </w:r>
      <w:r w:rsidRPr="002C2B23">
        <w:rPr>
          <w:bCs/>
          <w:sz w:val="24"/>
          <w:lang w:eastAsia="zh-CN"/>
        </w:rPr>
        <w:t>）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02FD070F" w14:textId="77777777" w:rsidR="00C21F15" w:rsidRPr="002C2B23" w:rsidRDefault="00C21F15" w:rsidP="00C21F15">
      <w:pPr>
        <w:spacing w:line="360" w:lineRule="auto"/>
        <w:ind w:firstLine="480"/>
        <w:rPr>
          <w:bCs/>
          <w:sz w:val="24"/>
          <w:lang w:eastAsia="zh-CN"/>
        </w:rPr>
      </w:pPr>
      <w:r w:rsidRPr="002C2B23">
        <w:rPr>
          <w:bCs/>
          <w:sz w:val="24"/>
          <w:lang w:eastAsia="zh-CN"/>
        </w:rPr>
        <w:t>3</w:t>
      </w:r>
      <w:r w:rsidRPr="002C2B23">
        <w:rPr>
          <w:bCs/>
          <w:sz w:val="24"/>
          <w:lang w:eastAsia="zh-CN"/>
        </w:rPr>
        <w:t>、在法律法规和监管机关允许的情况下，本基金的基金份额持有人亦可采用其他非书面方式授权其代理人出席基金份额持有人大会，授权方式可以采用书面、网络、电话、短信或其他方式，具体方式由会议召集人确定并在会议通知中列明。</w:t>
      </w:r>
    </w:p>
    <w:p w14:paraId="40046D97" w14:textId="77777777" w:rsidR="00C21F15" w:rsidRPr="002C2B23" w:rsidRDefault="00C21F15" w:rsidP="00C21F15">
      <w:pPr>
        <w:spacing w:line="360" w:lineRule="auto"/>
        <w:ind w:firstLine="480"/>
        <w:rPr>
          <w:rFonts w:ascii="宋体" w:hAnsi="宋体"/>
          <w:sz w:val="24"/>
          <w:lang w:eastAsia="zh-CN"/>
        </w:rPr>
      </w:pPr>
      <w:r w:rsidRPr="002C2B23">
        <w:rPr>
          <w:bCs/>
          <w:sz w:val="24"/>
          <w:lang w:eastAsia="zh-CN"/>
        </w:rPr>
        <w:t>4</w:t>
      </w:r>
      <w:r w:rsidRPr="002C2B23">
        <w:rPr>
          <w:bCs/>
          <w:sz w:val="24"/>
          <w:lang w:eastAsia="zh-CN"/>
        </w:rPr>
        <w:t>、在会议召开方式上，本基金亦可采用其他非现场方式或者以现场方式与非现场方式相结合的方式召开基金份额持有人大会，会议程序比照现场开会和通讯方式开会的程序进行。基金份额持有人可以采用书面、网络、电话、短信或其他方式进行表决，具体方式由会议召集人确定并在会议通知中列明。</w:t>
      </w:r>
    </w:p>
    <w:p w14:paraId="04ED1AF8" w14:textId="77777777" w:rsidR="00C21F15" w:rsidRPr="002C2B23" w:rsidRDefault="00C21F15" w:rsidP="00C21F15">
      <w:pPr>
        <w:spacing w:line="360" w:lineRule="auto"/>
        <w:ind w:firstLine="480"/>
        <w:rPr>
          <w:rFonts w:ascii="宋体" w:hAnsi="宋体"/>
          <w:sz w:val="24"/>
          <w:lang w:eastAsia="zh-CN"/>
        </w:rPr>
      </w:pPr>
      <w:r w:rsidRPr="002C2B23">
        <w:rPr>
          <w:rFonts w:ascii="宋体" w:hAnsi="宋体"/>
          <w:sz w:val="24"/>
          <w:lang w:eastAsia="zh-CN"/>
        </w:rPr>
        <w:t>（五）议事内容与程序</w:t>
      </w:r>
    </w:p>
    <w:p w14:paraId="17304FCC" w14:textId="77777777" w:rsidR="00C21F15" w:rsidRPr="002C2B23" w:rsidRDefault="00C21F15" w:rsidP="00C21F15">
      <w:pPr>
        <w:spacing w:line="360" w:lineRule="auto"/>
        <w:ind w:firstLine="480"/>
        <w:rPr>
          <w:bCs/>
          <w:sz w:val="24"/>
          <w:lang w:eastAsia="zh-CN"/>
        </w:rPr>
      </w:pPr>
      <w:r w:rsidRPr="002C2B23">
        <w:rPr>
          <w:bCs/>
          <w:sz w:val="24"/>
          <w:lang w:eastAsia="zh-CN"/>
        </w:rPr>
        <w:t>1</w:t>
      </w:r>
      <w:r w:rsidRPr="002C2B23">
        <w:rPr>
          <w:bCs/>
          <w:sz w:val="24"/>
          <w:lang w:eastAsia="zh-CN"/>
        </w:rPr>
        <w:t>、议事内容及提案权</w:t>
      </w:r>
    </w:p>
    <w:p w14:paraId="33720553" w14:textId="77777777" w:rsidR="00C21F15" w:rsidRPr="002C2B23" w:rsidRDefault="00C21F15" w:rsidP="00C21F15">
      <w:pPr>
        <w:spacing w:line="360" w:lineRule="auto"/>
        <w:ind w:firstLine="480"/>
        <w:rPr>
          <w:bCs/>
          <w:sz w:val="24"/>
          <w:lang w:eastAsia="zh-CN"/>
        </w:rPr>
      </w:pPr>
      <w:r w:rsidRPr="002C2B23">
        <w:rPr>
          <w:bCs/>
          <w:sz w:val="24"/>
          <w:lang w:eastAsia="zh-CN"/>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38430E2E" w14:textId="77777777" w:rsidR="00C21F15" w:rsidRPr="002C2B23" w:rsidRDefault="00C21F15" w:rsidP="00C21F15">
      <w:pPr>
        <w:spacing w:line="360" w:lineRule="auto"/>
        <w:ind w:firstLine="480"/>
        <w:rPr>
          <w:bCs/>
          <w:sz w:val="24"/>
          <w:lang w:eastAsia="zh-CN"/>
        </w:rPr>
      </w:pPr>
      <w:r w:rsidRPr="002C2B23">
        <w:rPr>
          <w:bCs/>
          <w:sz w:val="24"/>
          <w:lang w:eastAsia="zh-CN"/>
        </w:rPr>
        <w:t>基金份额持有人大会的召集人发出召集会议的通知后，对原有提案的修改应当在基金份额持有人大会召开前及时公告。</w:t>
      </w:r>
    </w:p>
    <w:p w14:paraId="7F83CA0E" w14:textId="77777777" w:rsidR="00C21F15" w:rsidRPr="002C2B23" w:rsidRDefault="00C21F15" w:rsidP="00C21F15">
      <w:pPr>
        <w:spacing w:line="360" w:lineRule="auto"/>
        <w:ind w:firstLine="480"/>
        <w:rPr>
          <w:bCs/>
          <w:sz w:val="24"/>
          <w:lang w:eastAsia="zh-CN"/>
        </w:rPr>
      </w:pPr>
      <w:r w:rsidRPr="002C2B23">
        <w:rPr>
          <w:bCs/>
          <w:sz w:val="24"/>
          <w:lang w:eastAsia="zh-CN"/>
        </w:rPr>
        <w:t>基金份额持有人大会不得对未事先公告的议事内容进行表决。</w:t>
      </w:r>
    </w:p>
    <w:p w14:paraId="7DEB88FF" w14:textId="77777777" w:rsidR="00C21F15" w:rsidRPr="002C2B23" w:rsidRDefault="00C21F15" w:rsidP="00C21F15">
      <w:pPr>
        <w:spacing w:line="360" w:lineRule="auto"/>
        <w:ind w:firstLine="480"/>
        <w:rPr>
          <w:bCs/>
          <w:sz w:val="24"/>
          <w:lang w:eastAsia="zh-CN"/>
        </w:rPr>
      </w:pPr>
      <w:r w:rsidRPr="002C2B23">
        <w:rPr>
          <w:bCs/>
          <w:sz w:val="24"/>
          <w:lang w:eastAsia="zh-CN"/>
        </w:rPr>
        <w:t>2</w:t>
      </w:r>
      <w:r w:rsidRPr="002C2B23">
        <w:rPr>
          <w:bCs/>
          <w:sz w:val="24"/>
          <w:lang w:eastAsia="zh-CN"/>
        </w:rPr>
        <w:t>、议事程序</w:t>
      </w:r>
    </w:p>
    <w:p w14:paraId="4FF3A00A"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）现场开会</w:t>
      </w:r>
    </w:p>
    <w:p w14:paraId="504F6DC8" w14:textId="77777777" w:rsidR="00C21F15" w:rsidRPr="002C2B23" w:rsidRDefault="00C21F15" w:rsidP="00C21F15">
      <w:pPr>
        <w:spacing w:line="360" w:lineRule="auto"/>
        <w:ind w:firstLine="480"/>
        <w:rPr>
          <w:bCs/>
          <w:sz w:val="24"/>
          <w:lang w:eastAsia="zh-CN"/>
        </w:rPr>
      </w:pPr>
      <w:r w:rsidRPr="002C2B23">
        <w:rPr>
          <w:bCs/>
          <w:sz w:val="24"/>
          <w:lang w:eastAsia="zh-CN"/>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二分之一以上（含二分之一）选举产生一名基金份额持有人作为该次基金份额持有人大会的主持人。基金管理人和基金托管人拒不出席或主持基金份额持有人大会，不影响基金份额持有人大会</w:t>
      </w:r>
      <w:proofErr w:type="gramStart"/>
      <w:r w:rsidRPr="002C2B23">
        <w:rPr>
          <w:bCs/>
          <w:sz w:val="24"/>
          <w:lang w:eastAsia="zh-CN"/>
        </w:rPr>
        <w:t>作出</w:t>
      </w:r>
      <w:proofErr w:type="gramEnd"/>
      <w:r w:rsidRPr="002C2B23">
        <w:rPr>
          <w:bCs/>
          <w:sz w:val="24"/>
          <w:lang w:eastAsia="zh-CN"/>
        </w:rPr>
        <w:t>的决议的效力。</w:t>
      </w:r>
    </w:p>
    <w:p w14:paraId="12337CCF" w14:textId="77777777" w:rsidR="00C21F15" w:rsidRPr="002C2B23" w:rsidRDefault="00C21F15" w:rsidP="00C21F15">
      <w:pPr>
        <w:spacing w:line="360" w:lineRule="auto"/>
        <w:ind w:firstLine="480"/>
        <w:rPr>
          <w:bCs/>
          <w:sz w:val="24"/>
          <w:lang w:eastAsia="zh-CN"/>
        </w:rPr>
      </w:pPr>
      <w:r w:rsidRPr="002C2B23">
        <w:rPr>
          <w:bCs/>
          <w:sz w:val="24"/>
          <w:lang w:eastAsia="zh-CN"/>
        </w:rPr>
        <w:t>会议召集人应当制作出席会议人员的签名册。签名</w:t>
      </w:r>
      <w:proofErr w:type="gramStart"/>
      <w:r w:rsidRPr="002C2B23">
        <w:rPr>
          <w:bCs/>
          <w:sz w:val="24"/>
          <w:lang w:eastAsia="zh-CN"/>
        </w:rPr>
        <w:t>册</w:t>
      </w:r>
      <w:proofErr w:type="gramEnd"/>
      <w:r w:rsidRPr="002C2B23">
        <w:rPr>
          <w:bCs/>
          <w:sz w:val="24"/>
          <w:lang w:eastAsia="zh-CN"/>
        </w:rPr>
        <w:t>载明参加会议人员姓名（或单位名称）、身份证明文件号码、持有或代表有表决权的基金份额、委托人姓名（或单位名称）和联系方式等事项。</w:t>
      </w:r>
    </w:p>
    <w:p w14:paraId="5C47BAEF"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）通讯开会</w:t>
      </w:r>
    </w:p>
    <w:p w14:paraId="46DB4355" w14:textId="77777777" w:rsidR="00C21F15" w:rsidRPr="002C2B23" w:rsidRDefault="00C21F15" w:rsidP="00C21F15">
      <w:pPr>
        <w:spacing w:line="360" w:lineRule="auto"/>
        <w:ind w:firstLine="480"/>
        <w:rPr>
          <w:rFonts w:ascii="宋体" w:hAnsi="宋体"/>
          <w:sz w:val="24"/>
          <w:lang w:eastAsia="zh-CN"/>
        </w:rPr>
      </w:pPr>
      <w:r w:rsidRPr="002C2B23">
        <w:rPr>
          <w:bCs/>
          <w:sz w:val="24"/>
          <w:lang w:eastAsia="zh-CN"/>
        </w:rPr>
        <w:t>在通讯开会的情况下，首先由召集人提前</w:t>
      </w:r>
      <w:r w:rsidRPr="002C2B23">
        <w:rPr>
          <w:bCs/>
          <w:sz w:val="24"/>
          <w:lang w:eastAsia="zh-CN"/>
        </w:rPr>
        <w:t>30</w:t>
      </w:r>
      <w:r w:rsidRPr="002C2B23">
        <w:rPr>
          <w:bCs/>
          <w:sz w:val="24"/>
          <w:lang w:eastAsia="zh-CN"/>
        </w:rPr>
        <w:t>日公布提案，在所通知的表决截止日期后</w:t>
      </w:r>
      <w:r w:rsidRPr="002C2B23">
        <w:rPr>
          <w:bCs/>
          <w:sz w:val="24"/>
          <w:lang w:eastAsia="zh-CN"/>
        </w:rPr>
        <w:t>2</w:t>
      </w:r>
      <w:r w:rsidRPr="002C2B23">
        <w:rPr>
          <w:bCs/>
          <w:sz w:val="24"/>
          <w:lang w:eastAsia="zh-CN"/>
        </w:rPr>
        <w:t>个工作日内在公证机关监督下由召集人统计全部有效表决，在公证机关监督下形成决议。</w:t>
      </w:r>
    </w:p>
    <w:p w14:paraId="64B2EBEB" w14:textId="77777777" w:rsidR="00C21F15" w:rsidRPr="002C2B23" w:rsidRDefault="00C21F15" w:rsidP="00C21F15">
      <w:pPr>
        <w:spacing w:line="360" w:lineRule="auto"/>
        <w:ind w:firstLine="480"/>
        <w:rPr>
          <w:rFonts w:ascii="宋体" w:hAnsi="宋体"/>
          <w:sz w:val="24"/>
          <w:lang w:eastAsia="zh-CN"/>
        </w:rPr>
      </w:pPr>
      <w:r w:rsidRPr="002C2B23">
        <w:rPr>
          <w:rFonts w:ascii="宋体" w:hAnsi="宋体"/>
          <w:sz w:val="24"/>
          <w:lang w:eastAsia="zh-CN"/>
        </w:rPr>
        <w:t>（六）表决</w:t>
      </w:r>
    </w:p>
    <w:p w14:paraId="3F11809F" w14:textId="77777777" w:rsidR="00C21F15" w:rsidRPr="002C2B23" w:rsidRDefault="00C21F15" w:rsidP="00C21F15">
      <w:pPr>
        <w:spacing w:line="360" w:lineRule="auto"/>
        <w:ind w:firstLine="480"/>
        <w:rPr>
          <w:bCs/>
          <w:sz w:val="24"/>
          <w:lang w:eastAsia="zh-CN"/>
        </w:rPr>
      </w:pPr>
      <w:r w:rsidRPr="002C2B23">
        <w:rPr>
          <w:bCs/>
          <w:sz w:val="24"/>
          <w:lang w:eastAsia="zh-CN"/>
        </w:rPr>
        <w:t>基金份额持有人所持每份基金份额有一票表决权。</w:t>
      </w:r>
    </w:p>
    <w:p w14:paraId="1D801CF8" w14:textId="77777777" w:rsidR="00C21F15" w:rsidRPr="002C2B23" w:rsidRDefault="00C21F15" w:rsidP="00C21F15">
      <w:pPr>
        <w:spacing w:line="360" w:lineRule="auto"/>
        <w:ind w:firstLine="480"/>
        <w:rPr>
          <w:bCs/>
          <w:sz w:val="24"/>
          <w:lang w:eastAsia="zh-CN"/>
        </w:rPr>
      </w:pPr>
      <w:r w:rsidRPr="002C2B23">
        <w:rPr>
          <w:bCs/>
          <w:sz w:val="24"/>
          <w:lang w:eastAsia="zh-CN"/>
        </w:rPr>
        <w:t>基金份额持有人大会决议分为一般决议和特别决议：</w:t>
      </w:r>
    </w:p>
    <w:p w14:paraId="56E41B54" w14:textId="77777777" w:rsidR="00C21F15" w:rsidRPr="002C2B23" w:rsidRDefault="00C21F15" w:rsidP="00C21F15">
      <w:pPr>
        <w:spacing w:line="360" w:lineRule="auto"/>
        <w:ind w:firstLine="480"/>
        <w:rPr>
          <w:bCs/>
          <w:sz w:val="24"/>
          <w:lang w:eastAsia="zh-CN"/>
        </w:rPr>
      </w:pPr>
      <w:r w:rsidRPr="002C2B23">
        <w:rPr>
          <w:bCs/>
          <w:sz w:val="24"/>
          <w:lang w:eastAsia="zh-CN"/>
        </w:rPr>
        <w:t>1</w:t>
      </w:r>
      <w:r w:rsidRPr="002C2B23">
        <w:rPr>
          <w:bCs/>
          <w:sz w:val="24"/>
          <w:lang w:eastAsia="zh-CN"/>
        </w:rPr>
        <w:t>、一般决议，一般决议须经参加大会的基金份额持有人或其代理人所持表决权的二分之一以上（含二分之一）通过方为有效；除下列第</w:t>
      </w:r>
      <w:r w:rsidRPr="002C2B23">
        <w:rPr>
          <w:bCs/>
          <w:sz w:val="24"/>
          <w:lang w:eastAsia="zh-CN"/>
        </w:rPr>
        <w:t>2</w:t>
      </w:r>
      <w:r w:rsidRPr="002C2B23">
        <w:rPr>
          <w:bCs/>
          <w:sz w:val="24"/>
          <w:lang w:eastAsia="zh-CN"/>
        </w:rPr>
        <w:t>项所规定的须以特别决议通过事项以外的其他事项均以一般决议的方式通过。</w:t>
      </w:r>
    </w:p>
    <w:p w14:paraId="07F93910" w14:textId="77777777" w:rsidR="00C21F15" w:rsidRPr="002C2B23" w:rsidRDefault="00C21F15" w:rsidP="00C21F15">
      <w:pPr>
        <w:spacing w:line="360" w:lineRule="auto"/>
        <w:ind w:firstLine="480"/>
        <w:rPr>
          <w:bCs/>
          <w:sz w:val="24"/>
          <w:lang w:eastAsia="zh-CN"/>
        </w:rPr>
      </w:pPr>
      <w:r w:rsidRPr="002C2B23">
        <w:rPr>
          <w:bCs/>
          <w:sz w:val="24"/>
          <w:lang w:eastAsia="zh-CN"/>
        </w:rPr>
        <w:t>2</w:t>
      </w:r>
      <w:r w:rsidRPr="002C2B23">
        <w:rPr>
          <w:bCs/>
          <w:sz w:val="24"/>
          <w:lang w:eastAsia="zh-CN"/>
        </w:rPr>
        <w:t>、特别决议，特别决议应当经参加大会的基金份额持有人或其代理人所持表决权的三分之二以上（含三分之二）通过方可做出。除法律法规、监管机构另有规定或基金合同另有约定外，转换基金运作方式、更换基金管理人或者基金托管人、终止《基金合同》、本基金与其他基金合并以特别决议通过方为有效。</w:t>
      </w:r>
    </w:p>
    <w:p w14:paraId="7F0EE297" w14:textId="77777777" w:rsidR="00C21F15" w:rsidRPr="002C2B23" w:rsidRDefault="00C21F15" w:rsidP="00C21F15">
      <w:pPr>
        <w:spacing w:line="360" w:lineRule="auto"/>
        <w:ind w:firstLine="480"/>
        <w:rPr>
          <w:bCs/>
          <w:sz w:val="24"/>
          <w:lang w:eastAsia="zh-CN"/>
        </w:rPr>
      </w:pPr>
      <w:r w:rsidRPr="002C2B23">
        <w:rPr>
          <w:bCs/>
          <w:sz w:val="24"/>
          <w:lang w:eastAsia="zh-CN"/>
        </w:rPr>
        <w:t>基金份额持有人大会采取记名方式进行投票表决。</w:t>
      </w:r>
    </w:p>
    <w:p w14:paraId="7917BB81" w14:textId="77777777" w:rsidR="00C21F15" w:rsidRPr="002C2B23" w:rsidRDefault="00C21F15" w:rsidP="00C21F15">
      <w:pPr>
        <w:spacing w:line="360" w:lineRule="auto"/>
        <w:ind w:firstLine="480"/>
        <w:rPr>
          <w:bCs/>
          <w:sz w:val="24"/>
          <w:lang w:eastAsia="zh-CN"/>
        </w:rPr>
      </w:pPr>
      <w:r w:rsidRPr="002C2B23">
        <w:rPr>
          <w:bCs/>
          <w:sz w:val="24"/>
          <w:lang w:eastAsia="zh-CN"/>
        </w:rPr>
        <w:t>采取通讯方式进行表决时，除非在计票时监督员及公证机关均认为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14:paraId="1E813F6C" w14:textId="77777777" w:rsidR="00C21F15" w:rsidRPr="002C2B23" w:rsidRDefault="00C21F15" w:rsidP="00C21F15">
      <w:pPr>
        <w:spacing w:line="360" w:lineRule="auto"/>
        <w:ind w:firstLine="480"/>
        <w:rPr>
          <w:rFonts w:ascii="宋体" w:hAnsi="宋体"/>
          <w:sz w:val="24"/>
          <w:lang w:eastAsia="zh-CN"/>
        </w:rPr>
      </w:pPr>
      <w:r w:rsidRPr="002C2B23">
        <w:rPr>
          <w:bCs/>
          <w:sz w:val="24"/>
          <w:lang w:eastAsia="zh-CN"/>
        </w:rPr>
        <w:t>基金份额持有人大会的各项提案或同一项提案内并列的各项议题应当分开审议、逐项表决。</w:t>
      </w:r>
    </w:p>
    <w:p w14:paraId="5F6AD9F0" w14:textId="77777777" w:rsidR="00C21F15" w:rsidRPr="002C2B23" w:rsidRDefault="00C21F15" w:rsidP="00C21F15">
      <w:pPr>
        <w:spacing w:line="360" w:lineRule="auto"/>
        <w:ind w:firstLine="480"/>
        <w:rPr>
          <w:rFonts w:ascii="宋体" w:hAnsi="宋体"/>
          <w:sz w:val="24"/>
          <w:lang w:eastAsia="zh-CN"/>
        </w:rPr>
      </w:pPr>
      <w:r w:rsidRPr="002C2B23">
        <w:rPr>
          <w:rFonts w:ascii="宋体" w:hAnsi="宋体"/>
          <w:sz w:val="24"/>
          <w:lang w:eastAsia="zh-CN"/>
        </w:rPr>
        <w:t>（七）计票</w:t>
      </w:r>
    </w:p>
    <w:p w14:paraId="2137C5E0" w14:textId="77777777" w:rsidR="00C21F15" w:rsidRPr="002C2B23" w:rsidRDefault="00C21F15" w:rsidP="00C21F15">
      <w:pPr>
        <w:spacing w:line="360" w:lineRule="auto"/>
        <w:ind w:firstLine="480"/>
        <w:rPr>
          <w:bCs/>
          <w:sz w:val="24"/>
          <w:lang w:eastAsia="zh-CN"/>
        </w:rPr>
      </w:pPr>
      <w:r w:rsidRPr="002C2B23">
        <w:rPr>
          <w:bCs/>
          <w:sz w:val="24"/>
          <w:lang w:eastAsia="zh-CN"/>
        </w:rPr>
        <w:t>1</w:t>
      </w:r>
      <w:r w:rsidRPr="002C2B23">
        <w:rPr>
          <w:bCs/>
          <w:sz w:val="24"/>
          <w:lang w:eastAsia="zh-CN"/>
        </w:rPr>
        <w:t>、现场开会</w:t>
      </w:r>
    </w:p>
    <w:p w14:paraId="73AED540"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w:t>
      </w:r>
      <w:proofErr w:type="gramStart"/>
      <w:r w:rsidRPr="002C2B23">
        <w:rPr>
          <w:bCs/>
          <w:sz w:val="24"/>
          <w:lang w:eastAsia="zh-CN"/>
        </w:rPr>
        <w:t>或大会</w:t>
      </w:r>
      <w:proofErr w:type="gramEnd"/>
      <w:r w:rsidRPr="002C2B23">
        <w:rPr>
          <w:bCs/>
          <w:sz w:val="24"/>
          <w:lang w:eastAsia="zh-CN"/>
        </w:rPr>
        <w:t>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1537DEE8"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）监票人应当在基金份额持有人表决后立即进行清点并由大会主持人当场公布计票结果。</w:t>
      </w:r>
    </w:p>
    <w:p w14:paraId="1B6F1811"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3</w:t>
      </w:r>
      <w:r w:rsidRPr="002C2B23">
        <w:rPr>
          <w:bCs/>
          <w:sz w:val="24"/>
          <w:lang w:eastAsia="zh-CN"/>
        </w:rPr>
        <w:t>）如果会议主持人或基金份额持有人或代理人对于提交的表决结果有怀疑，可以在宣布表决结果后立即对所投票</w:t>
      </w:r>
      <w:proofErr w:type="gramStart"/>
      <w:r w:rsidRPr="002C2B23">
        <w:rPr>
          <w:bCs/>
          <w:sz w:val="24"/>
          <w:lang w:eastAsia="zh-CN"/>
        </w:rPr>
        <w:t>数要求</w:t>
      </w:r>
      <w:proofErr w:type="gramEnd"/>
      <w:r w:rsidRPr="002C2B23">
        <w:rPr>
          <w:bCs/>
          <w:sz w:val="24"/>
          <w:lang w:eastAsia="zh-CN"/>
        </w:rPr>
        <w:t>进行重新清点。监票人应当进行重新清点，重新清点以一次为限。重新清点后，大会主持人应当当场公布重新清点结果。</w:t>
      </w:r>
    </w:p>
    <w:p w14:paraId="0FFAF6FB"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4</w:t>
      </w:r>
      <w:r w:rsidRPr="002C2B23">
        <w:rPr>
          <w:bCs/>
          <w:sz w:val="24"/>
          <w:lang w:eastAsia="zh-CN"/>
        </w:rPr>
        <w:t>）计票过程应由公证机关予以公证，基金管理人或基金托管人拒不出席大会的，不影响计票的效力。</w:t>
      </w:r>
    </w:p>
    <w:p w14:paraId="29E1B481" w14:textId="77777777" w:rsidR="00C21F15" w:rsidRPr="002C2B23" w:rsidRDefault="00C21F15" w:rsidP="00C21F15">
      <w:pPr>
        <w:spacing w:line="360" w:lineRule="auto"/>
        <w:ind w:firstLine="480"/>
        <w:rPr>
          <w:bCs/>
          <w:sz w:val="24"/>
          <w:lang w:eastAsia="zh-CN"/>
        </w:rPr>
      </w:pPr>
      <w:r w:rsidRPr="002C2B23">
        <w:rPr>
          <w:bCs/>
          <w:sz w:val="24"/>
          <w:lang w:eastAsia="zh-CN"/>
        </w:rPr>
        <w:t>2</w:t>
      </w:r>
      <w:r w:rsidRPr="002C2B23">
        <w:rPr>
          <w:bCs/>
          <w:sz w:val="24"/>
          <w:lang w:eastAsia="zh-CN"/>
        </w:rPr>
        <w:t>、通讯开会</w:t>
      </w:r>
    </w:p>
    <w:p w14:paraId="52D690FA" w14:textId="77777777" w:rsidR="00C21F15" w:rsidRPr="002C2B23" w:rsidRDefault="00C21F15" w:rsidP="00C21F15">
      <w:pPr>
        <w:spacing w:line="360" w:lineRule="auto"/>
        <w:ind w:firstLine="480"/>
        <w:rPr>
          <w:rFonts w:ascii="宋体" w:hAnsi="宋体"/>
          <w:sz w:val="24"/>
          <w:lang w:eastAsia="zh-CN"/>
        </w:rPr>
      </w:pPr>
      <w:r w:rsidRPr="002C2B23">
        <w:rPr>
          <w:bCs/>
          <w:sz w:val="24"/>
          <w:lang w:eastAsia="zh-CN"/>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w:t>
      </w:r>
      <w:proofErr w:type="gramStart"/>
      <w:r w:rsidRPr="002C2B23">
        <w:rPr>
          <w:bCs/>
          <w:sz w:val="24"/>
          <w:lang w:eastAsia="zh-CN"/>
        </w:rPr>
        <w:t>人拒派</w:t>
      </w:r>
      <w:proofErr w:type="gramEnd"/>
      <w:r w:rsidRPr="002C2B23">
        <w:rPr>
          <w:bCs/>
          <w:sz w:val="24"/>
          <w:lang w:eastAsia="zh-CN"/>
        </w:rPr>
        <w:t>代表对表决意见的计票进行监督的，不影响计票和表决结果。</w:t>
      </w:r>
    </w:p>
    <w:p w14:paraId="0C84B80A" w14:textId="77777777" w:rsidR="00C21F15" w:rsidRPr="002C2B23" w:rsidRDefault="00C21F15" w:rsidP="00C21F15">
      <w:pPr>
        <w:spacing w:line="360" w:lineRule="auto"/>
        <w:ind w:firstLine="480"/>
        <w:rPr>
          <w:rFonts w:ascii="宋体" w:hAnsi="宋体"/>
          <w:sz w:val="24"/>
          <w:lang w:eastAsia="zh-CN"/>
        </w:rPr>
      </w:pPr>
      <w:r w:rsidRPr="002C2B23">
        <w:rPr>
          <w:rFonts w:ascii="宋体" w:hAnsi="宋体"/>
          <w:sz w:val="24"/>
          <w:lang w:eastAsia="zh-CN"/>
        </w:rPr>
        <w:t>（八）生效与公告</w:t>
      </w:r>
    </w:p>
    <w:p w14:paraId="5A951CB7" w14:textId="77777777" w:rsidR="00C21F15" w:rsidRPr="002C2B23" w:rsidRDefault="00C21F15" w:rsidP="00C21F15">
      <w:pPr>
        <w:spacing w:line="360" w:lineRule="auto"/>
        <w:ind w:firstLine="480"/>
        <w:rPr>
          <w:bCs/>
          <w:sz w:val="24"/>
          <w:lang w:eastAsia="zh-CN"/>
        </w:rPr>
      </w:pPr>
      <w:r w:rsidRPr="002C2B23">
        <w:rPr>
          <w:bCs/>
          <w:sz w:val="24"/>
          <w:lang w:eastAsia="zh-CN"/>
        </w:rPr>
        <w:t>基金份额持有人大会的决议，召集人应当自通过之日起</w:t>
      </w:r>
      <w:r w:rsidRPr="002C2B23">
        <w:rPr>
          <w:bCs/>
          <w:sz w:val="24"/>
          <w:lang w:eastAsia="zh-CN"/>
        </w:rPr>
        <w:t>5</w:t>
      </w:r>
      <w:r w:rsidRPr="002C2B23">
        <w:rPr>
          <w:bCs/>
          <w:sz w:val="24"/>
          <w:lang w:eastAsia="zh-CN"/>
        </w:rPr>
        <w:t>日内报中国证监会备案。</w:t>
      </w:r>
    </w:p>
    <w:p w14:paraId="257B8474" w14:textId="77777777" w:rsidR="00C21F15" w:rsidRPr="002C2B23" w:rsidRDefault="00C21F15" w:rsidP="00C21F15">
      <w:pPr>
        <w:spacing w:line="360" w:lineRule="auto"/>
        <w:ind w:firstLine="480"/>
        <w:rPr>
          <w:bCs/>
          <w:sz w:val="24"/>
          <w:lang w:eastAsia="zh-CN"/>
        </w:rPr>
      </w:pPr>
      <w:r w:rsidRPr="002C2B23">
        <w:rPr>
          <w:bCs/>
          <w:sz w:val="24"/>
          <w:lang w:eastAsia="zh-CN"/>
        </w:rPr>
        <w:t>基金份额持有人大会的决议自表决通过之日起生效。</w:t>
      </w:r>
    </w:p>
    <w:p w14:paraId="0E95262B" w14:textId="77777777" w:rsidR="00C21F15" w:rsidRPr="002C2B23" w:rsidRDefault="00C21F15" w:rsidP="00C21F15">
      <w:pPr>
        <w:spacing w:line="360" w:lineRule="auto"/>
        <w:ind w:firstLine="480"/>
        <w:rPr>
          <w:bCs/>
          <w:sz w:val="24"/>
          <w:lang w:eastAsia="zh-CN"/>
        </w:rPr>
      </w:pPr>
      <w:r w:rsidRPr="002C2B23">
        <w:rPr>
          <w:bCs/>
          <w:sz w:val="24"/>
          <w:lang w:eastAsia="zh-CN"/>
        </w:rPr>
        <w:t>基金份额持有人大会决议自生效之日起按规定在规定媒介上公告。如果采用通讯方式进行表决，在公告基金份额持有人大会决议时，必须将公证书全文、公证机构、公证员姓名等一同公告。</w:t>
      </w:r>
    </w:p>
    <w:p w14:paraId="0AE5F2CD" w14:textId="77777777" w:rsidR="00C21F15" w:rsidRPr="002C2B23" w:rsidRDefault="00C21F15" w:rsidP="00C21F15">
      <w:pPr>
        <w:spacing w:line="360" w:lineRule="auto"/>
        <w:ind w:firstLine="480"/>
        <w:rPr>
          <w:rFonts w:ascii="宋体" w:hAnsi="宋体"/>
          <w:sz w:val="24"/>
          <w:lang w:eastAsia="zh-CN"/>
        </w:rPr>
      </w:pPr>
      <w:r w:rsidRPr="002C2B23">
        <w:rPr>
          <w:bCs/>
          <w:sz w:val="24"/>
          <w:lang w:eastAsia="zh-CN"/>
        </w:rPr>
        <w:t>基金管理人、基金托管人和基金份额持有人应当执行生效的基金份额持有人大会的决议。生效的基金份额持有人大会决议对全体基金份额持有人、基金管理人、基金托管人均有约束力。</w:t>
      </w:r>
    </w:p>
    <w:p w14:paraId="32A05846" w14:textId="77777777" w:rsidR="00C21F15" w:rsidRPr="002C2B23" w:rsidRDefault="00C21F15" w:rsidP="00C21F15">
      <w:pPr>
        <w:spacing w:line="360" w:lineRule="auto"/>
        <w:ind w:firstLine="480"/>
        <w:rPr>
          <w:rFonts w:ascii="宋体" w:hAnsi="宋体"/>
          <w:sz w:val="24"/>
          <w:lang w:eastAsia="zh-CN"/>
        </w:rPr>
      </w:pPr>
      <w:r w:rsidRPr="002C2B23">
        <w:rPr>
          <w:rFonts w:ascii="宋体" w:hAnsi="宋体"/>
          <w:sz w:val="24"/>
          <w:lang w:eastAsia="zh-CN"/>
        </w:rPr>
        <w:t>（九）实施</w:t>
      </w:r>
      <w:proofErr w:type="gramStart"/>
      <w:r w:rsidRPr="002C2B23">
        <w:rPr>
          <w:rFonts w:ascii="宋体" w:hAnsi="宋体"/>
          <w:sz w:val="24"/>
          <w:lang w:eastAsia="zh-CN"/>
        </w:rPr>
        <w:t>侧袋机制</w:t>
      </w:r>
      <w:proofErr w:type="gramEnd"/>
      <w:r w:rsidRPr="002C2B23">
        <w:rPr>
          <w:rFonts w:ascii="宋体" w:hAnsi="宋体"/>
          <w:sz w:val="24"/>
          <w:lang w:eastAsia="zh-CN"/>
        </w:rPr>
        <w:t>期间基金份额持有人大会的特殊约定</w:t>
      </w:r>
    </w:p>
    <w:p w14:paraId="4C6738F1" w14:textId="77777777" w:rsidR="00C21F15" w:rsidRPr="002C2B23" w:rsidRDefault="00C21F15" w:rsidP="00C21F15">
      <w:pPr>
        <w:spacing w:line="360" w:lineRule="auto"/>
        <w:ind w:firstLine="480"/>
        <w:rPr>
          <w:rFonts w:ascii="宋体" w:hAnsi="宋体"/>
          <w:sz w:val="24"/>
          <w:lang w:eastAsia="zh-CN"/>
        </w:rPr>
      </w:pPr>
      <w:r w:rsidRPr="002C2B23">
        <w:rPr>
          <w:rFonts w:ascii="宋体" w:hAnsi="宋体"/>
          <w:sz w:val="24"/>
          <w:lang w:eastAsia="zh-CN"/>
        </w:rPr>
        <w:t>若本基金</w:t>
      </w:r>
      <w:proofErr w:type="gramStart"/>
      <w:r w:rsidRPr="002C2B23">
        <w:rPr>
          <w:rFonts w:ascii="宋体" w:hAnsi="宋体"/>
          <w:sz w:val="24"/>
          <w:lang w:eastAsia="zh-CN"/>
        </w:rPr>
        <w:t>实施侧袋机制</w:t>
      </w:r>
      <w:proofErr w:type="gramEnd"/>
      <w:r w:rsidRPr="002C2B23">
        <w:rPr>
          <w:rFonts w:ascii="宋体" w:hAnsi="宋体"/>
          <w:sz w:val="24"/>
          <w:lang w:eastAsia="zh-CN"/>
        </w:rPr>
        <w:t>，</w:t>
      </w:r>
      <w:proofErr w:type="gramStart"/>
      <w:r w:rsidRPr="002C2B23">
        <w:rPr>
          <w:rFonts w:ascii="宋体" w:hAnsi="宋体"/>
          <w:sz w:val="24"/>
          <w:lang w:eastAsia="zh-CN"/>
        </w:rPr>
        <w:t>则相关</w:t>
      </w:r>
      <w:proofErr w:type="gramEnd"/>
      <w:r w:rsidRPr="002C2B23">
        <w:rPr>
          <w:rFonts w:ascii="宋体" w:hAnsi="宋体"/>
          <w:sz w:val="24"/>
          <w:lang w:eastAsia="zh-CN"/>
        </w:rPr>
        <w:t>基金份额或表决权的比例</w:t>
      </w:r>
      <w:proofErr w:type="gramStart"/>
      <w:r w:rsidRPr="002C2B23">
        <w:rPr>
          <w:rFonts w:ascii="宋体" w:hAnsi="宋体"/>
          <w:sz w:val="24"/>
          <w:lang w:eastAsia="zh-CN"/>
        </w:rPr>
        <w:t>指主袋份额</w:t>
      </w:r>
      <w:proofErr w:type="gramEnd"/>
      <w:r w:rsidRPr="002C2B23">
        <w:rPr>
          <w:rFonts w:ascii="宋体" w:hAnsi="宋体"/>
          <w:sz w:val="24"/>
          <w:lang w:eastAsia="zh-CN"/>
        </w:rPr>
        <w:t>持有</w:t>
      </w:r>
      <w:proofErr w:type="gramStart"/>
      <w:r w:rsidRPr="002C2B23">
        <w:rPr>
          <w:rFonts w:ascii="宋体" w:hAnsi="宋体"/>
          <w:sz w:val="24"/>
          <w:lang w:eastAsia="zh-CN"/>
        </w:rPr>
        <w:t>人和侧袋份额</w:t>
      </w:r>
      <w:proofErr w:type="gramEnd"/>
      <w:r w:rsidRPr="002C2B23">
        <w:rPr>
          <w:rFonts w:ascii="宋体" w:hAnsi="宋体"/>
          <w:sz w:val="24"/>
          <w:lang w:eastAsia="zh-CN"/>
        </w:rPr>
        <w:t>持有人分别持有或代表的基金份额或表决权符合该等比例，但</w:t>
      </w:r>
      <w:proofErr w:type="gramStart"/>
      <w:r w:rsidRPr="002C2B23">
        <w:rPr>
          <w:rFonts w:ascii="宋体" w:hAnsi="宋体"/>
          <w:sz w:val="24"/>
          <w:lang w:eastAsia="zh-CN"/>
        </w:rPr>
        <w:t>若相关</w:t>
      </w:r>
      <w:proofErr w:type="gramEnd"/>
      <w:r w:rsidRPr="002C2B23">
        <w:rPr>
          <w:rFonts w:ascii="宋体" w:hAnsi="宋体"/>
          <w:sz w:val="24"/>
          <w:lang w:eastAsia="zh-CN"/>
        </w:rPr>
        <w:t>基金份额持有人大会召集和审议事项不</w:t>
      </w:r>
      <w:proofErr w:type="gramStart"/>
      <w:r w:rsidRPr="002C2B23">
        <w:rPr>
          <w:rFonts w:ascii="宋体" w:hAnsi="宋体"/>
          <w:sz w:val="24"/>
          <w:lang w:eastAsia="zh-CN"/>
        </w:rPr>
        <w:t>涉及侧袋账户</w:t>
      </w:r>
      <w:proofErr w:type="gramEnd"/>
      <w:r w:rsidRPr="002C2B23">
        <w:rPr>
          <w:rFonts w:ascii="宋体" w:hAnsi="宋体"/>
          <w:sz w:val="24"/>
          <w:lang w:eastAsia="zh-CN"/>
        </w:rPr>
        <w:t>的，则仅</w:t>
      </w:r>
      <w:proofErr w:type="gramStart"/>
      <w:r w:rsidRPr="002C2B23">
        <w:rPr>
          <w:rFonts w:ascii="宋体" w:hAnsi="宋体"/>
          <w:sz w:val="24"/>
          <w:lang w:eastAsia="zh-CN"/>
        </w:rPr>
        <w:t>指主袋份额</w:t>
      </w:r>
      <w:proofErr w:type="gramEnd"/>
      <w:r w:rsidRPr="002C2B23">
        <w:rPr>
          <w:rFonts w:ascii="宋体" w:hAnsi="宋体"/>
          <w:sz w:val="24"/>
          <w:lang w:eastAsia="zh-CN"/>
        </w:rPr>
        <w:t>持有人持有或代表的基金份额或表决权符合该等比例：</w:t>
      </w:r>
    </w:p>
    <w:p w14:paraId="2F004247" w14:textId="77777777" w:rsidR="00C21F15" w:rsidRPr="002C2B23" w:rsidRDefault="00C21F15" w:rsidP="00C21F15">
      <w:pPr>
        <w:spacing w:line="360" w:lineRule="auto"/>
        <w:ind w:firstLine="480"/>
        <w:rPr>
          <w:rFonts w:ascii="宋体" w:hAnsi="宋体"/>
          <w:sz w:val="24"/>
          <w:lang w:eastAsia="zh-CN"/>
        </w:rPr>
      </w:pPr>
      <w:r w:rsidRPr="002C2B23">
        <w:rPr>
          <w:rFonts w:ascii="宋体" w:hAnsi="宋体"/>
          <w:sz w:val="24"/>
          <w:lang w:eastAsia="zh-CN"/>
        </w:rPr>
        <w:t>1、基金份额持有人行使提议权、召集权、提名权所需单独或合计代表相关基金份额10%以上（含10%）；</w:t>
      </w:r>
    </w:p>
    <w:p w14:paraId="37FB77A2" w14:textId="77777777" w:rsidR="00C21F15" w:rsidRPr="002C2B23" w:rsidRDefault="00C21F15" w:rsidP="00C21F15">
      <w:pPr>
        <w:spacing w:line="360" w:lineRule="auto"/>
        <w:ind w:firstLine="480"/>
        <w:rPr>
          <w:rFonts w:ascii="宋体" w:hAnsi="宋体"/>
          <w:sz w:val="24"/>
          <w:lang w:eastAsia="zh-CN"/>
        </w:rPr>
      </w:pPr>
      <w:r w:rsidRPr="002C2B23">
        <w:rPr>
          <w:rFonts w:ascii="宋体" w:hAnsi="宋体"/>
          <w:sz w:val="24"/>
          <w:lang w:eastAsia="zh-CN"/>
        </w:rPr>
        <w:t>2、现场开会的到会者在权益登记日代表的基金份额不少于本基金在权益登记</w:t>
      </w:r>
      <w:proofErr w:type="gramStart"/>
      <w:r w:rsidRPr="002C2B23">
        <w:rPr>
          <w:rFonts w:ascii="宋体" w:hAnsi="宋体"/>
          <w:sz w:val="24"/>
          <w:lang w:eastAsia="zh-CN"/>
        </w:rPr>
        <w:t>日相关</w:t>
      </w:r>
      <w:proofErr w:type="gramEnd"/>
      <w:r w:rsidRPr="002C2B23">
        <w:rPr>
          <w:rFonts w:ascii="宋体" w:hAnsi="宋体"/>
          <w:sz w:val="24"/>
          <w:lang w:eastAsia="zh-CN"/>
        </w:rPr>
        <w:t>基金份额的二分之一（含二分之一）；</w:t>
      </w:r>
    </w:p>
    <w:p w14:paraId="45295386" w14:textId="77777777" w:rsidR="00C21F15" w:rsidRPr="002C2B23" w:rsidRDefault="00C21F15" w:rsidP="00C21F15">
      <w:pPr>
        <w:spacing w:line="360" w:lineRule="auto"/>
        <w:ind w:firstLine="480"/>
        <w:rPr>
          <w:rFonts w:ascii="宋体" w:hAnsi="宋体"/>
          <w:sz w:val="24"/>
          <w:lang w:eastAsia="zh-CN"/>
        </w:rPr>
      </w:pPr>
      <w:r w:rsidRPr="002C2B23">
        <w:rPr>
          <w:rFonts w:ascii="宋体" w:hAnsi="宋体"/>
          <w:sz w:val="24"/>
          <w:lang w:eastAsia="zh-CN"/>
        </w:rPr>
        <w:t>3、通讯开会的直接出具表决意见或授权他人代表出具表决意见的基金份额持有人所持有的基金份额不小于在权益登记</w:t>
      </w:r>
      <w:proofErr w:type="gramStart"/>
      <w:r w:rsidRPr="002C2B23">
        <w:rPr>
          <w:rFonts w:ascii="宋体" w:hAnsi="宋体"/>
          <w:sz w:val="24"/>
          <w:lang w:eastAsia="zh-CN"/>
        </w:rPr>
        <w:t>日相关</w:t>
      </w:r>
      <w:proofErr w:type="gramEnd"/>
      <w:r w:rsidRPr="002C2B23">
        <w:rPr>
          <w:rFonts w:ascii="宋体" w:hAnsi="宋体"/>
          <w:sz w:val="24"/>
          <w:lang w:eastAsia="zh-CN"/>
        </w:rPr>
        <w:t>基金份额的二分之一（含二分之一）；</w:t>
      </w:r>
    </w:p>
    <w:p w14:paraId="5D761511" w14:textId="77777777" w:rsidR="00C21F15" w:rsidRPr="002C2B23" w:rsidRDefault="00C21F15" w:rsidP="00C21F15">
      <w:pPr>
        <w:spacing w:line="360" w:lineRule="auto"/>
        <w:ind w:firstLine="480"/>
        <w:rPr>
          <w:rFonts w:ascii="宋体" w:hAnsi="宋体"/>
          <w:sz w:val="24"/>
          <w:lang w:eastAsia="zh-CN"/>
        </w:rPr>
      </w:pPr>
      <w:r w:rsidRPr="002C2B23">
        <w:rPr>
          <w:rFonts w:ascii="宋体" w:hAnsi="宋体"/>
          <w:sz w:val="24"/>
          <w:lang w:eastAsia="zh-CN"/>
        </w:rPr>
        <w:t>4、当参与基金份额持有人大会投票的基金份额持有人所持有的基金份额小于在权益登记</w:t>
      </w:r>
      <w:proofErr w:type="gramStart"/>
      <w:r w:rsidRPr="002C2B23">
        <w:rPr>
          <w:rFonts w:ascii="宋体" w:hAnsi="宋体"/>
          <w:sz w:val="24"/>
          <w:lang w:eastAsia="zh-CN"/>
        </w:rPr>
        <w:t>日相关</w:t>
      </w:r>
      <w:proofErr w:type="gramEnd"/>
      <w:r w:rsidRPr="002C2B23">
        <w:rPr>
          <w:rFonts w:ascii="宋体" w:hAnsi="宋体"/>
          <w:sz w:val="24"/>
          <w:lang w:eastAsia="zh-CN"/>
        </w:rPr>
        <w:t>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14:paraId="161321C4" w14:textId="77777777" w:rsidR="00C21F15" w:rsidRPr="002C2B23" w:rsidRDefault="00C21F15" w:rsidP="00C21F15">
      <w:pPr>
        <w:spacing w:line="360" w:lineRule="auto"/>
        <w:ind w:firstLine="480"/>
        <w:rPr>
          <w:rFonts w:ascii="宋体" w:hAnsi="宋体"/>
          <w:sz w:val="24"/>
          <w:lang w:eastAsia="zh-CN"/>
        </w:rPr>
      </w:pPr>
      <w:r w:rsidRPr="002C2B23">
        <w:rPr>
          <w:rFonts w:ascii="宋体" w:hAnsi="宋体"/>
          <w:sz w:val="24"/>
          <w:lang w:eastAsia="zh-CN"/>
        </w:rPr>
        <w:t>5、现场开会由出席大会的基金份额持有人和代理人所持表决权的50%以上（含50%）选举产生一名基金份额持有人作为该次基金份额持有人大会的主持人；</w:t>
      </w:r>
    </w:p>
    <w:p w14:paraId="770327F4" w14:textId="77777777" w:rsidR="00C21F15" w:rsidRPr="002C2B23" w:rsidRDefault="00C21F15" w:rsidP="00C21F15">
      <w:pPr>
        <w:spacing w:line="360" w:lineRule="auto"/>
        <w:ind w:firstLine="480"/>
        <w:rPr>
          <w:rFonts w:ascii="宋体" w:hAnsi="宋体"/>
          <w:sz w:val="24"/>
          <w:lang w:eastAsia="zh-CN"/>
        </w:rPr>
      </w:pPr>
      <w:r w:rsidRPr="002C2B23">
        <w:rPr>
          <w:rFonts w:ascii="宋体" w:hAnsi="宋体"/>
          <w:sz w:val="24"/>
          <w:lang w:eastAsia="zh-CN"/>
        </w:rPr>
        <w:t>6、一般决议须经参加大会的基金份额持有人或其代理人所持表决权的二分之一以上（含二分之一）通过；</w:t>
      </w:r>
    </w:p>
    <w:p w14:paraId="4F20ADFB" w14:textId="77777777" w:rsidR="00C21F15" w:rsidRPr="002C2B23" w:rsidRDefault="00C21F15" w:rsidP="00C21F15">
      <w:pPr>
        <w:spacing w:line="360" w:lineRule="auto"/>
        <w:ind w:firstLine="480"/>
        <w:rPr>
          <w:rFonts w:ascii="宋体" w:hAnsi="宋体"/>
          <w:sz w:val="24"/>
          <w:lang w:eastAsia="zh-CN"/>
        </w:rPr>
      </w:pPr>
      <w:r w:rsidRPr="002C2B23">
        <w:rPr>
          <w:rFonts w:ascii="宋体" w:hAnsi="宋体"/>
          <w:sz w:val="24"/>
          <w:lang w:eastAsia="zh-CN"/>
        </w:rPr>
        <w:t>7、特别决议应当经参加大会的基金份额持有人或其代理人所持表决权的三分之二以上（含三分之二）通过。</w:t>
      </w:r>
    </w:p>
    <w:p w14:paraId="33BF5738" w14:textId="77777777" w:rsidR="00C21F15" w:rsidRPr="002C2B23" w:rsidRDefault="00C21F15" w:rsidP="00C21F15">
      <w:pPr>
        <w:spacing w:line="360" w:lineRule="auto"/>
        <w:ind w:firstLine="480"/>
        <w:rPr>
          <w:rFonts w:ascii="宋体" w:hAnsi="宋体"/>
          <w:sz w:val="24"/>
          <w:lang w:eastAsia="zh-CN"/>
        </w:rPr>
      </w:pPr>
      <w:proofErr w:type="gramStart"/>
      <w:r w:rsidRPr="002C2B23">
        <w:rPr>
          <w:rFonts w:ascii="宋体" w:hAnsi="宋体"/>
          <w:sz w:val="24"/>
          <w:lang w:eastAsia="zh-CN"/>
        </w:rPr>
        <w:t>侧袋机制</w:t>
      </w:r>
      <w:proofErr w:type="gramEnd"/>
      <w:r w:rsidRPr="002C2B23">
        <w:rPr>
          <w:rFonts w:ascii="宋体" w:hAnsi="宋体"/>
          <w:sz w:val="24"/>
          <w:lang w:eastAsia="zh-CN"/>
        </w:rPr>
        <w:t>实施期间，基金份额持有人大会审议事项</w:t>
      </w:r>
      <w:proofErr w:type="gramStart"/>
      <w:r w:rsidRPr="002C2B23">
        <w:rPr>
          <w:rFonts w:ascii="宋体" w:hAnsi="宋体"/>
          <w:sz w:val="24"/>
          <w:lang w:eastAsia="zh-CN"/>
        </w:rPr>
        <w:t>涉及主袋账户</w:t>
      </w:r>
      <w:proofErr w:type="gramEnd"/>
      <w:r w:rsidRPr="002C2B23">
        <w:rPr>
          <w:rFonts w:ascii="宋体" w:hAnsi="宋体"/>
          <w:sz w:val="24"/>
          <w:lang w:eastAsia="zh-CN"/>
        </w:rPr>
        <w:t>和</w:t>
      </w:r>
      <w:proofErr w:type="gramStart"/>
      <w:r w:rsidRPr="002C2B23">
        <w:rPr>
          <w:rFonts w:ascii="宋体" w:hAnsi="宋体"/>
          <w:sz w:val="24"/>
          <w:lang w:eastAsia="zh-CN"/>
        </w:rPr>
        <w:t>侧袋</w:t>
      </w:r>
      <w:proofErr w:type="gramEnd"/>
      <w:r w:rsidRPr="002C2B23">
        <w:rPr>
          <w:rFonts w:ascii="宋体" w:hAnsi="宋体"/>
          <w:sz w:val="24"/>
          <w:lang w:eastAsia="zh-CN"/>
        </w:rPr>
        <w:t>账户的，应分别</w:t>
      </w:r>
      <w:proofErr w:type="gramStart"/>
      <w:r w:rsidRPr="002C2B23">
        <w:rPr>
          <w:rFonts w:ascii="宋体" w:hAnsi="宋体"/>
          <w:sz w:val="24"/>
          <w:lang w:eastAsia="zh-CN"/>
        </w:rPr>
        <w:t>由主袋账户</w:t>
      </w:r>
      <w:proofErr w:type="gramEnd"/>
      <w:r w:rsidRPr="002C2B23">
        <w:rPr>
          <w:rFonts w:ascii="宋体" w:hAnsi="宋体"/>
          <w:sz w:val="24"/>
          <w:lang w:eastAsia="zh-CN"/>
        </w:rPr>
        <w:t>、</w:t>
      </w:r>
      <w:proofErr w:type="gramStart"/>
      <w:r w:rsidRPr="002C2B23">
        <w:rPr>
          <w:rFonts w:ascii="宋体" w:hAnsi="宋体"/>
          <w:sz w:val="24"/>
          <w:lang w:eastAsia="zh-CN"/>
        </w:rPr>
        <w:t>侧袋账户</w:t>
      </w:r>
      <w:proofErr w:type="gramEnd"/>
      <w:r w:rsidRPr="002C2B23">
        <w:rPr>
          <w:rFonts w:ascii="宋体" w:hAnsi="宋体"/>
          <w:sz w:val="24"/>
          <w:lang w:eastAsia="zh-CN"/>
        </w:rPr>
        <w:t>的基金份额持有人进行表决，同</w:t>
      </w:r>
      <w:proofErr w:type="gramStart"/>
      <w:r w:rsidRPr="002C2B23">
        <w:rPr>
          <w:rFonts w:ascii="宋体" w:hAnsi="宋体"/>
          <w:sz w:val="24"/>
          <w:lang w:eastAsia="zh-CN"/>
        </w:rPr>
        <w:t>一主侧袋账户</w:t>
      </w:r>
      <w:proofErr w:type="gramEnd"/>
      <w:r w:rsidRPr="002C2B23">
        <w:rPr>
          <w:rFonts w:ascii="宋体" w:hAnsi="宋体"/>
          <w:sz w:val="24"/>
          <w:lang w:eastAsia="zh-CN"/>
        </w:rPr>
        <w:t>内同一类别的每份基金份额具有平等的表决权。表决事项未</w:t>
      </w:r>
      <w:proofErr w:type="gramStart"/>
      <w:r w:rsidRPr="002C2B23">
        <w:rPr>
          <w:rFonts w:ascii="宋体" w:hAnsi="宋体"/>
          <w:sz w:val="24"/>
          <w:lang w:eastAsia="zh-CN"/>
        </w:rPr>
        <w:t>涉及侧袋账户</w:t>
      </w:r>
      <w:proofErr w:type="gramEnd"/>
      <w:r w:rsidRPr="002C2B23">
        <w:rPr>
          <w:rFonts w:ascii="宋体" w:hAnsi="宋体"/>
          <w:sz w:val="24"/>
          <w:lang w:eastAsia="zh-CN"/>
        </w:rPr>
        <w:t>的，</w:t>
      </w:r>
      <w:proofErr w:type="gramStart"/>
      <w:r w:rsidRPr="002C2B23">
        <w:rPr>
          <w:rFonts w:ascii="宋体" w:hAnsi="宋体"/>
          <w:sz w:val="24"/>
          <w:lang w:eastAsia="zh-CN"/>
        </w:rPr>
        <w:t>侧袋账户</w:t>
      </w:r>
      <w:proofErr w:type="gramEnd"/>
      <w:r w:rsidRPr="002C2B23">
        <w:rPr>
          <w:rFonts w:ascii="宋体" w:hAnsi="宋体"/>
          <w:sz w:val="24"/>
          <w:lang w:eastAsia="zh-CN"/>
        </w:rPr>
        <w:t>份额无表决权。</w:t>
      </w:r>
    </w:p>
    <w:p w14:paraId="4E81BB70" w14:textId="77777777" w:rsidR="00C21F15" w:rsidRPr="002C2B23" w:rsidRDefault="00C21F15" w:rsidP="00C21F15">
      <w:pPr>
        <w:spacing w:line="360" w:lineRule="auto"/>
        <w:ind w:firstLine="480"/>
        <w:rPr>
          <w:rFonts w:ascii="宋体" w:hAnsi="宋体"/>
          <w:sz w:val="24"/>
          <w:lang w:eastAsia="zh-CN"/>
        </w:rPr>
      </w:pPr>
      <w:proofErr w:type="gramStart"/>
      <w:r w:rsidRPr="002C2B23">
        <w:rPr>
          <w:rFonts w:ascii="宋体" w:hAnsi="宋体"/>
          <w:sz w:val="24"/>
          <w:lang w:eastAsia="zh-CN"/>
        </w:rPr>
        <w:t>侧袋机制</w:t>
      </w:r>
      <w:proofErr w:type="gramEnd"/>
      <w:r w:rsidRPr="002C2B23">
        <w:rPr>
          <w:rFonts w:ascii="宋体" w:hAnsi="宋体"/>
          <w:sz w:val="24"/>
          <w:lang w:eastAsia="zh-CN"/>
        </w:rPr>
        <w:t>实施期间，关于基金份额持有人大会的相关规定以本节特殊约定内容为准，本节没有规定的适用上文相关约定。</w:t>
      </w:r>
    </w:p>
    <w:p w14:paraId="62008516" w14:textId="77777777" w:rsidR="00C21F15" w:rsidRPr="002C2B23" w:rsidRDefault="00C21F15" w:rsidP="00C21F15">
      <w:pPr>
        <w:spacing w:line="360" w:lineRule="auto"/>
        <w:ind w:firstLine="480"/>
        <w:rPr>
          <w:rFonts w:ascii="宋体" w:hAnsi="宋体"/>
          <w:sz w:val="24"/>
          <w:lang w:eastAsia="zh-CN"/>
        </w:rPr>
      </w:pPr>
      <w:r w:rsidRPr="002C2B23">
        <w:rPr>
          <w:rFonts w:ascii="宋体" w:hAnsi="宋体"/>
          <w:sz w:val="24"/>
          <w:lang w:eastAsia="zh-CN"/>
        </w:rPr>
        <w:t>（十）本部</w:t>
      </w:r>
      <w:proofErr w:type="gramStart"/>
      <w:r w:rsidRPr="002C2B23">
        <w:rPr>
          <w:rFonts w:ascii="宋体" w:hAnsi="宋体"/>
          <w:sz w:val="24"/>
          <w:lang w:eastAsia="zh-CN"/>
        </w:rPr>
        <w:t>分关于</w:t>
      </w:r>
      <w:proofErr w:type="gramEnd"/>
      <w:r w:rsidRPr="002C2B23">
        <w:rPr>
          <w:rFonts w:ascii="宋体" w:hAnsi="宋体"/>
          <w:sz w:val="24"/>
          <w:lang w:eastAsia="zh-CN"/>
        </w:rPr>
        <w:t>基金份额持有人大会召开事由、召开条件、议事程序、表决条件等规定，凡是直接引用法律法规或监管规则的部分，如将来法律法规或监管规则修改导致相关内容被取消或变更的，基金管理人提前公告后，可直接对本部分内容进行修改和调整，无需召开基金份额持有人大会审议。</w:t>
      </w:r>
    </w:p>
    <w:p w14:paraId="48FE8F2F" w14:textId="77777777" w:rsidR="00C21F15" w:rsidRPr="002C2B23" w:rsidRDefault="00C21F15" w:rsidP="00C21F15">
      <w:pPr>
        <w:spacing w:line="360" w:lineRule="auto"/>
        <w:ind w:firstLine="480"/>
        <w:rPr>
          <w:rFonts w:ascii="宋体" w:hAnsi="宋体"/>
          <w:sz w:val="24"/>
          <w:lang w:eastAsia="zh-CN"/>
        </w:rPr>
      </w:pPr>
      <w:r w:rsidRPr="002C2B23">
        <w:rPr>
          <w:rFonts w:ascii="宋体" w:hAnsi="宋体"/>
          <w:sz w:val="24"/>
          <w:lang w:eastAsia="zh-CN"/>
        </w:rPr>
        <w:t>三、基金收益分配原则</w:t>
      </w:r>
    </w:p>
    <w:p w14:paraId="68C7D105" w14:textId="77777777" w:rsidR="00C21F15" w:rsidRPr="002C2B23" w:rsidRDefault="00C21F15" w:rsidP="00C21F15">
      <w:pPr>
        <w:spacing w:line="360" w:lineRule="auto"/>
        <w:ind w:firstLine="540"/>
        <w:rPr>
          <w:bCs/>
          <w:sz w:val="24"/>
          <w:lang w:eastAsia="zh-CN"/>
        </w:rPr>
      </w:pPr>
      <w:r w:rsidRPr="002C2B23">
        <w:rPr>
          <w:bCs/>
          <w:sz w:val="24"/>
          <w:lang w:eastAsia="zh-CN"/>
        </w:rPr>
        <w:t>1</w:t>
      </w:r>
      <w:r w:rsidRPr="002C2B23">
        <w:rPr>
          <w:bCs/>
          <w:sz w:val="24"/>
          <w:lang w:eastAsia="zh-CN"/>
        </w:rPr>
        <w:t>、由于本基金</w:t>
      </w:r>
      <w:r w:rsidRPr="002C2B23">
        <w:rPr>
          <w:bCs/>
          <w:sz w:val="24"/>
          <w:lang w:eastAsia="zh-CN"/>
        </w:rPr>
        <w:t>A</w:t>
      </w:r>
      <w:r w:rsidRPr="002C2B23">
        <w:rPr>
          <w:bCs/>
          <w:sz w:val="24"/>
          <w:lang w:eastAsia="zh-CN"/>
        </w:rPr>
        <w:t>类基金份额不收取销售服务费，而</w:t>
      </w:r>
      <w:r w:rsidRPr="002C2B23">
        <w:rPr>
          <w:bCs/>
          <w:sz w:val="24"/>
          <w:lang w:eastAsia="zh-CN"/>
        </w:rPr>
        <w:t>C</w:t>
      </w:r>
      <w:r w:rsidRPr="002C2B23">
        <w:rPr>
          <w:bCs/>
          <w:sz w:val="24"/>
          <w:lang w:eastAsia="zh-CN"/>
        </w:rPr>
        <w:t>类基金份额收取销售服务费，各基金份额类别对应的可供分配利润将有所不同，本基金同一类别的每一基金份额享有同等分配权；</w:t>
      </w:r>
    </w:p>
    <w:p w14:paraId="54AA8994" w14:textId="77777777" w:rsidR="00C21F15" w:rsidRPr="002C2B23" w:rsidRDefault="00C21F15" w:rsidP="00C21F15">
      <w:pPr>
        <w:spacing w:line="360" w:lineRule="auto"/>
        <w:ind w:firstLine="540"/>
        <w:rPr>
          <w:bCs/>
          <w:sz w:val="24"/>
          <w:lang w:eastAsia="zh-CN"/>
        </w:rPr>
      </w:pPr>
      <w:r w:rsidRPr="002C2B23">
        <w:rPr>
          <w:bCs/>
          <w:sz w:val="24"/>
          <w:lang w:eastAsia="zh-CN"/>
        </w:rPr>
        <w:t>2</w:t>
      </w:r>
      <w:r w:rsidRPr="002C2B23">
        <w:rPr>
          <w:bCs/>
          <w:sz w:val="24"/>
          <w:lang w:eastAsia="zh-CN"/>
        </w:rPr>
        <w:t>、本基金收益分配方式分两种：现金分红与红利再投资，投资者可选择现金红利或将现金红利自动转为相应类别的基金份额进行再投资，</w:t>
      </w:r>
      <w:proofErr w:type="gramStart"/>
      <w:r w:rsidRPr="002C2B23">
        <w:rPr>
          <w:bCs/>
          <w:sz w:val="24"/>
          <w:lang w:eastAsia="zh-CN"/>
        </w:rPr>
        <w:t>且基金</w:t>
      </w:r>
      <w:proofErr w:type="gramEnd"/>
      <w:r w:rsidRPr="002C2B23">
        <w:rPr>
          <w:bCs/>
          <w:sz w:val="24"/>
          <w:lang w:eastAsia="zh-CN"/>
        </w:rPr>
        <w:t>份额持有人可对</w:t>
      </w:r>
      <w:r w:rsidRPr="002C2B23">
        <w:rPr>
          <w:bCs/>
          <w:sz w:val="24"/>
          <w:lang w:eastAsia="zh-CN"/>
        </w:rPr>
        <w:t>A</w:t>
      </w:r>
      <w:r w:rsidRPr="002C2B23">
        <w:rPr>
          <w:bCs/>
          <w:sz w:val="24"/>
          <w:lang w:eastAsia="zh-CN"/>
        </w:rPr>
        <w:t>类、</w:t>
      </w:r>
      <w:r w:rsidRPr="002C2B23">
        <w:rPr>
          <w:bCs/>
          <w:sz w:val="24"/>
          <w:lang w:eastAsia="zh-CN"/>
        </w:rPr>
        <w:t>C</w:t>
      </w:r>
      <w:r w:rsidRPr="002C2B23">
        <w:rPr>
          <w:bCs/>
          <w:sz w:val="24"/>
          <w:lang w:eastAsia="zh-CN"/>
        </w:rPr>
        <w:t>类基金份额分别选择不同的分红方式；若投资者不选择，本基金默认的收益分配方式是现金分红；</w:t>
      </w:r>
      <w:r w:rsidRPr="002C2B23">
        <w:rPr>
          <w:bCs/>
          <w:sz w:val="24"/>
          <w:lang w:eastAsia="zh-CN"/>
        </w:rPr>
        <w:t xml:space="preserve"> </w:t>
      </w:r>
    </w:p>
    <w:p w14:paraId="2D6CC7A9" w14:textId="77777777" w:rsidR="00C21F15" w:rsidRPr="002C2B23" w:rsidRDefault="00C21F15" w:rsidP="00C21F15">
      <w:pPr>
        <w:spacing w:line="360" w:lineRule="auto"/>
        <w:ind w:firstLine="540"/>
        <w:rPr>
          <w:bCs/>
          <w:sz w:val="24"/>
          <w:lang w:eastAsia="zh-CN"/>
        </w:rPr>
      </w:pPr>
      <w:r w:rsidRPr="002C2B23">
        <w:rPr>
          <w:bCs/>
          <w:sz w:val="24"/>
          <w:lang w:eastAsia="zh-CN"/>
        </w:rPr>
        <w:t>3</w:t>
      </w:r>
      <w:r w:rsidRPr="002C2B23">
        <w:rPr>
          <w:bCs/>
          <w:sz w:val="24"/>
          <w:lang w:eastAsia="zh-CN"/>
        </w:rPr>
        <w:t>、基金收益分配后各类基金份额净值不能低于面值，即基金收益分配基准日的各类基金份额净值减去每单位该类基金份额收益分配金额后不能低于面值；</w:t>
      </w:r>
    </w:p>
    <w:p w14:paraId="41347084" w14:textId="77777777" w:rsidR="00C21F15" w:rsidRPr="002C2B23" w:rsidRDefault="00C21F15" w:rsidP="00C21F15">
      <w:pPr>
        <w:spacing w:line="360" w:lineRule="auto"/>
        <w:ind w:firstLine="540"/>
        <w:rPr>
          <w:bCs/>
          <w:sz w:val="24"/>
          <w:lang w:eastAsia="zh-CN"/>
        </w:rPr>
      </w:pPr>
      <w:r w:rsidRPr="002C2B23">
        <w:rPr>
          <w:bCs/>
          <w:sz w:val="24"/>
          <w:lang w:eastAsia="zh-CN"/>
        </w:rPr>
        <w:t>4</w:t>
      </w:r>
      <w:r w:rsidRPr="002C2B23">
        <w:rPr>
          <w:bCs/>
          <w:sz w:val="24"/>
          <w:lang w:eastAsia="zh-CN"/>
        </w:rPr>
        <w:t>、法律法规或监管机关另有规定的，从其规定。</w:t>
      </w:r>
    </w:p>
    <w:p w14:paraId="13CD54CB" w14:textId="77777777" w:rsidR="00C21F15" w:rsidRPr="002C2B23" w:rsidRDefault="00C21F15" w:rsidP="00C21F15">
      <w:pPr>
        <w:spacing w:line="360" w:lineRule="auto"/>
        <w:ind w:firstLine="480"/>
        <w:rPr>
          <w:rFonts w:ascii="宋体" w:hAnsi="宋体"/>
          <w:sz w:val="24"/>
          <w:lang w:eastAsia="zh-CN"/>
        </w:rPr>
      </w:pPr>
      <w:r w:rsidRPr="002C2B23">
        <w:rPr>
          <w:bCs/>
          <w:sz w:val="24"/>
          <w:lang w:eastAsia="zh-CN"/>
        </w:rPr>
        <w:t>在符合法律法规及基金合同约定，并对基金份额持有人利益无实质不利影响的前提下，基金管理人与基金托管人协商一致后可对基金收益分配原则和支付方式进行调整，不需召开基金份额持有人大会</w:t>
      </w:r>
      <w:r w:rsidRPr="002C2B23">
        <w:rPr>
          <w:rFonts w:hint="eastAsia"/>
          <w:bCs/>
          <w:sz w:val="24"/>
          <w:lang w:eastAsia="zh-CN"/>
        </w:rPr>
        <w:t>，应于调整实施前在规定媒介公告</w:t>
      </w:r>
      <w:r w:rsidRPr="002C2B23">
        <w:rPr>
          <w:bCs/>
          <w:sz w:val="24"/>
          <w:lang w:eastAsia="zh-CN"/>
        </w:rPr>
        <w:t>。</w:t>
      </w:r>
    </w:p>
    <w:p w14:paraId="473AA53F" w14:textId="77777777" w:rsidR="00C21F15" w:rsidRPr="002C2B23" w:rsidRDefault="00C21F15" w:rsidP="00C21F15">
      <w:pPr>
        <w:spacing w:line="360" w:lineRule="auto"/>
        <w:ind w:firstLine="480"/>
        <w:rPr>
          <w:sz w:val="24"/>
          <w:lang w:eastAsia="zh-CN"/>
        </w:rPr>
      </w:pPr>
      <w:r w:rsidRPr="002C2B23">
        <w:rPr>
          <w:sz w:val="24"/>
          <w:lang w:eastAsia="zh-CN"/>
        </w:rPr>
        <w:t>四、基金财产管理、有关费用的提取、支付方式与比例</w:t>
      </w:r>
    </w:p>
    <w:p w14:paraId="2FE22FE3" w14:textId="77777777" w:rsidR="00C21F15" w:rsidRPr="002C2B23" w:rsidRDefault="00C21F15" w:rsidP="00C21F15">
      <w:pPr>
        <w:spacing w:line="360" w:lineRule="auto"/>
        <w:ind w:firstLine="480"/>
        <w:rPr>
          <w:bCs/>
          <w:sz w:val="24"/>
          <w:lang w:eastAsia="zh-CN"/>
        </w:rPr>
      </w:pPr>
      <w:r w:rsidRPr="002C2B23">
        <w:rPr>
          <w:bCs/>
          <w:sz w:val="24"/>
          <w:lang w:eastAsia="zh-CN"/>
        </w:rPr>
        <w:t>1</w:t>
      </w:r>
      <w:r w:rsidRPr="002C2B23">
        <w:rPr>
          <w:bCs/>
          <w:sz w:val="24"/>
          <w:lang w:eastAsia="zh-CN"/>
        </w:rPr>
        <w:t>、基金管理人的管理费</w:t>
      </w:r>
      <w:r w:rsidRPr="002C2B23">
        <w:rPr>
          <w:bCs/>
          <w:sz w:val="24"/>
          <w:lang w:eastAsia="zh-CN"/>
        </w:rPr>
        <w:t xml:space="preserve"> </w:t>
      </w:r>
    </w:p>
    <w:p w14:paraId="1353F4AE" w14:textId="77777777" w:rsidR="00C21F15" w:rsidRPr="002C2B23" w:rsidRDefault="00C21F15" w:rsidP="00C21F15">
      <w:pPr>
        <w:spacing w:line="360" w:lineRule="auto"/>
        <w:ind w:firstLine="480"/>
        <w:rPr>
          <w:bCs/>
          <w:sz w:val="24"/>
          <w:lang w:eastAsia="zh-CN"/>
        </w:rPr>
      </w:pPr>
      <w:r w:rsidRPr="002C2B23">
        <w:rPr>
          <w:bCs/>
          <w:sz w:val="24"/>
          <w:lang w:eastAsia="zh-CN"/>
        </w:rPr>
        <w:t>本基金的管理费按前一日基金资产净值的</w:t>
      </w:r>
      <w:r w:rsidRPr="002C2B23">
        <w:rPr>
          <w:bCs/>
          <w:sz w:val="24"/>
          <w:lang w:eastAsia="zh-CN"/>
        </w:rPr>
        <w:t>1.20%</w:t>
      </w:r>
      <w:r w:rsidRPr="002C2B23">
        <w:rPr>
          <w:bCs/>
          <w:sz w:val="24"/>
          <w:lang w:eastAsia="zh-CN"/>
        </w:rPr>
        <w:t>的年费率计提。管理费的计算方法如下：</w:t>
      </w:r>
    </w:p>
    <w:p w14:paraId="16DE6931" w14:textId="77777777" w:rsidR="00C21F15" w:rsidRPr="002C2B23" w:rsidRDefault="00C21F15" w:rsidP="00C21F15">
      <w:pPr>
        <w:spacing w:line="360" w:lineRule="auto"/>
        <w:ind w:firstLine="480"/>
        <w:rPr>
          <w:bCs/>
          <w:sz w:val="24"/>
          <w:lang w:eastAsia="zh-CN"/>
        </w:rPr>
      </w:pPr>
      <w:r w:rsidRPr="002C2B23">
        <w:rPr>
          <w:bCs/>
          <w:sz w:val="24"/>
          <w:lang w:eastAsia="zh-CN"/>
        </w:rPr>
        <w:t>H</w:t>
      </w:r>
      <w:r w:rsidRPr="002C2B23">
        <w:rPr>
          <w:bCs/>
          <w:sz w:val="24"/>
          <w:lang w:eastAsia="zh-CN"/>
        </w:rPr>
        <w:t>＝</w:t>
      </w:r>
      <w:r w:rsidRPr="002C2B23">
        <w:rPr>
          <w:bCs/>
          <w:sz w:val="24"/>
          <w:lang w:eastAsia="zh-CN"/>
        </w:rPr>
        <w:t>E×1.20%÷</w:t>
      </w:r>
      <w:r w:rsidRPr="002C2B23">
        <w:rPr>
          <w:bCs/>
          <w:sz w:val="24"/>
          <w:lang w:eastAsia="zh-CN"/>
        </w:rPr>
        <w:t>当年天数</w:t>
      </w:r>
    </w:p>
    <w:p w14:paraId="6D763632" w14:textId="77777777" w:rsidR="00C21F15" w:rsidRPr="002C2B23" w:rsidRDefault="00C21F15" w:rsidP="00C21F15">
      <w:pPr>
        <w:spacing w:line="360" w:lineRule="auto"/>
        <w:ind w:firstLine="480"/>
        <w:rPr>
          <w:bCs/>
          <w:sz w:val="24"/>
          <w:lang w:eastAsia="zh-CN"/>
        </w:rPr>
      </w:pPr>
      <w:r w:rsidRPr="002C2B23">
        <w:rPr>
          <w:bCs/>
          <w:sz w:val="24"/>
          <w:lang w:eastAsia="zh-CN"/>
        </w:rPr>
        <w:t>H</w:t>
      </w:r>
      <w:r w:rsidRPr="002C2B23">
        <w:rPr>
          <w:bCs/>
          <w:sz w:val="24"/>
          <w:lang w:eastAsia="zh-CN"/>
        </w:rPr>
        <w:t>为每日应计提的基金管理费</w:t>
      </w:r>
    </w:p>
    <w:p w14:paraId="6B09FB3F" w14:textId="77777777" w:rsidR="00C21F15" w:rsidRPr="002C2B23" w:rsidRDefault="00C21F15" w:rsidP="00C21F15">
      <w:pPr>
        <w:spacing w:line="360" w:lineRule="auto"/>
        <w:ind w:firstLine="480"/>
        <w:rPr>
          <w:bCs/>
          <w:sz w:val="24"/>
          <w:lang w:eastAsia="zh-CN"/>
        </w:rPr>
      </w:pPr>
      <w:r w:rsidRPr="002C2B23">
        <w:rPr>
          <w:bCs/>
          <w:sz w:val="24"/>
          <w:lang w:eastAsia="zh-CN"/>
        </w:rPr>
        <w:t>E</w:t>
      </w:r>
      <w:r w:rsidRPr="002C2B23">
        <w:rPr>
          <w:bCs/>
          <w:sz w:val="24"/>
          <w:lang w:eastAsia="zh-CN"/>
        </w:rPr>
        <w:t>为前一日的基金资产净值</w:t>
      </w:r>
    </w:p>
    <w:p w14:paraId="78F88D0E" w14:textId="77777777" w:rsidR="00C21F15" w:rsidRPr="002C2B23" w:rsidRDefault="00C21F15" w:rsidP="00C21F15">
      <w:pPr>
        <w:spacing w:line="360" w:lineRule="auto"/>
        <w:ind w:firstLine="480"/>
        <w:rPr>
          <w:bCs/>
          <w:sz w:val="24"/>
          <w:lang w:eastAsia="zh-CN"/>
        </w:rPr>
      </w:pPr>
      <w:r w:rsidRPr="002C2B23">
        <w:rPr>
          <w:bCs/>
          <w:sz w:val="24"/>
          <w:lang w:eastAsia="zh-CN"/>
        </w:rPr>
        <w:t>基金管理费每日计</w:t>
      </w:r>
      <w:r w:rsidRPr="002C2B23">
        <w:rPr>
          <w:rFonts w:hint="eastAsia"/>
          <w:bCs/>
          <w:sz w:val="24"/>
          <w:lang w:eastAsia="zh-CN"/>
        </w:rPr>
        <w:t>提</w:t>
      </w:r>
      <w:r w:rsidRPr="002C2B23">
        <w:rPr>
          <w:bCs/>
          <w:sz w:val="24"/>
          <w:lang w:eastAsia="zh-CN"/>
        </w:rPr>
        <w:t>，逐日累计至每月月末，按月支付，</w:t>
      </w:r>
      <w:r w:rsidRPr="002C2B23">
        <w:rPr>
          <w:rFonts w:hint="eastAsia"/>
          <w:bCs/>
          <w:sz w:val="24"/>
          <w:lang w:eastAsia="zh-CN"/>
        </w:rPr>
        <w:t>由基金托管人根据与基金管理人核对一致的财务数据，基金托管人自动于月初</w:t>
      </w:r>
      <w:r w:rsidRPr="002C2B23">
        <w:rPr>
          <w:rFonts w:hint="eastAsia"/>
          <w:bCs/>
          <w:sz w:val="24"/>
          <w:lang w:eastAsia="zh-CN"/>
        </w:rPr>
        <w:t>5</w:t>
      </w:r>
      <w:proofErr w:type="gramStart"/>
      <w:r w:rsidRPr="002C2B23">
        <w:rPr>
          <w:rFonts w:hint="eastAsia"/>
          <w:bCs/>
          <w:sz w:val="24"/>
          <w:lang w:eastAsia="zh-CN"/>
        </w:rPr>
        <w:t>个</w:t>
      </w:r>
      <w:proofErr w:type="gramEnd"/>
      <w:r w:rsidRPr="002C2B23">
        <w:rPr>
          <w:rFonts w:hint="eastAsia"/>
          <w:bCs/>
          <w:sz w:val="24"/>
          <w:lang w:eastAsia="zh-CN"/>
        </w:rPr>
        <w:t>工作日内、按照指定的账户路径从基金财产中一次性支付，基金管理人无需再出具资金划拨指令。若遇法定节假日、休息日、不可抗力等，支付日期顺延。费用自动扣划后，管理人应进行核对，如发现数据不符，及时联系托管人协商解决。</w:t>
      </w:r>
    </w:p>
    <w:p w14:paraId="724844F3" w14:textId="77777777" w:rsidR="00C21F15" w:rsidRPr="002C2B23" w:rsidRDefault="00C21F15" w:rsidP="00C21F15">
      <w:pPr>
        <w:spacing w:line="360" w:lineRule="auto"/>
        <w:ind w:firstLine="480"/>
        <w:rPr>
          <w:bCs/>
          <w:sz w:val="24"/>
          <w:lang w:eastAsia="zh-CN"/>
        </w:rPr>
      </w:pPr>
      <w:r w:rsidRPr="002C2B23">
        <w:rPr>
          <w:bCs/>
          <w:sz w:val="24"/>
          <w:lang w:eastAsia="zh-CN"/>
        </w:rPr>
        <w:t>2</w:t>
      </w:r>
      <w:r w:rsidRPr="002C2B23">
        <w:rPr>
          <w:bCs/>
          <w:sz w:val="24"/>
          <w:lang w:eastAsia="zh-CN"/>
        </w:rPr>
        <w:t>、基金托管人的托管费</w:t>
      </w:r>
    </w:p>
    <w:p w14:paraId="598A09A6" w14:textId="77777777" w:rsidR="00C21F15" w:rsidRPr="002C2B23" w:rsidRDefault="00C21F15" w:rsidP="00C21F15">
      <w:pPr>
        <w:spacing w:line="360" w:lineRule="auto"/>
        <w:ind w:firstLine="480"/>
        <w:rPr>
          <w:bCs/>
          <w:sz w:val="24"/>
          <w:lang w:eastAsia="zh-CN"/>
        </w:rPr>
      </w:pPr>
      <w:r w:rsidRPr="002C2B23">
        <w:rPr>
          <w:bCs/>
          <w:sz w:val="24"/>
          <w:lang w:eastAsia="zh-CN"/>
        </w:rPr>
        <w:t>本基金的托管费按前一日基金资产净值的</w:t>
      </w:r>
      <w:r w:rsidRPr="002C2B23">
        <w:rPr>
          <w:bCs/>
          <w:sz w:val="24"/>
          <w:lang w:eastAsia="zh-CN"/>
        </w:rPr>
        <w:t>0.20%</w:t>
      </w:r>
      <w:r w:rsidRPr="002C2B23">
        <w:rPr>
          <w:bCs/>
          <w:sz w:val="24"/>
          <w:lang w:eastAsia="zh-CN"/>
        </w:rPr>
        <w:t>的年费率计提。托管费的计算方法如下：</w:t>
      </w:r>
    </w:p>
    <w:p w14:paraId="1FA10A63" w14:textId="77777777" w:rsidR="00C21F15" w:rsidRPr="002C2B23" w:rsidRDefault="00C21F15" w:rsidP="00C21F15">
      <w:pPr>
        <w:spacing w:line="360" w:lineRule="auto"/>
        <w:ind w:firstLine="480"/>
        <w:rPr>
          <w:bCs/>
          <w:sz w:val="24"/>
          <w:lang w:eastAsia="zh-CN"/>
        </w:rPr>
      </w:pPr>
      <w:r w:rsidRPr="002C2B23">
        <w:rPr>
          <w:bCs/>
          <w:sz w:val="24"/>
          <w:lang w:eastAsia="zh-CN"/>
        </w:rPr>
        <w:t>H</w:t>
      </w:r>
      <w:r w:rsidRPr="002C2B23">
        <w:rPr>
          <w:bCs/>
          <w:sz w:val="24"/>
          <w:lang w:eastAsia="zh-CN"/>
        </w:rPr>
        <w:t>＝</w:t>
      </w:r>
      <w:r w:rsidRPr="002C2B23">
        <w:rPr>
          <w:bCs/>
          <w:sz w:val="24"/>
          <w:lang w:eastAsia="zh-CN"/>
        </w:rPr>
        <w:t>E×0.20%÷</w:t>
      </w:r>
      <w:r w:rsidRPr="002C2B23">
        <w:rPr>
          <w:bCs/>
          <w:sz w:val="24"/>
          <w:lang w:eastAsia="zh-CN"/>
        </w:rPr>
        <w:t>当年天数</w:t>
      </w:r>
    </w:p>
    <w:p w14:paraId="00182CB8" w14:textId="77777777" w:rsidR="00C21F15" w:rsidRPr="002C2B23" w:rsidRDefault="00C21F15" w:rsidP="00C21F15">
      <w:pPr>
        <w:spacing w:line="360" w:lineRule="auto"/>
        <w:ind w:firstLine="480"/>
        <w:rPr>
          <w:bCs/>
          <w:sz w:val="24"/>
          <w:lang w:eastAsia="zh-CN"/>
        </w:rPr>
      </w:pPr>
      <w:r w:rsidRPr="002C2B23">
        <w:rPr>
          <w:bCs/>
          <w:sz w:val="24"/>
          <w:lang w:eastAsia="zh-CN"/>
        </w:rPr>
        <w:t>H</w:t>
      </w:r>
      <w:r w:rsidRPr="002C2B23">
        <w:rPr>
          <w:bCs/>
          <w:sz w:val="24"/>
          <w:lang w:eastAsia="zh-CN"/>
        </w:rPr>
        <w:t>为每日应计提的基金托管费</w:t>
      </w:r>
    </w:p>
    <w:p w14:paraId="3A783D86" w14:textId="77777777" w:rsidR="00C21F15" w:rsidRPr="002C2B23" w:rsidRDefault="00C21F15" w:rsidP="00C21F15">
      <w:pPr>
        <w:spacing w:line="360" w:lineRule="auto"/>
        <w:ind w:firstLine="480"/>
        <w:rPr>
          <w:bCs/>
          <w:sz w:val="24"/>
          <w:lang w:eastAsia="zh-CN"/>
        </w:rPr>
      </w:pPr>
      <w:r w:rsidRPr="002C2B23">
        <w:rPr>
          <w:bCs/>
          <w:sz w:val="24"/>
          <w:lang w:eastAsia="zh-CN"/>
        </w:rPr>
        <w:t>E</w:t>
      </w:r>
      <w:r w:rsidRPr="002C2B23">
        <w:rPr>
          <w:bCs/>
          <w:sz w:val="24"/>
          <w:lang w:eastAsia="zh-CN"/>
        </w:rPr>
        <w:t>为前一日的基金资产净值</w:t>
      </w:r>
    </w:p>
    <w:p w14:paraId="31DD1DBE" w14:textId="77777777" w:rsidR="00C21F15" w:rsidRPr="002C2B23" w:rsidRDefault="00C21F15" w:rsidP="00C21F15">
      <w:pPr>
        <w:spacing w:line="360" w:lineRule="auto"/>
        <w:ind w:firstLine="480"/>
        <w:rPr>
          <w:bCs/>
          <w:sz w:val="24"/>
          <w:lang w:eastAsia="zh-CN"/>
        </w:rPr>
      </w:pPr>
      <w:r w:rsidRPr="002C2B23">
        <w:rPr>
          <w:bCs/>
          <w:sz w:val="24"/>
          <w:lang w:eastAsia="zh-CN"/>
        </w:rPr>
        <w:t>基金托管费每日计提，逐日累计至每月月末，按月支付，</w:t>
      </w:r>
      <w:r w:rsidRPr="002C2B23">
        <w:rPr>
          <w:rFonts w:hint="eastAsia"/>
          <w:bCs/>
          <w:sz w:val="24"/>
          <w:lang w:eastAsia="zh-CN"/>
        </w:rPr>
        <w:t>由基金托管人根据与基金管理人核对一致的财务数据，基金托管人自动于月初</w:t>
      </w:r>
      <w:r w:rsidRPr="002C2B23">
        <w:rPr>
          <w:rFonts w:hint="eastAsia"/>
          <w:bCs/>
          <w:sz w:val="24"/>
          <w:lang w:eastAsia="zh-CN"/>
        </w:rPr>
        <w:t>5</w:t>
      </w:r>
      <w:proofErr w:type="gramStart"/>
      <w:r w:rsidRPr="002C2B23">
        <w:rPr>
          <w:rFonts w:hint="eastAsia"/>
          <w:bCs/>
          <w:sz w:val="24"/>
          <w:lang w:eastAsia="zh-CN"/>
        </w:rPr>
        <w:t>个</w:t>
      </w:r>
      <w:proofErr w:type="gramEnd"/>
      <w:r w:rsidRPr="002C2B23">
        <w:rPr>
          <w:rFonts w:hint="eastAsia"/>
          <w:bCs/>
          <w:sz w:val="24"/>
          <w:lang w:eastAsia="zh-CN"/>
        </w:rPr>
        <w:t>工作日内、按照指定的账户路径从基金财产中一次性支付，基金管理人无需再出具资金划拨指令。若遇法定节假日、休息日、不可抗力等，支付日期顺延。费用自动扣划后，管理人应进行核对，如发现数据不符，及时联系托管人协商解决。</w:t>
      </w:r>
    </w:p>
    <w:p w14:paraId="0ACABDE5" w14:textId="77777777" w:rsidR="00C21F15" w:rsidRPr="002C2B23" w:rsidRDefault="00C21F15" w:rsidP="00C21F15">
      <w:pPr>
        <w:spacing w:line="360" w:lineRule="auto"/>
        <w:ind w:firstLine="480"/>
        <w:rPr>
          <w:sz w:val="24"/>
          <w:szCs w:val="24"/>
          <w:lang w:eastAsia="zh-CN"/>
        </w:rPr>
      </w:pPr>
      <w:r w:rsidRPr="002C2B23">
        <w:rPr>
          <w:sz w:val="24"/>
          <w:szCs w:val="24"/>
          <w:lang w:eastAsia="zh-CN"/>
        </w:rPr>
        <w:t>3</w:t>
      </w:r>
      <w:r w:rsidRPr="002C2B23">
        <w:rPr>
          <w:rFonts w:ascii="宋体" w:hAnsi="宋体"/>
          <w:sz w:val="24"/>
          <w:szCs w:val="24"/>
          <w:lang w:eastAsia="zh-CN"/>
        </w:rPr>
        <w:t>、</w:t>
      </w:r>
      <w:r w:rsidRPr="002C2B23">
        <w:rPr>
          <w:sz w:val="24"/>
          <w:szCs w:val="24"/>
          <w:lang w:eastAsia="zh-CN"/>
        </w:rPr>
        <w:t>C</w:t>
      </w:r>
      <w:r w:rsidRPr="002C2B23">
        <w:rPr>
          <w:rFonts w:ascii="宋体" w:hAnsi="宋体"/>
          <w:sz w:val="24"/>
          <w:szCs w:val="24"/>
          <w:lang w:eastAsia="zh-CN"/>
        </w:rPr>
        <w:t>类份额的销售服务费</w:t>
      </w:r>
    </w:p>
    <w:p w14:paraId="1EE3B2B1" w14:textId="77777777" w:rsidR="00C21F15" w:rsidRPr="002C2B23" w:rsidRDefault="00C21F15" w:rsidP="00C21F15">
      <w:pPr>
        <w:spacing w:line="360" w:lineRule="auto"/>
        <w:ind w:firstLine="480"/>
        <w:rPr>
          <w:sz w:val="24"/>
          <w:szCs w:val="24"/>
          <w:lang w:eastAsia="zh-CN"/>
        </w:rPr>
      </w:pPr>
      <w:r w:rsidRPr="002C2B23">
        <w:rPr>
          <w:rFonts w:ascii="宋体" w:hAnsi="宋体"/>
          <w:sz w:val="24"/>
          <w:szCs w:val="24"/>
          <w:lang w:eastAsia="zh-CN"/>
        </w:rPr>
        <w:t>本基金</w:t>
      </w:r>
      <w:r w:rsidRPr="002C2B23">
        <w:rPr>
          <w:sz w:val="24"/>
          <w:szCs w:val="24"/>
          <w:lang w:eastAsia="zh-CN"/>
        </w:rPr>
        <w:t>A</w:t>
      </w:r>
      <w:r w:rsidRPr="002C2B23">
        <w:rPr>
          <w:rFonts w:ascii="宋体" w:hAnsi="宋体"/>
          <w:sz w:val="24"/>
          <w:szCs w:val="24"/>
          <w:lang w:eastAsia="zh-CN"/>
        </w:rPr>
        <w:t>类基金份额不收取销售服务费，</w:t>
      </w:r>
      <w:r w:rsidRPr="002C2B23">
        <w:rPr>
          <w:sz w:val="24"/>
          <w:szCs w:val="24"/>
          <w:lang w:eastAsia="zh-CN"/>
        </w:rPr>
        <w:t>C</w:t>
      </w:r>
      <w:r w:rsidRPr="002C2B23">
        <w:rPr>
          <w:rFonts w:ascii="宋体" w:hAnsi="宋体"/>
          <w:sz w:val="24"/>
          <w:szCs w:val="24"/>
          <w:lang w:eastAsia="zh-CN"/>
        </w:rPr>
        <w:t>类基金份额的销售服务费年费率为</w:t>
      </w:r>
      <w:r w:rsidRPr="002C2B23">
        <w:rPr>
          <w:sz w:val="24"/>
          <w:szCs w:val="24"/>
          <w:lang w:eastAsia="zh-CN"/>
        </w:rPr>
        <w:t>0.40%</w:t>
      </w:r>
      <w:r w:rsidRPr="002C2B23">
        <w:rPr>
          <w:rFonts w:ascii="宋体" w:hAnsi="宋体"/>
          <w:sz w:val="24"/>
          <w:szCs w:val="24"/>
          <w:lang w:eastAsia="zh-CN"/>
        </w:rPr>
        <w:t>。</w:t>
      </w:r>
    </w:p>
    <w:p w14:paraId="204AE221" w14:textId="77777777" w:rsidR="00C21F15" w:rsidRPr="002C2B23" w:rsidRDefault="00C21F15" w:rsidP="00C21F15">
      <w:pPr>
        <w:spacing w:line="360" w:lineRule="auto"/>
        <w:ind w:firstLine="480"/>
        <w:rPr>
          <w:sz w:val="24"/>
          <w:szCs w:val="24"/>
          <w:lang w:eastAsia="zh-CN"/>
        </w:rPr>
      </w:pPr>
      <w:r w:rsidRPr="002C2B23">
        <w:rPr>
          <w:rFonts w:ascii="宋体" w:hAnsi="宋体"/>
          <w:sz w:val="24"/>
          <w:szCs w:val="24"/>
          <w:lang w:eastAsia="zh-CN"/>
        </w:rPr>
        <w:t>本基金销售服务费按前一日</w:t>
      </w:r>
      <w:r w:rsidRPr="002C2B23">
        <w:rPr>
          <w:sz w:val="24"/>
          <w:szCs w:val="24"/>
          <w:lang w:eastAsia="zh-CN"/>
        </w:rPr>
        <w:t>C</w:t>
      </w:r>
      <w:r w:rsidRPr="002C2B23">
        <w:rPr>
          <w:rFonts w:ascii="宋体" w:hAnsi="宋体"/>
          <w:sz w:val="24"/>
          <w:szCs w:val="24"/>
          <w:lang w:eastAsia="zh-CN"/>
        </w:rPr>
        <w:t>类基金资产净值的</w:t>
      </w:r>
      <w:r w:rsidRPr="002C2B23">
        <w:rPr>
          <w:sz w:val="24"/>
          <w:szCs w:val="24"/>
          <w:lang w:eastAsia="zh-CN"/>
        </w:rPr>
        <w:t>0.40%</w:t>
      </w:r>
      <w:r w:rsidRPr="002C2B23">
        <w:rPr>
          <w:bCs/>
          <w:sz w:val="24"/>
          <w:lang w:eastAsia="zh-CN"/>
        </w:rPr>
        <w:t>的</w:t>
      </w:r>
      <w:r w:rsidRPr="002C2B23">
        <w:rPr>
          <w:rFonts w:ascii="宋体" w:hAnsi="宋体"/>
          <w:sz w:val="24"/>
          <w:szCs w:val="24"/>
          <w:lang w:eastAsia="zh-CN"/>
        </w:rPr>
        <w:t>年费率计提。计算方法如下：</w:t>
      </w:r>
      <w:r w:rsidRPr="002C2B23">
        <w:rPr>
          <w:sz w:val="24"/>
          <w:szCs w:val="24"/>
          <w:lang w:eastAsia="zh-CN"/>
        </w:rPr>
        <w:t xml:space="preserve"> </w:t>
      </w:r>
    </w:p>
    <w:p w14:paraId="73D1DDCF" w14:textId="77777777" w:rsidR="00C21F15" w:rsidRPr="002C2B23" w:rsidRDefault="00C21F15" w:rsidP="00C21F15">
      <w:pPr>
        <w:spacing w:line="360" w:lineRule="auto"/>
        <w:ind w:firstLine="480"/>
        <w:rPr>
          <w:sz w:val="24"/>
          <w:szCs w:val="24"/>
          <w:lang w:eastAsia="zh-CN"/>
        </w:rPr>
      </w:pPr>
      <w:r w:rsidRPr="002C2B23">
        <w:rPr>
          <w:sz w:val="24"/>
          <w:szCs w:val="24"/>
          <w:lang w:eastAsia="zh-CN"/>
        </w:rPr>
        <w:t>H</w:t>
      </w:r>
      <w:r w:rsidRPr="002C2B23">
        <w:rPr>
          <w:rFonts w:ascii="宋体" w:hAnsi="宋体"/>
          <w:sz w:val="24"/>
          <w:szCs w:val="24"/>
          <w:lang w:eastAsia="zh-CN"/>
        </w:rPr>
        <w:t>＝</w:t>
      </w:r>
      <w:r w:rsidRPr="002C2B23">
        <w:rPr>
          <w:sz w:val="24"/>
          <w:szCs w:val="24"/>
          <w:lang w:eastAsia="zh-CN"/>
        </w:rPr>
        <w:t>E×</w:t>
      </w:r>
      <w:r w:rsidRPr="002C2B23">
        <w:rPr>
          <w:sz w:val="24"/>
          <w:szCs w:val="24"/>
          <w:lang w:eastAsia="zh-CN"/>
        </w:rPr>
        <w:t>年销售服务费率</w:t>
      </w:r>
      <w:r w:rsidRPr="002C2B23">
        <w:rPr>
          <w:sz w:val="24"/>
          <w:szCs w:val="24"/>
          <w:lang w:eastAsia="zh-CN"/>
        </w:rPr>
        <w:t>÷</w:t>
      </w:r>
      <w:r w:rsidRPr="002C2B23">
        <w:rPr>
          <w:sz w:val="24"/>
          <w:szCs w:val="24"/>
          <w:lang w:eastAsia="zh-CN"/>
        </w:rPr>
        <w:t>当年天数</w:t>
      </w:r>
    </w:p>
    <w:p w14:paraId="55373586" w14:textId="77777777" w:rsidR="00C21F15" w:rsidRPr="002C2B23" w:rsidRDefault="00C21F15" w:rsidP="00C21F15">
      <w:pPr>
        <w:spacing w:line="360" w:lineRule="auto"/>
        <w:ind w:firstLine="480"/>
        <w:rPr>
          <w:sz w:val="24"/>
          <w:szCs w:val="24"/>
          <w:lang w:eastAsia="zh-CN"/>
        </w:rPr>
      </w:pPr>
      <w:r w:rsidRPr="002C2B23">
        <w:rPr>
          <w:sz w:val="24"/>
          <w:szCs w:val="24"/>
          <w:lang w:eastAsia="zh-CN"/>
        </w:rPr>
        <w:t>H</w:t>
      </w:r>
      <w:r w:rsidRPr="002C2B23">
        <w:rPr>
          <w:rFonts w:ascii="宋体" w:hAnsi="宋体"/>
          <w:sz w:val="24"/>
          <w:szCs w:val="24"/>
          <w:lang w:eastAsia="zh-CN"/>
        </w:rPr>
        <w:t>为</w:t>
      </w:r>
      <w:r w:rsidRPr="002C2B23">
        <w:rPr>
          <w:sz w:val="24"/>
          <w:szCs w:val="24"/>
          <w:lang w:eastAsia="zh-CN"/>
        </w:rPr>
        <w:t>C</w:t>
      </w:r>
      <w:r w:rsidRPr="002C2B23">
        <w:rPr>
          <w:rFonts w:ascii="宋体" w:hAnsi="宋体"/>
          <w:sz w:val="24"/>
          <w:szCs w:val="24"/>
          <w:lang w:eastAsia="zh-CN"/>
        </w:rPr>
        <w:t>类基金份额每日应计提的销售服务费</w:t>
      </w:r>
    </w:p>
    <w:p w14:paraId="420D421A" w14:textId="77777777" w:rsidR="00C21F15" w:rsidRPr="002C2B23" w:rsidRDefault="00C21F15" w:rsidP="00C21F15">
      <w:pPr>
        <w:spacing w:line="360" w:lineRule="auto"/>
        <w:ind w:firstLine="480"/>
        <w:rPr>
          <w:rFonts w:ascii="宋体" w:hAnsi="宋体"/>
          <w:sz w:val="24"/>
          <w:szCs w:val="24"/>
          <w:lang w:eastAsia="zh-CN"/>
        </w:rPr>
      </w:pPr>
      <w:r w:rsidRPr="002C2B23">
        <w:rPr>
          <w:sz w:val="24"/>
          <w:szCs w:val="24"/>
          <w:lang w:eastAsia="zh-CN"/>
        </w:rPr>
        <w:t>E</w:t>
      </w:r>
      <w:r w:rsidRPr="002C2B23">
        <w:rPr>
          <w:rFonts w:ascii="宋体" w:hAnsi="宋体"/>
          <w:sz w:val="24"/>
          <w:szCs w:val="24"/>
          <w:lang w:eastAsia="zh-CN"/>
        </w:rPr>
        <w:t>为</w:t>
      </w:r>
      <w:r w:rsidRPr="002C2B23">
        <w:rPr>
          <w:sz w:val="24"/>
          <w:szCs w:val="24"/>
          <w:lang w:eastAsia="zh-CN"/>
        </w:rPr>
        <w:t>C</w:t>
      </w:r>
      <w:r w:rsidRPr="002C2B23">
        <w:rPr>
          <w:rFonts w:ascii="宋体" w:hAnsi="宋体"/>
          <w:sz w:val="24"/>
          <w:szCs w:val="24"/>
          <w:lang w:eastAsia="zh-CN"/>
        </w:rPr>
        <w:t>类基金份额前一日基金资产净值</w:t>
      </w:r>
    </w:p>
    <w:p w14:paraId="11ADB2EB" w14:textId="77777777" w:rsidR="00C21F15" w:rsidRPr="002C2B23" w:rsidRDefault="00C21F15" w:rsidP="00C21F15">
      <w:pPr>
        <w:spacing w:line="360" w:lineRule="auto"/>
        <w:ind w:firstLine="480"/>
        <w:rPr>
          <w:sz w:val="24"/>
          <w:szCs w:val="24"/>
          <w:lang w:eastAsia="zh-CN"/>
        </w:rPr>
      </w:pPr>
      <w:r w:rsidRPr="002C2B23">
        <w:rPr>
          <w:rFonts w:hint="eastAsia"/>
          <w:sz w:val="24"/>
          <w:szCs w:val="24"/>
          <w:lang w:eastAsia="zh-CN"/>
        </w:rPr>
        <w:t>（</w:t>
      </w:r>
      <w:r w:rsidRPr="002C2B23">
        <w:rPr>
          <w:rFonts w:hint="eastAsia"/>
          <w:sz w:val="24"/>
          <w:szCs w:val="24"/>
          <w:lang w:eastAsia="zh-CN"/>
        </w:rPr>
        <w:t>1</w:t>
      </w:r>
      <w:r w:rsidRPr="002C2B23">
        <w:rPr>
          <w:rFonts w:hint="eastAsia"/>
          <w:sz w:val="24"/>
          <w:szCs w:val="24"/>
          <w:lang w:eastAsia="zh-CN"/>
        </w:rPr>
        <w:t>）基金管理人销售服务费的返还机制</w:t>
      </w:r>
    </w:p>
    <w:p w14:paraId="4FB5A22F" w14:textId="77777777" w:rsidR="00C21F15" w:rsidRPr="002C2B23" w:rsidRDefault="00C21F15" w:rsidP="00C21F15">
      <w:pPr>
        <w:spacing w:line="360" w:lineRule="auto"/>
        <w:ind w:firstLine="480"/>
        <w:rPr>
          <w:sz w:val="24"/>
          <w:szCs w:val="24"/>
          <w:lang w:eastAsia="zh-CN"/>
        </w:rPr>
      </w:pPr>
      <w:r w:rsidRPr="002C2B23">
        <w:rPr>
          <w:rFonts w:hint="eastAsia"/>
          <w:sz w:val="24"/>
          <w:szCs w:val="24"/>
          <w:lang w:eastAsia="zh-CN"/>
        </w:rPr>
        <w:t>通过基金管理人认购、申购</w:t>
      </w:r>
      <w:r w:rsidRPr="002C2B23">
        <w:rPr>
          <w:rFonts w:hint="eastAsia"/>
          <w:sz w:val="24"/>
          <w:szCs w:val="24"/>
          <w:lang w:eastAsia="zh-CN"/>
        </w:rPr>
        <w:t>C</w:t>
      </w:r>
      <w:r w:rsidRPr="002C2B23">
        <w:rPr>
          <w:rFonts w:hint="eastAsia"/>
          <w:sz w:val="24"/>
          <w:szCs w:val="24"/>
          <w:lang w:eastAsia="zh-CN"/>
        </w:rPr>
        <w:t>类基金份额的不收取销售服务费。对于通过基金管理人认购、申购该类基金份额的情况，将先行计提相应的销售服务费，待投资者赎回基金份额或基金合同终止时，该费用将随同赎回款（或清算款）一并返还给投资者。</w:t>
      </w:r>
    </w:p>
    <w:p w14:paraId="061BC37D" w14:textId="77777777" w:rsidR="00C21F15" w:rsidRPr="002C2B23" w:rsidRDefault="00C21F15" w:rsidP="00C21F15">
      <w:pPr>
        <w:spacing w:line="360" w:lineRule="auto"/>
        <w:ind w:firstLine="480"/>
        <w:rPr>
          <w:sz w:val="24"/>
          <w:szCs w:val="24"/>
          <w:lang w:eastAsia="zh-CN"/>
        </w:rPr>
      </w:pPr>
      <w:r w:rsidRPr="002C2B23">
        <w:rPr>
          <w:rFonts w:hint="eastAsia"/>
          <w:sz w:val="24"/>
          <w:szCs w:val="24"/>
          <w:lang w:eastAsia="zh-CN"/>
        </w:rPr>
        <w:t>基金销售子公司销售母公司所管理基金的，按照本条要求执行。</w:t>
      </w:r>
    </w:p>
    <w:p w14:paraId="722740CA" w14:textId="77777777" w:rsidR="00C21F15" w:rsidRPr="002C2B23" w:rsidRDefault="00C21F15" w:rsidP="00C21F15">
      <w:pPr>
        <w:spacing w:line="360" w:lineRule="auto"/>
        <w:ind w:firstLine="480"/>
        <w:rPr>
          <w:sz w:val="24"/>
          <w:szCs w:val="24"/>
          <w:lang w:eastAsia="zh-CN"/>
        </w:rPr>
      </w:pPr>
      <w:r w:rsidRPr="002C2B23">
        <w:rPr>
          <w:rFonts w:hint="eastAsia"/>
          <w:sz w:val="24"/>
          <w:szCs w:val="24"/>
          <w:lang w:eastAsia="zh-CN"/>
        </w:rPr>
        <w:t>若遇法定节假日、公休假或不可抗力等，支付日期顺延。费用自动扣划后，管理人应进行核对，如发现数据不符，及时联系托管人协商解决。</w:t>
      </w:r>
    </w:p>
    <w:p w14:paraId="66ED6FEE" w14:textId="77777777" w:rsidR="00C21F15" w:rsidRPr="002C2B23" w:rsidRDefault="00C21F15" w:rsidP="00C21F15">
      <w:pPr>
        <w:spacing w:line="360" w:lineRule="auto"/>
        <w:ind w:firstLine="480"/>
        <w:rPr>
          <w:sz w:val="24"/>
          <w:szCs w:val="24"/>
          <w:lang w:eastAsia="zh-CN"/>
        </w:rPr>
      </w:pPr>
      <w:r w:rsidRPr="002C2B23">
        <w:rPr>
          <w:rFonts w:hint="eastAsia"/>
          <w:sz w:val="24"/>
          <w:szCs w:val="24"/>
          <w:lang w:eastAsia="zh-CN"/>
        </w:rPr>
        <w:t>（</w:t>
      </w:r>
      <w:r w:rsidRPr="002C2B23">
        <w:rPr>
          <w:rFonts w:hint="eastAsia"/>
          <w:sz w:val="24"/>
          <w:szCs w:val="24"/>
          <w:lang w:eastAsia="zh-CN"/>
        </w:rPr>
        <w:t>2</w:t>
      </w:r>
      <w:r w:rsidRPr="002C2B23">
        <w:rPr>
          <w:rFonts w:hint="eastAsia"/>
          <w:sz w:val="24"/>
          <w:szCs w:val="24"/>
          <w:lang w:eastAsia="zh-CN"/>
        </w:rPr>
        <w:t>）代销机构的销售服务费的收取与返还机制</w:t>
      </w:r>
    </w:p>
    <w:p w14:paraId="3DEBE2B1" w14:textId="77777777" w:rsidR="00C21F15" w:rsidRPr="002C2B23" w:rsidRDefault="00C21F15" w:rsidP="00C21F15">
      <w:pPr>
        <w:spacing w:line="360" w:lineRule="auto"/>
        <w:ind w:firstLine="480"/>
        <w:rPr>
          <w:sz w:val="24"/>
          <w:szCs w:val="24"/>
          <w:lang w:eastAsia="zh-CN"/>
        </w:rPr>
      </w:pPr>
      <w:r w:rsidRPr="002C2B23">
        <w:rPr>
          <w:rFonts w:hint="eastAsia"/>
          <w:sz w:val="24"/>
          <w:szCs w:val="24"/>
          <w:lang w:eastAsia="zh-CN"/>
        </w:rPr>
        <w:t>对于投资者持续持有期限未超过一年（即</w:t>
      </w:r>
      <w:r w:rsidRPr="002C2B23">
        <w:rPr>
          <w:rFonts w:hint="eastAsia"/>
          <w:sz w:val="24"/>
          <w:szCs w:val="24"/>
          <w:lang w:eastAsia="zh-CN"/>
        </w:rPr>
        <w:t>365</w:t>
      </w:r>
      <w:r w:rsidRPr="002C2B23">
        <w:rPr>
          <w:rFonts w:hint="eastAsia"/>
          <w:sz w:val="24"/>
          <w:szCs w:val="24"/>
          <w:lang w:eastAsia="zh-CN"/>
        </w:rPr>
        <w:t>天，下同）的基金份额收取的销售服务费，逐日累计至每月月末，按月支付。自动在月初</w:t>
      </w:r>
      <w:r w:rsidRPr="002C2B23">
        <w:rPr>
          <w:rFonts w:hint="eastAsia"/>
          <w:sz w:val="24"/>
          <w:szCs w:val="24"/>
          <w:lang w:eastAsia="zh-CN"/>
        </w:rPr>
        <w:t>5</w:t>
      </w:r>
      <w:proofErr w:type="gramStart"/>
      <w:r w:rsidRPr="002C2B23">
        <w:rPr>
          <w:rFonts w:hint="eastAsia"/>
          <w:sz w:val="24"/>
          <w:szCs w:val="24"/>
          <w:lang w:eastAsia="zh-CN"/>
        </w:rPr>
        <w:t>个</w:t>
      </w:r>
      <w:proofErr w:type="gramEnd"/>
      <w:r w:rsidRPr="002C2B23">
        <w:rPr>
          <w:rFonts w:hint="eastAsia"/>
          <w:sz w:val="24"/>
          <w:szCs w:val="24"/>
          <w:lang w:eastAsia="zh-CN"/>
        </w:rPr>
        <w:t>工作日内、按照指定的账户路径进行资金支付，基金管理人无需再出具资金划拨指令。费用自动扣划后，管理人应进行核对，如发现数据不符，及时联系托管人协商解决。</w:t>
      </w:r>
    </w:p>
    <w:p w14:paraId="1D6462FD" w14:textId="77777777" w:rsidR="00C21F15" w:rsidRPr="002C2B23" w:rsidRDefault="00C21F15" w:rsidP="00C21F15">
      <w:pPr>
        <w:spacing w:line="360" w:lineRule="auto"/>
        <w:ind w:firstLine="480"/>
        <w:rPr>
          <w:sz w:val="24"/>
          <w:szCs w:val="24"/>
          <w:lang w:eastAsia="zh-CN"/>
        </w:rPr>
      </w:pPr>
      <w:r w:rsidRPr="002C2B23">
        <w:rPr>
          <w:rFonts w:hint="eastAsia"/>
          <w:sz w:val="24"/>
          <w:szCs w:val="24"/>
          <w:lang w:eastAsia="zh-CN"/>
        </w:rPr>
        <w:t>对于基金份额持有人持续持有期限超过一年的</w:t>
      </w:r>
      <w:r w:rsidRPr="002C2B23">
        <w:rPr>
          <w:rFonts w:hint="eastAsia"/>
          <w:sz w:val="24"/>
          <w:szCs w:val="24"/>
          <w:lang w:eastAsia="zh-CN"/>
        </w:rPr>
        <w:t>C</w:t>
      </w:r>
      <w:r w:rsidRPr="002C2B23">
        <w:rPr>
          <w:rFonts w:hint="eastAsia"/>
          <w:sz w:val="24"/>
          <w:szCs w:val="24"/>
          <w:lang w:eastAsia="zh-CN"/>
        </w:rPr>
        <w:t>类基金份额，不再继续收取销售服务费。对于持续持有期限超过一年的基金份额继续计提的销售服务费，在投资者赎回基金份额或基金合同终止时，该费用随赎回款（或清算款）一并返还给投资者。</w:t>
      </w:r>
    </w:p>
    <w:p w14:paraId="2F3650B7" w14:textId="77777777" w:rsidR="00C21F15" w:rsidRPr="002C2B23" w:rsidRDefault="00C21F15" w:rsidP="00C21F15">
      <w:pPr>
        <w:spacing w:line="360" w:lineRule="auto"/>
        <w:ind w:firstLine="480"/>
        <w:rPr>
          <w:sz w:val="24"/>
          <w:szCs w:val="24"/>
          <w:lang w:eastAsia="zh-CN"/>
        </w:rPr>
      </w:pPr>
      <w:r w:rsidRPr="002C2B23">
        <w:rPr>
          <w:rFonts w:hint="eastAsia"/>
          <w:sz w:val="24"/>
          <w:szCs w:val="24"/>
          <w:lang w:eastAsia="zh-CN"/>
        </w:rPr>
        <w:t>若遇法定节假日、公休假或不可抗力等，支付日期顺延。费用自动扣划后，管理人应进行核对，如发现数据不符，及时联系托管人协商解决。</w:t>
      </w:r>
    </w:p>
    <w:p w14:paraId="51C336EC" w14:textId="77777777" w:rsidR="00C21F15" w:rsidRPr="002C2B23" w:rsidRDefault="00C21F15" w:rsidP="00C21F15">
      <w:pPr>
        <w:spacing w:line="360" w:lineRule="auto"/>
        <w:ind w:firstLine="480"/>
        <w:rPr>
          <w:bCs/>
          <w:sz w:val="24"/>
          <w:lang w:eastAsia="zh-CN"/>
        </w:rPr>
      </w:pPr>
      <w:r w:rsidRPr="002C2B23">
        <w:rPr>
          <w:bCs/>
          <w:sz w:val="24"/>
          <w:lang w:eastAsia="zh-CN"/>
        </w:rPr>
        <w:t>上述</w:t>
      </w:r>
      <w:r w:rsidRPr="002C2B23">
        <w:rPr>
          <w:rFonts w:hint="eastAsia"/>
          <w:bCs/>
          <w:sz w:val="24"/>
          <w:lang w:eastAsia="zh-CN"/>
        </w:rPr>
        <w:t>“</w:t>
      </w:r>
      <w:r w:rsidRPr="002C2B23">
        <w:rPr>
          <w:bCs/>
          <w:sz w:val="24"/>
          <w:lang w:eastAsia="zh-CN"/>
        </w:rPr>
        <w:t>一、基金费用的种类</w:t>
      </w:r>
      <w:r w:rsidRPr="002C2B23">
        <w:rPr>
          <w:rFonts w:hint="eastAsia"/>
          <w:bCs/>
          <w:sz w:val="24"/>
          <w:lang w:eastAsia="zh-CN"/>
        </w:rPr>
        <w:t>”</w:t>
      </w:r>
      <w:r w:rsidRPr="002C2B23">
        <w:rPr>
          <w:bCs/>
          <w:sz w:val="24"/>
          <w:lang w:eastAsia="zh-CN"/>
        </w:rPr>
        <w:t>中第</w:t>
      </w:r>
      <w:r w:rsidRPr="002C2B23">
        <w:rPr>
          <w:bCs/>
          <w:sz w:val="24"/>
          <w:lang w:eastAsia="zh-CN"/>
        </w:rPr>
        <w:t>4</w:t>
      </w:r>
      <w:r w:rsidRPr="002C2B23">
        <w:rPr>
          <w:bCs/>
          <w:sz w:val="24"/>
          <w:lang w:eastAsia="zh-CN"/>
        </w:rPr>
        <w:t>－</w:t>
      </w:r>
      <w:r w:rsidRPr="002C2B23">
        <w:rPr>
          <w:bCs/>
          <w:sz w:val="24"/>
          <w:lang w:eastAsia="zh-CN"/>
        </w:rPr>
        <w:t>11</w:t>
      </w:r>
      <w:r w:rsidRPr="002C2B23">
        <w:rPr>
          <w:bCs/>
          <w:sz w:val="24"/>
          <w:lang w:eastAsia="zh-CN"/>
        </w:rPr>
        <w:t>项费用，根据有关法规及相应协议规定，按费用实际支出金额列入当期费用，由基金托管人从基金财产中支付。</w:t>
      </w:r>
    </w:p>
    <w:p w14:paraId="491EEFA6" w14:textId="77777777" w:rsidR="00C21F15" w:rsidRPr="002C2B23" w:rsidRDefault="00C21F15" w:rsidP="00C21F15">
      <w:pPr>
        <w:spacing w:line="360" w:lineRule="auto"/>
        <w:ind w:firstLine="480"/>
        <w:rPr>
          <w:bCs/>
          <w:sz w:val="24"/>
          <w:lang w:eastAsia="zh-CN"/>
        </w:rPr>
      </w:pPr>
      <w:r w:rsidRPr="002C2B23">
        <w:rPr>
          <w:bCs/>
          <w:sz w:val="24"/>
          <w:lang w:eastAsia="zh-CN"/>
        </w:rPr>
        <w:t>基金合同中</w:t>
      </w:r>
      <w:r w:rsidRPr="002C2B23">
        <w:rPr>
          <w:bCs/>
          <w:sz w:val="24"/>
          <w:lang w:eastAsia="zh-CN"/>
        </w:rPr>
        <w:t>“</w:t>
      </w:r>
      <w:r w:rsidRPr="002C2B23">
        <w:rPr>
          <w:bCs/>
          <w:sz w:val="24"/>
          <w:lang w:eastAsia="zh-CN"/>
        </w:rPr>
        <w:t>第十五部分</w:t>
      </w:r>
      <w:r w:rsidRPr="002C2B23">
        <w:rPr>
          <w:bCs/>
          <w:sz w:val="24"/>
          <w:lang w:eastAsia="zh-CN"/>
        </w:rPr>
        <w:t xml:space="preserve"> </w:t>
      </w:r>
      <w:r w:rsidRPr="002C2B23">
        <w:rPr>
          <w:bCs/>
          <w:sz w:val="24"/>
          <w:lang w:eastAsia="zh-CN"/>
        </w:rPr>
        <w:t>基金费用与税收</w:t>
      </w:r>
      <w:r w:rsidRPr="002C2B23">
        <w:rPr>
          <w:bCs/>
          <w:sz w:val="24"/>
          <w:lang w:eastAsia="zh-CN"/>
        </w:rPr>
        <w:t>”</w:t>
      </w:r>
      <w:r w:rsidRPr="002C2B23">
        <w:rPr>
          <w:bCs/>
          <w:sz w:val="24"/>
          <w:lang w:eastAsia="zh-CN"/>
        </w:rPr>
        <w:t>的</w:t>
      </w:r>
      <w:r w:rsidRPr="002C2B23">
        <w:rPr>
          <w:bCs/>
          <w:sz w:val="24"/>
          <w:lang w:eastAsia="zh-CN"/>
        </w:rPr>
        <w:t>“</w:t>
      </w:r>
      <w:r w:rsidRPr="002C2B23">
        <w:rPr>
          <w:bCs/>
          <w:sz w:val="24"/>
          <w:lang w:eastAsia="zh-CN"/>
        </w:rPr>
        <w:t>一、基金费用的种类</w:t>
      </w:r>
      <w:r w:rsidRPr="002C2B23">
        <w:rPr>
          <w:bCs/>
          <w:sz w:val="24"/>
          <w:lang w:eastAsia="zh-CN"/>
        </w:rPr>
        <w:t>”</w:t>
      </w:r>
      <w:r w:rsidRPr="002C2B23">
        <w:rPr>
          <w:bCs/>
          <w:sz w:val="24"/>
          <w:lang w:eastAsia="zh-CN"/>
        </w:rPr>
        <w:t>中第</w:t>
      </w:r>
      <w:r w:rsidRPr="002C2B23">
        <w:rPr>
          <w:bCs/>
          <w:sz w:val="24"/>
          <w:lang w:eastAsia="zh-CN"/>
        </w:rPr>
        <w:t>4</w:t>
      </w:r>
      <w:r w:rsidRPr="002C2B23">
        <w:rPr>
          <w:bCs/>
          <w:sz w:val="24"/>
          <w:lang w:eastAsia="zh-CN"/>
        </w:rPr>
        <w:t>－</w:t>
      </w:r>
      <w:r w:rsidRPr="002C2B23">
        <w:rPr>
          <w:bCs/>
          <w:sz w:val="24"/>
          <w:lang w:eastAsia="zh-CN"/>
        </w:rPr>
        <w:t>11</w:t>
      </w:r>
      <w:r w:rsidRPr="002C2B23">
        <w:rPr>
          <w:bCs/>
          <w:sz w:val="24"/>
          <w:lang w:eastAsia="zh-CN"/>
        </w:rPr>
        <w:t>项费用，根据有关法规及相应协议规定，按费用实际支出金额列入当期费用，由基金托管人从基金财产中支付。</w:t>
      </w:r>
    </w:p>
    <w:p w14:paraId="42DC8D12" w14:textId="77777777" w:rsidR="00C21F15" w:rsidRPr="002C2B23" w:rsidRDefault="00C21F15" w:rsidP="00C21F15">
      <w:pPr>
        <w:spacing w:line="360" w:lineRule="auto"/>
        <w:ind w:firstLine="480"/>
        <w:rPr>
          <w:sz w:val="24"/>
          <w:lang w:eastAsia="zh-CN"/>
        </w:rPr>
      </w:pPr>
      <w:r w:rsidRPr="002C2B23">
        <w:rPr>
          <w:sz w:val="24"/>
          <w:lang w:eastAsia="zh-CN"/>
        </w:rPr>
        <w:t>五、基金财产的投资方向和投资限制</w:t>
      </w:r>
    </w:p>
    <w:p w14:paraId="221CB63F" w14:textId="77777777" w:rsidR="00C21F15" w:rsidRPr="002C2B23" w:rsidRDefault="00C21F15" w:rsidP="00C21F15">
      <w:pPr>
        <w:spacing w:line="360" w:lineRule="auto"/>
        <w:ind w:firstLine="480"/>
        <w:rPr>
          <w:bCs/>
          <w:sz w:val="24"/>
          <w:lang w:eastAsia="zh-CN"/>
        </w:rPr>
      </w:pPr>
      <w:r w:rsidRPr="002C2B23">
        <w:rPr>
          <w:sz w:val="24"/>
          <w:lang w:eastAsia="zh-CN"/>
        </w:rPr>
        <w:t>（一）</w:t>
      </w:r>
      <w:r w:rsidRPr="002C2B23">
        <w:rPr>
          <w:bCs/>
          <w:sz w:val="24"/>
          <w:lang w:eastAsia="zh-CN"/>
        </w:rPr>
        <w:t>投资范围</w:t>
      </w:r>
    </w:p>
    <w:p w14:paraId="42884609" w14:textId="0D556FA8" w:rsidR="00C21F15" w:rsidRPr="002C2B23" w:rsidRDefault="00C21F15" w:rsidP="00C21F15">
      <w:pPr>
        <w:spacing w:line="360" w:lineRule="auto"/>
        <w:ind w:firstLine="480"/>
        <w:rPr>
          <w:bCs/>
          <w:sz w:val="24"/>
          <w:lang w:eastAsia="zh-CN"/>
        </w:rPr>
      </w:pPr>
      <w:r w:rsidRPr="002C2B23">
        <w:rPr>
          <w:rFonts w:hint="eastAsia"/>
          <w:bCs/>
          <w:sz w:val="24"/>
          <w:lang w:eastAsia="zh-CN"/>
        </w:rPr>
        <w:t>本基金的投资范围为具有良好流动性的金融工具，包括国内依法发行上市的股票（包括主板、创业板</w:t>
      </w:r>
      <w:r w:rsidR="00F31080" w:rsidRPr="002C2B23">
        <w:rPr>
          <w:rFonts w:hint="eastAsia"/>
          <w:bCs/>
          <w:sz w:val="24"/>
          <w:lang w:eastAsia="zh-CN"/>
        </w:rPr>
        <w:t>、</w:t>
      </w:r>
      <w:proofErr w:type="gramStart"/>
      <w:r w:rsidR="00F31080" w:rsidRPr="002C2B23">
        <w:rPr>
          <w:rFonts w:hint="eastAsia"/>
          <w:bCs/>
          <w:sz w:val="24"/>
          <w:lang w:eastAsia="zh-CN"/>
        </w:rPr>
        <w:t>科创板</w:t>
      </w:r>
      <w:proofErr w:type="gramEnd"/>
      <w:r w:rsidR="00F31080" w:rsidRPr="002C2B23">
        <w:rPr>
          <w:rFonts w:hint="eastAsia"/>
          <w:bCs/>
          <w:sz w:val="24"/>
          <w:lang w:eastAsia="zh-CN"/>
        </w:rPr>
        <w:t>、北京证券交易所股票</w:t>
      </w:r>
      <w:r w:rsidRPr="002C2B23">
        <w:rPr>
          <w:rFonts w:hint="eastAsia"/>
          <w:bCs/>
          <w:sz w:val="24"/>
          <w:lang w:eastAsia="zh-CN"/>
        </w:rPr>
        <w:t>及其他中国证监会允许基金投资的股票、存托凭证）、港股通标的股票（包括沪港</w:t>
      </w:r>
      <w:proofErr w:type="gramStart"/>
      <w:r w:rsidRPr="002C2B23">
        <w:rPr>
          <w:rFonts w:hint="eastAsia"/>
          <w:bCs/>
          <w:sz w:val="24"/>
          <w:lang w:eastAsia="zh-CN"/>
        </w:rPr>
        <w:t>通股票</w:t>
      </w:r>
      <w:proofErr w:type="gramEnd"/>
      <w:r w:rsidRPr="002C2B23">
        <w:rPr>
          <w:rFonts w:hint="eastAsia"/>
          <w:bCs/>
          <w:sz w:val="24"/>
          <w:lang w:eastAsia="zh-CN"/>
        </w:rPr>
        <w:t>及深港通股票）、债券（包括国内依法发行和上市交易的国债、金融债、企业债、公司债、公开发行的次级债、地方政府债券、可转换债券、分离交易可转债</w:t>
      </w:r>
      <w:proofErr w:type="gramStart"/>
      <w:r w:rsidRPr="002C2B23">
        <w:rPr>
          <w:rFonts w:hint="eastAsia"/>
          <w:bCs/>
          <w:sz w:val="24"/>
          <w:lang w:eastAsia="zh-CN"/>
        </w:rPr>
        <w:t>的纯债部分</w:t>
      </w:r>
      <w:proofErr w:type="gramEnd"/>
      <w:r w:rsidRPr="002C2B23">
        <w:rPr>
          <w:rFonts w:hint="eastAsia"/>
          <w:bCs/>
          <w:sz w:val="24"/>
          <w:lang w:eastAsia="zh-CN"/>
        </w:rPr>
        <w:t>、可交换债、央行票据、中期票据、短期融资</w:t>
      </w:r>
      <w:proofErr w:type="gramStart"/>
      <w:r w:rsidRPr="002C2B23">
        <w:rPr>
          <w:rFonts w:hint="eastAsia"/>
          <w:bCs/>
          <w:sz w:val="24"/>
          <w:lang w:eastAsia="zh-CN"/>
        </w:rPr>
        <w:t>券</w:t>
      </w:r>
      <w:proofErr w:type="gramEnd"/>
      <w:r w:rsidRPr="002C2B23">
        <w:rPr>
          <w:rFonts w:hint="eastAsia"/>
          <w:bCs/>
          <w:sz w:val="24"/>
          <w:lang w:eastAsia="zh-CN"/>
        </w:rPr>
        <w:t>、超短期融资</w:t>
      </w:r>
      <w:proofErr w:type="gramStart"/>
      <w:r w:rsidRPr="002C2B23">
        <w:rPr>
          <w:rFonts w:hint="eastAsia"/>
          <w:bCs/>
          <w:sz w:val="24"/>
          <w:lang w:eastAsia="zh-CN"/>
        </w:rPr>
        <w:t>券</w:t>
      </w:r>
      <w:proofErr w:type="gramEnd"/>
      <w:r w:rsidRPr="002C2B23">
        <w:rPr>
          <w:rFonts w:hint="eastAsia"/>
          <w:bCs/>
          <w:sz w:val="24"/>
          <w:lang w:eastAsia="zh-CN"/>
        </w:rPr>
        <w:t>）、资产支持证券、债券回购、货币市场工具、同业存单、银行存款（包括协议存款、定期存款及其他银行存款）、衍生工具（股指期货、国债期货、股票期权）以及法律法规或中国证监会允许基金投资的其他金融工具（但须符合中国证监会的相关规定）。</w:t>
      </w:r>
    </w:p>
    <w:p w14:paraId="00F39520" w14:textId="77777777" w:rsidR="00C21F15" w:rsidRPr="002C2B23" w:rsidRDefault="00C21F15" w:rsidP="00C21F15">
      <w:pPr>
        <w:spacing w:line="360" w:lineRule="auto"/>
        <w:ind w:firstLine="480"/>
        <w:rPr>
          <w:bCs/>
          <w:sz w:val="24"/>
          <w:lang w:eastAsia="zh-CN"/>
        </w:rPr>
      </w:pPr>
      <w:r w:rsidRPr="002C2B23">
        <w:rPr>
          <w:rFonts w:hint="eastAsia"/>
          <w:bCs/>
          <w:sz w:val="24"/>
          <w:lang w:eastAsia="zh-CN"/>
        </w:rPr>
        <w:t>如法律法规或监管机构以后允许基金投资其他品种，基金管理人在履行适当程序后，可以将其纳入投资范围，并可依据届时有效的法律法规适时合理地调整投资范围。</w:t>
      </w:r>
    </w:p>
    <w:p w14:paraId="1BAC958A" w14:textId="77777777" w:rsidR="00C21F15" w:rsidRPr="002C2B23" w:rsidRDefault="00C21F15" w:rsidP="00C21F15">
      <w:pPr>
        <w:spacing w:line="360" w:lineRule="auto"/>
        <w:ind w:firstLine="480"/>
        <w:rPr>
          <w:bCs/>
          <w:sz w:val="24"/>
          <w:lang w:eastAsia="zh-CN"/>
        </w:rPr>
      </w:pPr>
      <w:r w:rsidRPr="002C2B23">
        <w:rPr>
          <w:rFonts w:hint="eastAsia"/>
          <w:bCs/>
          <w:sz w:val="24"/>
          <w:lang w:eastAsia="zh-CN"/>
        </w:rPr>
        <w:t>基金的投资组合比例为：本基金投资组合中股票资产投资比例为基金资产的</w:t>
      </w:r>
      <w:r w:rsidRPr="002C2B23">
        <w:rPr>
          <w:rFonts w:hint="eastAsia"/>
          <w:bCs/>
          <w:sz w:val="24"/>
          <w:lang w:eastAsia="zh-CN"/>
        </w:rPr>
        <w:t>60%-95%</w:t>
      </w:r>
      <w:r w:rsidRPr="002C2B23">
        <w:rPr>
          <w:rFonts w:hint="eastAsia"/>
          <w:bCs/>
          <w:sz w:val="24"/>
          <w:lang w:eastAsia="zh-CN"/>
        </w:rPr>
        <w:t>，投资于港股通标的股票比例不超过股票资产的</w:t>
      </w:r>
      <w:r w:rsidRPr="002C2B23">
        <w:rPr>
          <w:rFonts w:hint="eastAsia"/>
          <w:bCs/>
          <w:sz w:val="24"/>
          <w:lang w:eastAsia="zh-CN"/>
        </w:rPr>
        <w:t>50%</w:t>
      </w:r>
      <w:r w:rsidRPr="002C2B23">
        <w:rPr>
          <w:rFonts w:hint="eastAsia"/>
          <w:bCs/>
          <w:sz w:val="24"/>
          <w:lang w:eastAsia="zh-CN"/>
        </w:rPr>
        <w:t>；本基金每个交易日日终在扣除股指期货、国债期货、股票期权合约需缴纳的交易保证金后，保持现金或者到期日在一年以内的政府债券投资比例合计不低于基金资产净值的</w:t>
      </w:r>
      <w:r w:rsidRPr="002C2B23">
        <w:rPr>
          <w:rFonts w:hint="eastAsia"/>
          <w:bCs/>
          <w:sz w:val="24"/>
          <w:lang w:eastAsia="zh-CN"/>
        </w:rPr>
        <w:t>5%</w:t>
      </w:r>
      <w:r w:rsidRPr="002C2B23">
        <w:rPr>
          <w:rFonts w:hint="eastAsia"/>
          <w:bCs/>
          <w:sz w:val="24"/>
          <w:lang w:eastAsia="zh-CN"/>
        </w:rPr>
        <w:t>，其中现金不包括结算备付金、存出保证金、应收申购款等。</w:t>
      </w:r>
    </w:p>
    <w:p w14:paraId="46F1895A" w14:textId="77777777" w:rsidR="00C21F15" w:rsidRPr="002C2B23" w:rsidRDefault="00C21F15" w:rsidP="00C21F15">
      <w:pPr>
        <w:spacing w:line="360" w:lineRule="auto"/>
        <w:ind w:firstLine="480"/>
        <w:rPr>
          <w:bCs/>
          <w:sz w:val="24"/>
          <w:lang w:eastAsia="zh-CN"/>
        </w:rPr>
      </w:pPr>
      <w:r w:rsidRPr="002C2B23">
        <w:rPr>
          <w:rFonts w:hint="eastAsia"/>
          <w:bCs/>
          <w:sz w:val="24"/>
          <w:lang w:eastAsia="zh-CN"/>
        </w:rPr>
        <w:t>如法律法规或中国证监会变更投资品种的投资比例限制，基金管理人在履行适当程序后，可以调整上述投资品种的投资比例。</w:t>
      </w:r>
    </w:p>
    <w:p w14:paraId="3B2F2C35" w14:textId="77777777" w:rsidR="00C21F15" w:rsidRPr="002C2B23" w:rsidRDefault="00C21F15" w:rsidP="00C21F15">
      <w:pPr>
        <w:spacing w:line="360" w:lineRule="auto"/>
        <w:ind w:firstLine="480"/>
        <w:rPr>
          <w:sz w:val="24"/>
          <w:lang w:eastAsia="zh-CN"/>
        </w:rPr>
      </w:pPr>
      <w:r w:rsidRPr="002C2B23">
        <w:rPr>
          <w:sz w:val="24"/>
          <w:lang w:eastAsia="zh-CN"/>
        </w:rPr>
        <w:t>（二）投资限制</w:t>
      </w:r>
    </w:p>
    <w:p w14:paraId="1BBFBBA2" w14:textId="77777777" w:rsidR="00C21F15" w:rsidRPr="002C2B23" w:rsidRDefault="00C21F15" w:rsidP="00C21F15">
      <w:pPr>
        <w:spacing w:line="360" w:lineRule="auto"/>
        <w:ind w:firstLine="480"/>
        <w:rPr>
          <w:bCs/>
          <w:sz w:val="24"/>
          <w:lang w:eastAsia="zh-CN"/>
        </w:rPr>
      </w:pPr>
      <w:r w:rsidRPr="002C2B23">
        <w:rPr>
          <w:bCs/>
          <w:sz w:val="24"/>
          <w:lang w:eastAsia="zh-CN"/>
        </w:rPr>
        <w:t>1</w:t>
      </w:r>
      <w:r w:rsidRPr="002C2B23">
        <w:rPr>
          <w:bCs/>
          <w:sz w:val="24"/>
          <w:lang w:eastAsia="zh-CN"/>
        </w:rPr>
        <w:t>、组合限制</w:t>
      </w:r>
    </w:p>
    <w:p w14:paraId="258DE92E" w14:textId="77777777" w:rsidR="00C21F15" w:rsidRPr="002C2B23" w:rsidRDefault="00C21F15" w:rsidP="00C21F15">
      <w:pPr>
        <w:spacing w:line="360" w:lineRule="auto"/>
        <w:ind w:firstLine="480"/>
        <w:rPr>
          <w:bCs/>
          <w:sz w:val="24"/>
          <w:lang w:eastAsia="zh-CN"/>
        </w:rPr>
      </w:pPr>
      <w:r w:rsidRPr="002C2B23">
        <w:rPr>
          <w:bCs/>
          <w:sz w:val="24"/>
          <w:lang w:eastAsia="zh-CN"/>
        </w:rPr>
        <w:t>基金的投资组合应遵循以下限制：</w:t>
      </w:r>
      <w:r w:rsidRPr="002C2B23">
        <w:rPr>
          <w:bCs/>
          <w:sz w:val="24"/>
          <w:lang w:eastAsia="zh-CN"/>
        </w:rPr>
        <w:t xml:space="preserve"> </w:t>
      </w:r>
    </w:p>
    <w:p w14:paraId="50374D72" w14:textId="77777777" w:rsidR="00C21F15" w:rsidRPr="002C2B23" w:rsidRDefault="00C21F15" w:rsidP="00C21F15">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（1）本基金投资组合中股票资产投资比例为基金资产的60%-95%，投资于港股通标的股票比例不超过股票资产的50%；</w:t>
      </w:r>
    </w:p>
    <w:p w14:paraId="74A2F00B" w14:textId="77777777" w:rsidR="00C21F15" w:rsidRPr="002C2B23" w:rsidRDefault="00C21F15" w:rsidP="00C21F15">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2）每个交易日日终在扣除股指期货、国债期货、股票期权合约需缴纳的交易保证金后，保持不低于基金资产净值5％的现金或者到期日在一年以内的政府债券，其中现金不包括结算备付金、存出保证金、应收申购款等；</w:t>
      </w:r>
    </w:p>
    <w:p w14:paraId="29DFC9D6" w14:textId="77777777" w:rsidR="00C21F15" w:rsidRPr="002C2B23" w:rsidRDefault="00C21F15" w:rsidP="00C21F15">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（3）本基金持有一家公司发行的证券其市值（若同时持有一家公司发行的A股和H股，则为A股与H股合计市值）不超过基金资产净值的10％；</w:t>
      </w:r>
    </w:p>
    <w:p w14:paraId="094EE9B1" w14:textId="77777777" w:rsidR="00C21F15" w:rsidRPr="002C2B23" w:rsidRDefault="00C21F15" w:rsidP="00C21F15">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（4）本基金管理人管理的全部基金持有一家公司发行的证券（A股与H股合计），不超过该证券的10％；</w:t>
      </w:r>
    </w:p>
    <w:p w14:paraId="3367E1B3" w14:textId="77777777" w:rsidR="00C21F15" w:rsidRPr="002C2B23" w:rsidRDefault="00C21F15" w:rsidP="00C21F15">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（5）本基金投资于同一原始权益人的各类资产支持证券的比例，不得超过基金资产净值的10％；</w:t>
      </w:r>
    </w:p>
    <w:p w14:paraId="334A64EC" w14:textId="77777777" w:rsidR="00C21F15" w:rsidRPr="002C2B23" w:rsidRDefault="00C21F15" w:rsidP="00C21F15">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（6）本基金持有的全部资产支持证券，其市值不得超过基金资产净值的20％；</w:t>
      </w:r>
    </w:p>
    <w:p w14:paraId="480E83DB" w14:textId="77777777" w:rsidR="00C21F15" w:rsidRPr="002C2B23" w:rsidRDefault="00C21F15" w:rsidP="00C21F15">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（7）本基金持有的同一(指同一信用级别)资产支持证券的比例，不得超过该资产支持证券规模的10％；</w:t>
      </w:r>
    </w:p>
    <w:p w14:paraId="6FE54564" w14:textId="77777777" w:rsidR="00C21F15" w:rsidRPr="002C2B23" w:rsidRDefault="00C21F15" w:rsidP="00C21F15">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（8）本基金管理人管理的全部基金投资于同一原始权益人的各类资产支持证券，不得超过其各类资产支持证券合计规模的10％；</w:t>
      </w:r>
    </w:p>
    <w:p w14:paraId="49A40F8E" w14:textId="77777777" w:rsidR="00C21F15" w:rsidRPr="002C2B23" w:rsidRDefault="00C21F15" w:rsidP="00C21F15">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（9）本基金应投资于信用级别评级为BBB以上(含BBB)的资产支持证券。基金持有资产支持证券期间，如果其信用等级下降、不再符合投资标准，应在评级报告发布之日起3个月内予以全部卖出；</w:t>
      </w:r>
    </w:p>
    <w:p w14:paraId="35F588BD" w14:textId="77777777" w:rsidR="00C21F15" w:rsidRPr="002C2B23" w:rsidRDefault="00C21F15" w:rsidP="00C21F15">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（10）基金财产参与股票发行申购，本基金所申报的金额不超过本基金的总资产，本基金所申报的股票数量不超过拟发行股票公司本次发行股票的总量；</w:t>
      </w:r>
    </w:p>
    <w:p w14:paraId="278B7F72" w14:textId="77777777" w:rsidR="00C21F15" w:rsidRPr="002C2B23" w:rsidRDefault="00C21F15" w:rsidP="00C21F15">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11）本基金管理人管理的全部开放式基金(包括开放式基金以及处于开放期的定期开放基金)持有一家上市公司发行的可流通股票（A股与H股合并计算），不得超过该上市公司可流通股票的15%；本基金管理人管理的全部投资组合持有一家上市公司发行的可流通股票（A股与H股合并计算），不得超过该上市公司可流通股票的30%；</w:t>
      </w:r>
    </w:p>
    <w:p w14:paraId="2DA50884" w14:textId="77777777" w:rsidR="00C21F15" w:rsidRPr="002C2B23" w:rsidRDefault="00C21F15" w:rsidP="00C21F15">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12）本基金主动投资于流动性受限资产的市值（A股与H股合并计算）合计不得超过该基金资产净值的15%；因证券市场波动、上市公司股票停牌、基金规模变动等基金管理人之外的因素致使基金不符合该比例限制的，基金管理人不得主动新增流动性受限资产的投资；</w:t>
      </w:r>
    </w:p>
    <w:p w14:paraId="2F446A19" w14:textId="77777777" w:rsidR="00C21F15" w:rsidRPr="002C2B23" w:rsidRDefault="00C21F15" w:rsidP="00C21F15">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（13）本基金与私募类</w:t>
      </w:r>
      <w:proofErr w:type="gramStart"/>
      <w:r w:rsidRPr="002C2B23">
        <w:rPr>
          <w:rFonts w:ascii="宋体" w:hAnsi="宋体" w:hint="eastAsia"/>
          <w:bCs/>
          <w:sz w:val="24"/>
          <w:lang w:eastAsia="zh-CN"/>
        </w:rPr>
        <w:t>证券资管产品</w:t>
      </w:r>
      <w:proofErr w:type="gramEnd"/>
      <w:r w:rsidRPr="002C2B23">
        <w:rPr>
          <w:rFonts w:ascii="宋体" w:hAnsi="宋体" w:hint="eastAsia"/>
          <w:bCs/>
          <w:sz w:val="24"/>
          <w:lang w:eastAsia="zh-CN"/>
        </w:rPr>
        <w:t>及中国证监会认定的其他主体为交易对手开展逆回购交易的，可接受质押品的资质要求应当与本基金合同约定的投资范围保持一致；</w:t>
      </w:r>
    </w:p>
    <w:p w14:paraId="6EA7191F" w14:textId="77777777" w:rsidR="00C21F15" w:rsidRPr="002C2B23" w:rsidRDefault="00C21F15" w:rsidP="00C21F15">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（14）本基金资产总值不超过基金资产净值的140%；</w:t>
      </w:r>
    </w:p>
    <w:p w14:paraId="1B7BA483" w14:textId="77777777" w:rsidR="00C21F15" w:rsidRPr="002C2B23" w:rsidRDefault="00C21F15" w:rsidP="00C21F15">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（15）本基金参与股指期货、国债期货交易，需遵守下列规定：</w:t>
      </w:r>
    </w:p>
    <w:p w14:paraId="7162FEF1" w14:textId="77777777" w:rsidR="00C21F15" w:rsidRPr="002C2B23" w:rsidRDefault="00C21F15" w:rsidP="00C21F15">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1)本基金在任何交易日日终，持有的买入股指期货合约价值，不得超过基金资产净值的10%；</w:t>
      </w:r>
    </w:p>
    <w:p w14:paraId="7DDB5D15" w14:textId="77777777" w:rsidR="00C21F15" w:rsidRPr="002C2B23" w:rsidRDefault="00C21F15" w:rsidP="00C21F15">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2)本基金在任何交易日日终，持有的买入国债期货合约价值，不得超过基金资产净值的15%；</w:t>
      </w:r>
    </w:p>
    <w:p w14:paraId="638EE071" w14:textId="77777777" w:rsidR="00C21F15" w:rsidRPr="002C2B23" w:rsidRDefault="00C21F15" w:rsidP="00C21F15">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3)本基金在任何交易日日终，持有的买入国债期货和股指期货合约价值与有价证券市值之和，不得超过基金资产净值的95%。其中，有价证券指股票、债券（不含到期日在一年以内的政府债券）、资产支持证券、买入返售金融资产（不含质押式回购）等；</w:t>
      </w:r>
    </w:p>
    <w:p w14:paraId="7B454BF4" w14:textId="77777777" w:rsidR="00C21F15" w:rsidRPr="002C2B23" w:rsidRDefault="00C21F15" w:rsidP="00C21F15">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4)本基金在任何交易日日终，持有的卖出股指期货合约价值不得超过基金持有的股票总市值的20%；</w:t>
      </w:r>
    </w:p>
    <w:p w14:paraId="2C7FC7FA" w14:textId="77777777" w:rsidR="00C21F15" w:rsidRPr="002C2B23" w:rsidRDefault="00C21F15" w:rsidP="00C21F15">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5)本基金在任何交易日日终，持有的卖出国债期货合约价值不得超过基金持有的债券总市值的30%；</w:t>
      </w:r>
    </w:p>
    <w:p w14:paraId="3D2790DF" w14:textId="77777777" w:rsidR="00C21F15" w:rsidRPr="002C2B23" w:rsidRDefault="00C21F15" w:rsidP="00C21F15">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6)本基金在任何交易日内交易（不包括平仓）的股指期货合约的成交金额不得超过上一交易日基金资产净值的20%；</w:t>
      </w:r>
    </w:p>
    <w:p w14:paraId="31ED86B1" w14:textId="77777777" w:rsidR="00C21F15" w:rsidRPr="002C2B23" w:rsidRDefault="00C21F15" w:rsidP="00C21F15">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7)本基金在任何交易日内交易（不包括平仓）的国债期货合约的成交金额不得超过上一交易日基金资产净值的30%；</w:t>
      </w:r>
    </w:p>
    <w:p w14:paraId="0054F950" w14:textId="77777777" w:rsidR="00C21F15" w:rsidRPr="002C2B23" w:rsidRDefault="00C21F15" w:rsidP="00C21F15">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8)本基金所持有的股票市值和买入、卖出股指期货合约价值，合计（轧差计算）应当符合基金合同关于股票投资比例的有关规定；</w:t>
      </w:r>
    </w:p>
    <w:p w14:paraId="56ED30B4" w14:textId="77777777" w:rsidR="00C21F15" w:rsidRPr="002C2B23" w:rsidRDefault="00C21F15" w:rsidP="00C21F15">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9)基金所持有的债券（不含到期日在一年以内的政府债券）市值和买入、卖出国债期货合约价值，合计（轧差计算）应当符合基金合同关于债券投资比例的有关约定；</w:t>
      </w:r>
    </w:p>
    <w:p w14:paraId="64723D89" w14:textId="77777777" w:rsidR="00C21F15" w:rsidRPr="002C2B23" w:rsidRDefault="00C21F15" w:rsidP="00C21F15">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（16）本基金</w:t>
      </w:r>
      <w:proofErr w:type="gramStart"/>
      <w:r w:rsidRPr="002C2B23">
        <w:rPr>
          <w:rFonts w:ascii="宋体" w:hAnsi="宋体" w:hint="eastAsia"/>
          <w:bCs/>
          <w:sz w:val="24"/>
          <w:lang w:eastAsia="zh-CN"/>
        </w:rPr>
        <w:t>若参</w:t>
      </w:r>
      <w:proofErr w:type="gramEnd"/>
      <w:r w:rsidRPr="002C2B23">
        <w:rPr>
          <w:rFonts w:ascii="宋体" w:hAnsi="宋体" w:hint="eastAsia"/>
          <w:bCs/>
          <w:sz w:val="24"/>
          <w:lang w:eastAsia="zh-CN"/>
        </w:rPr>
        <w:t>与股票期权交易，基金因未平仓的股票期权合约支付和收取的权利金总额不得超过基金资产净值的10%；开仓卖出认购股票期权的，应持有足额标的证券；开仓卖出认</w:t>
      </w:r>
      <w:proofErr w:type="gramStart"/>
      <w:r w:rsidRPr="002C2B23">
        <w:rPr>
          <w:rFonts w:ascii="宋体" w:hAnsi="宋体" w:hint="eastAsia"/>
          <w:bCs/>
          <w:sz w:val="24"/>
          <w:lang w:eastAsia="zh-CN"/>
        </w:rPr>
        <w:t>沽股票</w:t>
      </w:r>
      <w:proofErr w:type="gramEnd"/>
      <w:r w:rsidRPr="002C2B23">
        <w:rPr>
          <w:rFonts w:ascii="宋体" w:hAnsi="宋体" w:hint="eastAsia"/>
          <w:bCs/>
          <w:sz w:val="24"/>
          <w:lang w:eastAsia="zh-CN"/>
        </w:rPr>
        <w:t>期权的，应持有合约行权所需的全额现金或交易所规则认可的可冲抵股票期权保证金的现金等价物；未平仓的股票期权合约面值不得超过基金资产净值的20%。其中，合约面值按照行权价乘以合约乘数计算；</w:t>
      </w:r>
    </w:p>
    <w:p w14:paraId="0DAF9853" w14:textId="77777777" w:rsidR="00C21F15" w:rsidRPr="002C2B23" w:rsidRDefault="00C21F15" w:rsidP="00C21F15">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（1</w:t>
      </w:r>
      <w:r w:rsidRPr="002C2B23">
        <w:rPr>
          <w:rFonts w:ascii="宋体" w:hAnsi="宋体"/>
          <w:bCs/>
          <w:sz w:val="24"/>
          <w:lang w:eastAsia="zh-CN"/>
        </w:rPr>
        <w:t>7</w:t>
      </w:r>
      <w:r w:rsidRPr="002C2B23">
        <w:rPr>
          <w:rFonts w:ascii="宋体" w:hAnsi="宋体" w:hint="eastAsia"/>
          <w:bCs/>
          <w:sz w:val="24"/>
          <w:lang w:eastAsia="zh-CN"/>
        </w:rPr>
        <w:t>）本基金投资存托凭证的比例限制依照境内上市交易的股票执行，与境内上市交易的股票合并计算；</w:t>
      </w:r>
    </w:p>
    <w:p w14:paraId="24735CAE" w14:textId="77777777" w:rsidR="00C21F15" w:rsidRPr="002C2B23" w:rsidRDefault="00C21F15" w:rsidP="00C21F15">
      <w:pPr>
        <w:spacing w:line="360" w:lineRule="auto"/>
        <w:ind w:leftChars="180" w:left="360" w:firstLine="480"/>
        <w:rPr>
          <w:rFonts w:ascii="宋体" w:hAnsi="宋体"/>
          <w:bCs/>
          <w:sz w:val="24"/>
          <w:lang w:eastAsia="zh-CN"/>
        </w:rPr>
      </w:pPr>
      <w:r w:rsidRPr="002C2B23">
        <w:rPr>
          <w:rFonts w:ascii="宋体" w:hAnsi="宋体" w:hint="eastAsia"/>
          <w:bCs/>
          <w:sz w:val="24"/>
          <w:lang w:eastAsia="zh-CN"/>
        </w:rPr>
        <w:t>（1</w:t>
      </w:r>
      <w:r w:rsidRPr="002C2B23">
        <w:rPr>
          <w:rFonts w:ascii="宋体" w:hAnsi="宋体"/>
          <w:bCs/>
          <w:sz w:val="24"/>
          <w:lang w:eastAsia="zh-CN"/>
        </w:rPr>
        <w:t>8</w:t>
      </w:r>
      <w:r w:rsidRPr="002C2B23">
        <w:rPr>
          <w:rFonts w:ascii="宋体" w:hAnsi="宋体" w:hint="eastAsia"/>
          <w:bCs/>
          <w:sz w:val="24"/>
          <w:lang w:eastAsia="zh-CN"/>
        </w:rPr>
        <w:t>）法律法规及中国证监会规定的和《基金合同》约定的其他投资限制。</w:t>
      </w:r>
    </w:p>
    <w:p w14:paraId="78B73F59" w14:textId="77777777" w:rsidR="00C21F15" w:rsidRPr="002C2B23" w:rsidRDefault="00C21F15" w:rsidP="00C21F15">
      <w:pPr>
        <w:spacing w:line="360" w:lineRule="auto"/>
        <w:ind w:firstLine="480"/>
        <w:rPr>
          <w:bCs/>
          <w:sz w:val="24"/>
          <w:lang w:eastAsia="zh-CN"/>
        </w:rPr>
      </w:pPr>
      <w:r w:rsidRPr="002C2B23">
        <w:rPr>
          <w:rFonts w:ascii="宋体" w:hAnsi="宋体" w:hint="eastAsia"/>
          <w:bCs/>
          <w:sz w:val="24"/>
          <w:lang w:eastAsia="zh-CN"/>
        </w:rPr>
        <w:t>除上述（2）、（9）、（12）、（13）情形之外，因证券、期货市场波动、证券发行人合并、基金规模变动等基金管理人之外的因素致使基金投资比例不符合上述规定投资比例的，基金管理人应当在10个交易日内进行调整，但中国证监会规定的特殊情形除外。</w:t>
      </w:r>
    </w:p>
    <w:p w14:paraId="290625C1" w14:textId="77777777" w:rsidR="00C21F15" w:rsidRPr="002C2B23" w:rsidRDefault="00C21F15" w:rsidP="00C21F15">
      <w:pPr>
        <w:spacing w:line="360" w:lineRule="auto"/>
        <w:ind w:firstLine="480"/>
        <w:rPr>
          <w:bCs/>
          <w:sz w:val="24"/>
          <w:lang w:eastAsia="zh-CN"/>
        </w:rPr>
      </w:pPr>
      <w:r w:rsidRPr="002C2B23">
        <w:rPr>
          <w:bCs/>
          <w:sz w:val="24"/>
          <w:lang w:eastAsia="zh-CN"/>
        </w:rPr>
        <w:t>基金管理人应当自基金合同生效之日起</w:t>
      </w:r>
      <w:r w:rsidRPr="002C2B23">
        <w:rPr>
          <w:bCs/>
          <w:sz w:val="24"/>
          <w:lang w:eastAsia="zh-CN"/>
        </w:rPr>
        <w:t>6</w:t>
      </w:r>
      <w:r w:rsidRPr="002C2B23">
        <w:rPr>
          <w:bCs/>
          <w:sz w:val="24"/>
          <w:lang w:eastAsia="zh-CN"/>
        </w:rPr>
        <w:t>个月内使基金的投资组合比例符合基金合同的有关约定。在上述期间内，本基金的投资范围、投资策略应当符合基金合同的约定。基金托管人对基金的投资的监督与检查自本基金合同生效之日起开始。</w:t>
      </w:r>
    </w:p>
    <w:p w14:paraId="6BE330A8" w14:textId="77777777" w:rsidR="00C21F15" w:rsidRPr="002C2B23" w:rsidRDefault="00C21F15" w:rsidP="00C21F15">
      <w:pPr>
        <w:spacing w:line="360" w:lineRule="auto"/>
        <w:ind w:firstLine="480"/>
        <w:rPr>
          <w:bCs/>
          <w:sz w:val="24"/>
          <w:lang w:eastAsia="zh-CN"/>
        </w:rPr>
      </w:pPr>
      <w:r w:rsidRPr="002C2B23">
        <w:rPr>
          <w:bCs/>
          <w:sz w:val="24"/>
          <w:lang w:eastAsia="zh-CN"/>
        </w:rPr>
        <w:t>法律法规或监管部门取消或变更上述限制，如适用于本基金，基金管理人在履行适当程序后，则本基金投资不再受相关限制或按变更后的规定执行。</w:t>
      </w:r>
    </w:p>
    <w:p w14:paraId="05CE8B2E" w14:textId="77777777" w:rsidR="00C21F15" w:rsidRPr="002C2B23" w:rsidRDefault="00C21F15" w:rsidP="00C21F15">
      <w:pPr>
        <w:spacing w:line="360" w:lineRule="auto"/>
        <w:ind w:firstLine="480"/>
        <w:rPr>
          <w:bCs/>
          <w:sz w:val="24"/>
          <w:lang w:eastAsia="zh-CN"/>
        </w:rPr>
      </w:pPr>
      <w:r w:rsidRPr="002C2B23">
        <w:rPr>
          <w:bCs/>
          <w:sz w:val="24"/>
          <w:lang w:eastAsia="zh-CN"/>
        </w:rPr>
        <w:t>2</w:t>
      </w:r>
      <w:r w:rsidRPr="002C2B23">
        <w:rPr>
          <w:bCs/>
          <w:sz w:val="24"/>
          <w:lang w:eastAsia="zh-CN"/>
        </w:rPr>
        <w:t>、禁止行为</w:t>
      </w:r>
    </w:p>
    <w:p w14:paraId="5FBE17C9" w14:textId="77777777" w:rsidR="00C21F15" w:rsidRPr="002C2B23" w:rsidRDefault="00C21F15" w:rsidP="00C21F15">
      <w:pPr>
        <w:spacing w:line="360" w:lineRule="auto"/>
        <w:ind w:firstLine="480"/>
        <w:rPr>
          <w:bCs/>
          <w:sz w:val="24"/>
          <w:lang w:eastAsia="zh-CN"/>
        </w:rPr>
      </w:pPr>
      <w:r w:rsidRPr="002C2B23">
        <w:rPr>
          <w:bCs/>
          <w:sz w:val="24"/>
          <w:lang w:eastAsia="zh-CN"/>
        </w:rPr>
        <w:t>为维护基金份额持有人的合法权益，基金财产不得用于下列投资或者活动：</w:t>
      </w:r>
    </w:p>
    <w:p w14:paraId="1AA35D14"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）承销证券；</w:t>
      </w:r>
    </w:p>
    <w:p w14:paraId="083680B1"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）违反规定向他人贷款或者提供担保；</w:t>
      </w:r>
    </w:p>
    <w:p w14:paraId="2DF3B129"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3</w:t>
      </w:r>
      <w:r w:rsidRPr="002C2B23">
        <w:rPr>
          <w:bCs/>
          <w:sz w:val="24"/>
          <w:lang w:eastAsia="zh-CN"/>
        </w:rPr>
        <w:t>）从事承担无限责任的投资；</w:t>
      </w:r>
    </w:p>
    <w:p w14:paraId="78E047D6"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4</w:t>
      </w:r>
      <w:r w:rsidRPr="002C2B23">
        <w:rPr>
          <w:bCs/>
          <w:sz w:val="24"/>
          <w:lang w:eastAsia="zh-CN"/>
        </w:rPr>
        <w:t>）买卖其他基金份额，但是中国证监会另有规定的除外；</w:t>
      </w:r>
    </w:p>
    <w:p w14:paraId="4F30C3B1"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5</w:t>
      </w:r>
      <w:r w:rsidRPr="002C2B23">
        <w:rPr>
          <w:bCs/>
          <w:sz w:val="24"/>
          <w:lang w:eastAsia="zh-CN"/>
        </w:rPr>
        <w:t>）向其基金管理人、基金托管人出资；</w:t>
      </w:r>
    </w:p>
    <w:p w14:paraId="1CD04D52"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6</w:t>
      </w:r>
      <w:r w:rsidRPr="002C2B23">
        <w:rPr>
          <w:bCs/>
          <w:sz w:val="24"/>
          <w:lang w:eastAsia="zh-CN"/>
        </w:rPr>
        <w:t>）从事内幕交易、操纵证券交易价格及其他不正当的证券交易活动；</w:t>
      </w:r>
    </w:p>
    <w:p w14:paraId="7E330B77"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7</w:t>
      </w:r>
      <w:r w:rsidRPr="002C2B23">
        <w:rPr>
          <w:bCs/>
          <w:sz w:val="24"/>
          <w:lang w:eastAsia="zh-CN"/>
        </w:rPr>
        <w:t>）法律、行政法规和中国证监会规定禁止的其他活动。</w:t>
      </w:r>
    </w:p>
    <w:p w14:paraId="074BDBC8" w14:textId="77777777" w:rsidR="00C21F15" w:rsidRPr="002C2B23" w:rsidRDefault="00C21F15" w:rsidP="00C21F15">
      <w:pPr>
        <w:spacing w:line="360" w:lineRule="auto"/>
        <w:ind w:firstLine="480"/>
        <w:rPr>
          <w:bCs/>
          <w:sz w:val="24"/>
          <w:lang w:eastAsia="zh-CN"/>
        </w:rPr>
      </w:pPr>
      <w:r w:rsidRPr="002C2B23">
        <w:rPr>
          <w:bCs/>
          <w:sz w:val="24"/>
          <w:lang w:eastAsia="zh-CN"/>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043B2B67" w14:textId="77777777" w:rsidR="00C21F15" w:rsidRPr="002C2B23" w:rsidRDefault="00C21F15" w:rsidP="00C21F15">
      <w:pPr>
        <w:spacing w:line="360" w:lineRule="auto"/>
        <w:ind w:firstLine="480"/>
        <w:rPr>
          <w:bCs/>
          <w:sz w:val="24"/>
          <w:lang w:eastAsia="zh-CN"/>
        </w:rPr>
      </w:pPr>
      <w:r w:rsidRPr="002C2B23">
        <w:rPr>
          <w:bCs/>
          <w:sz w:val="24"/>
          <w:lang w:eastAsia="zh-CN"/>
        </w:rPr>
        <w:t>法律、行政法规或监管部门取消或变更上述规定，如适用于本基金，基金管理人在履行适当程序后，则本基金投资不再受相关限制或以变更后的规定为准。</w:t>
      </w:r>
    </w:p>
    <w:p w14:paraId="6CFCB42E" w14:textId="77777777" w:rsidR="00C21F15" w:rsidRPr="002C2B23" w:rsidRDefault="00C21F15" w:rsidP="00C21F15">
      <w:pPr>
        <w:spacing w:line="360" w:lineRule="auto"/>
        <w:ind w:firstLine="480"/>
        <w:rPr>
          <w:sz w:val="24"/>
          <w:lang w:eastAsia="zh-CN"/>
        </w:rPr>
      </w:pPr>
      <w:r w:rsidRPr="002C2B23">
        <w:rPr>
          <w:sz w:val="24"/>
          <w:lang w:eastAsia="zh-CN"/>
        </w:rPr>
        <w:t>六、基金净值信息的计算方法和公告方式</w:t>
      </w:r>
    </w:p>
    <w:p w14:paraId="35993788" w14:textId="77777777" w:rsidR="00C21F15" w:rsidRPr="002C2B23" w:rsidRDefault="00C21F15" w:rsidP="00C21F15">
      <w:pPr>
        <w:spacing w:line="360" w:lineRule="auto"/>
        <w:ind w:firstLine="360"/>
        <w:rPr>
          <w:rFonts w:ascii="宋体" w:hAnsi="宋体"/>
          <w:sz w:val="24"/>
          <w:lang w:eastAsia="zh-CN"/>
        </w:rPr>
      </w:pPr>
      <w:r w:rsidRPr="002C2B23">
        <w:rPr>
          <w:rFonts w:ascii="宋体" w:hAnsi="宋体"/>
          <w:sz w:val="24"/>
          <w:lang w:eastAsia="zh-CN"/>
        </w:rPr>
        <w:t>（一）估值对象</w:t>
      </w:r>
    </w:p>
    <w:p w14:paraId="51F428C2" w14:textId="77777777" w:rsidR="00C21F15" w:rsidRPr="002C2B23" w:rsidRDefault="00C21F15" w:rsidP="00C21F15">
      <w:pPr>
        <w:spacing w:line="360" w:lineRule="auto"/>
        <w:ind w:firstLine="360"/>
        <w:rPr>
          <w:rFonts w:ascii="宋体" w:hAnsi="宋体"/>
          <w:sz w:val="24"/>
          <w:lang w:eastAsia="zh-CN"/>
        </w:rPr>
      </w:pPr>
      <w:r w:rsidRPr="002C2B23">
        <w:rPr>
          <w:bCs/>
          <w:sz w:val="24"/>
          <w:lang w:eastAsia="zh-CN"/>
        </w:rPr>
        <w:t>基金所拥有的股票、股指期货合约、国债期货合约、</w:t>
      </w:r>
      <w:r w:rsidRPr="002C2B23">
        <w:rPr>
          <w:rFonts w:hint="eastAsia"/>
          <w:bCs/>
          <w:sz w:val="24"/>
          <w:lang w:eastAsia="zh-CN"/>
        </w:rPr>
        <w:t>股票期权合约、</w:t>
      </w:r>
      <w:r w:rsidRPr="002C2B23">
        <w:rPr>
          <w:bCs/>
          <w:sz w:val="24"/>
          <w:lang w:eastAsia="zh-CN"/>
        </w:rPr>
        <w:t>债券和银行存款本息、应收款项、资产支持证券、其它投资等资产及负债。</w:t>
      </w:r>
    </w:p>
    <w:p w14:paraId="1ECC77D7" w14:textId="77777777" w:rsidR="00C21F15" w:rsidRPr="002C2B23" w:rsidRDefault="00C21F15" w:rsidP="00C21F15">
      <w:pPr>
        <w:spacing w:line="360" w:lineRule="auto"/>
        <w:ind w:firstLine="480"/>
        <w:rPr>
          <w:rFonts w:ascii="宋体" w:hAnsi="宋体"/>
          <w:sz w:val="24"/>
          <w:lang w:eastAsia="zh-CN"/>
        </w:rPr>
      </w:pPr>
      <w:r w:rsidRPr="002C2B23">
        <w:rPr>
          <w:rFonts w:ascii="宋体" w:hAnsi="宋体"/>
          <w:sz w:val="24"/>
          <w:lang w:eastAsia="zh-CN"/>
        </w:rPr>
        <w:t>（二）估值方法</w:t>
      </w:r>
    </w:p>
    <w:p w14:paraId="251E3305" w14:textId="77777777" w:rsidR="00C21F15" w:rsidRPr="002C2B23" w:rsidRDefault="00C21F15" w:rsidP="00C21F15">
      <w:pPr>
        <w:spacing w:line="360" w:lineRule="auto"/>
        <w:ind w:firstLine="480"/>
        <w:rPr>
          <w:bCs/>
          <w:sz w:val="24"/>
          <w:lang w:eastAsia="zh-CN"/>
        </w:rPr>
      </w:pPr>
      <w:r w:rsidRPr="002C2B23">
        <w:rPr>
          <w:bCs/>
          <w:sz w:val="24"/>
          <w:lang w:eastAsia="zh-CN"/>
        </w:rPr>
        <w:t>1</w:t>
      </w:r>
      <w:r w:rsidRPr="002C2B23">
        <w:rPr>
          <w:bCs/>
          <w:sz w:val="24"/>
          <w:lang w:eastAsia="zh-CN"/>
        </w:rPr>
        <w:t>、证券交易所上市的有价证券的估值</w:t>
      </w:r>
    </w:p>
    <w:p w14:paraId="12981E56"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交易所上市的有价证券（包括股票等），以其估值日在证券交易所挂牌的市价（收盘价）估值；估值日无交易的，最近交易日后经济环境未发生重大变化且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70D082B6"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）交易所上市交易或挂牌转让的</w:t>
      </w:r>
      <w:r w:rsidRPr="002C2B23">
        <w:rPr>
          <w:rFonts w:hint="eastAsia"/>
          <w:bCs/>
          <w:sz w:val="24"/>
          <w:lang w:eastAsia="zh-CN"/>
        </w:rPr>
        <w:t>不含</w:t>
      </w:r>
      <w:proofErr w:type="gramStart"/>
      <w:r w:rsidRPr="002C2B23">
        <w:rPr>
          <w:rFonts w:hint="eastAsia"/>
          <w:bCs/>
          <w:sz w:val="24"/>
          <w:lang w:eastAsia="zh-CN"/>
        </w:rPr>
        <w:t>权</w:t>
      </w:r>
      <w:r w:rsidRPr="002C2B23">
        <w:rPr>
          <w:bCs/>
          <w:sz w:val="24"/>
          <w:lang w:eastAsia="zh-CN"/>
        </w:rPr>
        <w:t>固定</w:t>
      </w:r>
      <w:proofErr w:type="gramEnd"/>
      <w:r w:rsidRPr="002C2B23">
        <w:rPr>
          <w:bCs/>
          <w:sz w:val="24"/>
          <w:lang w:eastAsia="zh-CN"/>
        </w:rPr>
        <w:t>收益品种（本基金合同另有规定的除外），</w:t>
      </w:r>
      <w:r w:rsidRPr="002C2B23">
        <w:rPr>
          <w:rFonts w:hint="eastAsia"/>
          <w:bCs/>
          <w:sz w:val="24"/>
          <w:lang w:eastAsia="zh-CN"/>
        </w:rPr>
        <w:t>选取估值日第三方估值机构提供的相应品种当日的估值全价；交易所上市交易或挂牌转让的含</w:t>
      </w:r>
      <w:proofErr w:type="gramStart"/>
      <w:r w:rsidRPr="002C2B23">
        <w:rPr>
          <w:rFonts w:hint="eastAsia"/>
          <w:bCs/>
          <w:sz w:val="24"/>
          <w:lang w:eastAsia="zh-CN"/>
        </w:rPr>
        <w:t>权固定</w:t>
      </w:r>
      <w:proofErr w:type="gramEnd"/>
      <w:r w:rsidRPr="002C2B23">
        <w:rPr>
          <w:rFonts w:hint="eastAsia"/>
          <w:bCs/>
          <w:sz w:val="24"/>
          <w:lang w:eastAsia="zh-CN"/>
        </w:rPr>
        <w:t>收益品种，选取估值日第三方估值机构提供的相应品种当日的唯一估值全价或推荐估值全价。</w:t>
      </w:r>
      <w:r w:rsidRPr="002C2B23">
        <w:rPr>
          <w:bCs/>
          <w:sz w:val="24"/>
          <w:lang w:eastAsia="zh-CN"/>
        </w:rPr>
        <w:t>具体估值机构由基金管理人与基金托管人另行协商约定；</w:t>
      </w:r>
    </w:p>
    <w:p w14:paraId="0A33662C"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3</w:t>
      </w:r>
      <w:r w:rsidRPr="002C2B23">
        <w:rPr>
          <w:bCs/>
          <w:sz w:val="24"/>
          <w:lang w:eastAsia="zh-CN"/>
        </w:rPr>
        <w:t>）</w:t>
      </w:r>
      <w:r w:rsidRPr="002C2B23">
        <w:rPr>
          <w:rFonts w:hint="eastAsia"/>
          <w:bCs/>
          <w:sz w:val="24"/>
          <w:lang w:eastAsia="zh-CN"/>
        </w:rPr>
        <w:t>交易所上市交易的公开发行的可转换债券等有活跃市场的含转股权的债券，实行全价交易的债券选取估值日收盘价作为估值全价；实行净价交易的债券选取估值日收盘价并加计每百元税前应计利息作为估值全价。</w:t>
      </w:r>
    </w:p>
    <w:p w14:paraId="70E368BE" w14:textId="77777777" w:rsidR="00C21F15" w:rsidRPr="002C2B23" w:rsidRDefault="00C21F15" w:rsidP="00C21F15">
      <w:pPr>
        <w:spacing w:line="360" w:lineRule="auto"/>
        <w:ind w:firstLine="480"/>
        <w:rPr>
          <w:bCs/>
          <w:sz w:val="24"/>
          <w:lang w:eastAsia="zh-CN"/>
        </w:rPr>
      </w:pPr>
    </w:p>
    <w:p w14:paraId="5F363B28"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4</w:t>
      </w:r>
      <w:r w:rsidRPr="002C2B23">
        <w:rPr>
          <w:bCs/>
          <w:sz w:val="24"/>
          <w:lang w:eastAsia="zh-CN"/>
        </w:rPr>
        <w:t>）交易所上市不存在活跃市场的有价证券，采用估值技术确定公允价值。。</w:t>
      </w:r>
    </w:p>
    <w:p w14:paraId="3E884A5E" w14:textId="77777777" w:rsidR="00C21F15" w:rsidRPr="002C2B23" w:rsidRDefault="00C21F15" w:rsidP="00C21F15">
      <w:pPr>
        <w:spacing w:line="360" w:lineRule="auto"/>
        <w:ind w:firstLine="480"/>
        <w:rPr>
          <w:bCs/>
          <w:sz w:val="24"/>
          <w:lang w:eastAsia="zh-CN"/>
        </w:rPr>
      </w:pPr>
      <w:r w:rsidRPr="002C2B23">
        <w:rPr>
          <w:bCs/>
          <w:sz w:val="24"/>
          <w:lang w:eastAsia="zh-CN"/>
        </w:rPr>
        <w:t>2</w:t>
      </w:r>
      <w:r w:rsidRPr="002C2B23">
        <w:rPr>
          <w:bCs/>
          <w:sz w:val="24"/>
          <w:lang w:eastAsia="zh-CN"/>
        </w:rPr>
        <w:t>、处于未上市期间的有价证券应区分如下情况处理：</w:t>
      </w:r>
    </w:p>
    <w:p w14:paraId="0D99D404"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）送股、转增股、配股和公开增发的新股，按估值日在证券交易所挂牌的同一股票的估值方法估值；该日无交易的，以最近一日的市价（收盘价）估值；</w:t>
      </w:r>
    </w:p>
    <w:p w14:paraId="61674517"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）首次公开发行未上市或未挂牌转让的股票，采用估值技术确定公允价值；</w:t>
      </w:r>
    </w:p>
    <w:p w14:paraId="51D26091"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3</w:t>
      </w:r>
      <w:r w:rsidRPr="002C2B23">
        <w:rPr>
          <w:bCs/>
          <w:sz w:val="24"/>
          <w:lang w:eastAsia="zh-CN"/>
        </w:rPr>
        <w:t>）流通受限的股票，指在发行时明确一定期限限售期的股票，包括但不限于非公开发行股票、首次公开发行股票时公司股东公开发售股份、通过大宗交易取得的带限售期的股票等（不包括停牌、新发行未上市、回购交易中的质押</w:t>
      </w:r>
      <w:proofErr w:type="gramStart"/>
      <w:r w:rsidRPr="002C2B23">
        <w:rPr>
          <w:bCs/>
          <w:sz w:val="24"/>
          <w:lang w:eastAsia="zh-CN"/>
        </w:rPr>
        <w:t>券</w:t>
      </w:r>
      <w:proofErr w:type="gramEnd"/>
      <w:r w:rsidRPr="002C2B23">
        <w:rPr>
          <w:bCs/>
          <w:sz w:val="24"/>
          <w:lang w:eastAsia="zh-CN"/>
        </w:rPr>
        <w:t>等流通受限股票），按监管机构或行业协会有关规定确定公允价值。</w:t>
      </w:r>
    </w:p>
    <w:p w14:paraId="0ECF7305" w14:textId="77777777" w:rsidR="00C21F15" w:rsidRPr="002C2B23" w:rsidRDefault="00C21F15" w:rsidP="00C21F15">
      <w:pPr>
        <w:spacing w:line="360" w:lineRule="auto"/>
        <w:ind w:firstLine="480"/>
        <w:rPr>
          <w:bCs/>
          <w:sz w:val="24"/>
          <w:lang w:eastAsia="zh-CN"/>
        </w:rPr>
      </w:pPr>
      <w:r w:rsidRPr="002C2B23">
        <w:rPr>
          <w:rFonts w:hint="eastAsia"/>
          <w:bCs/>
          <w:sz w:val="24"/>
          <w:lang w:eastAsia="zh-CN"/>
        </w:rPr>
        <w:t>（</w:t>
      </w:r>
      <w:r w:rsidRPr="002C2B23">
        <w:rPr>
          <w:rFonts w:hint="eastAsia"/>
          <w:bCs/>
          <w:sz w:val="24"/>
          <w:lang w:eastAsia="zh-CN"/>
        </w:rPr>
        <w:t>4</w:t>
      </w:r>
      <w:r w:rsidRPr="002C2B23">
        <w:rPr>
          <w:rFonts w:hint="eastAsia"/>
          <w:bCs/>
          <w:sz w:val="24"/>
          <w:lang w:eastAsia="zh-CN"/>
        </w:rPr>
        <w:t>）交易所未上市或未挂牌转让且不存在活跃市场的固定收益品种，应采用在当前情况下适用并且有足够可利用数据和其他信息支持的估值技术确定其公允价值。</w:t>
      </w:r>
    </w:p>
    <w:p w14:paraId="477C4036" w14:textId="77777777" w:rsidR="00C21F15" w:rsidRPr="002C2B23" w:rsidRDefault="00C21F15" w:rsidP="00C21F15">
      <w:pPr>
        <w:spacing w:line="360" w:lineRule="auto"/>
        <w:ind w:firstLine="480"/>
        <w:rPr>
          <w:bCs/>
          <w:sz w:val="24"/>
          <w:lang w:eastAsia="zh-CN"/>
        </w:rPr>
      </w:pPr>
      <w:r w:rsidRPr="002C2B23">
        <w:rPr>
          <w:bCs/>
          <w:sz w:val="24"/>
          <w:lang w:eastAsia="zh-CN"/>
        </w:rPr>
        <w:t>3</w:t>
      </w:r>
      <w:r w:rsidRPr="002C2B23">
        <w:rPr>
          <w:bCs/>
          <w:sz w:val="24"/>
          <w:lang w:eastAsia="zh-CN"/>
        </w:rPr>
        <w:t>、</w:t>
      </w:r>
      <w:r w:rsidRPr="002C2B23">
        <w:rPr>
          <w:rFonts w:hint="eastAsia"/>
          <w:bCs/>
          <w:sz w:val="24"/>
          <w:lang w:eastAsia="zh-CN"/>
        </w:rPr>
        <w:t>对全国银行间市场上不含权的固定收益品种，选取估值日第三方估值机构提供的相应品种当日的估值全价；对全国银行间市场上含权的固定收益品种，选取估值日第三方估值机构提供的相应品种当日的唯一估值全价或推荐估值全价。</w:t>
      </w:r>
    </w:p>
    <w:p w14:paraId="04B836B5" w14:textId="77777777" w:rsidR="00C21F15" w:rsidRPr="002C2B23" w:rsidRDefault="00C21F15" w:rsidP="00C21F15">
      <w:pPr>
        <w:spacing w:line="360" w:lineRule="auto"/>
        <w:ind w:firstLine="480"/>
        <w:rPr>
          <w:bCs/>
          <w:sz w:val="24"/>
          <w:lang w:eastAsia="zh-CN"/>
        </w:rPr>
      </w:pPr>
      <w:r w:rsidRPr="002C2B23">
        <w:rPr>
          <w:rFonts w:hint="eastAsia"/>
          <w:bCs/>
          <w:sz w:val="24"/>
          <w:lang w:eastAsia="zh-CN"/>
        </w:rPr>
        <w:t>对全国银行间市场未上市或未挂牌转让且不存在活跃市场的固定收益品种，应采用在当前情况下适用并且有足够可利用数据和其他信息支持的估值技术确定其公允价值。</w:t>
      </w:r>
    </w:p>
    <w:p w14:paraId="2A175E20" w14:textId="77777777" w:rsidR="00C21F15" w:rsidRPr="002C2B23" w:rsidRDefault="00C21F15" w:rsidP="00C21F15">
      <w:pPr>
        <w:spacing w:line="360" w:lineRule="auto"/>
        <w:ind w:firstLine="480"/>
        <w:rPr>
          <w:bCs/>
          <w:sz w:val="24"/>
          <w:lang w:eastAsia="zh-CN"/>
        </w:rPr>
      </w:pPr>
      <w:r w:rsidRPr="002C2B23">
        <w:rPr>
          <w:rFonts w:hint="eastAsia"/>
          <w:bCs/>
          <w:sz w:val="24"/>
          <w:lang w:eastAsia="zh-CN"/>
        </w:rPr>
        <w:t>4</w:t>
      </w:r>
      <w:r w:rsidRPr="002C2B23">
        <w:rPr>
          <w:rFonts w:hint="eastAsia"/>
          <w:bCs/>
          <w:sz w:val="24"/>
          <w:lang w:eastAsia="zh-CN"/>
        </w:rPr>
        <w:t>、对于含投资者回售权的固定收益品种，行使回售权的，在回售登记日至实际收款日期间选取第三方估值基准服务机构提供的相应品种的唯一估值全价或推荐估值全价。回售登记期截止日（含当日）后未行使回售权的按照长待偿期所对应的价格进行估值。</w:t>
      </w:r>
    </w:p>
    <w:p w14:paraId="5D82B715" w14:textId="77777777" w:rsidR="00C21F15" w:rsidRPr="002C2B23" w:rsidRDefault="00C21F15" w:rsidP="00C21F15">
      <w:pPr>
        <w:spacing w:line="360" w:lineRule="auto"/>
        <w:ind w:firstLine="480"/>
        <w:rPr>
          <w:bCs/>
          <w:sz w:val="24"/>
          <w:lang w:eastAsia="zh-CN"/>
        </w:rPr>
      </w:pPr>
      <w:r w:rsidRPr="002C2B23">
        <w:rPr>
          <w:rFonts w:hint="eastAsia"/>
          <w:bCs/>
          <w:sz w:val="24"/>
          <w:lang w:eastAsia="zh-CN"/>
        </w:rPr>
        <w:t>5</w:t>
      </w:r>
      <w:r w:rsidRPr="002C2B23">
        <w:rPr>
          <w:rFonts w:hint="eastAsia"/>
          <w:bCs/>
          <w:sz w:val="24"/>
          <w:lang w:eastAsia="zh-CN"/>
        </w:rPr>
        <w:t>、对于发行人已破产、发行人未能按时足额偿付本金或利息，或者有其它可靠信息表明本金或利息无法按时足额偿付的债券投资品种，第三方估值基准服务机构可在提供推荐价格的同时提供价格区间作为公允价值的参考范围以及公允价值存在重大不确定性的相关提示。基金管理人在与托管人协商一致后，可采用价格区间中的数据作为该债券投资品种的公允价值。</w:t>
      </w:r>
    </w:p>
    <w:p w14:paraId="7AB68913" w14:textId="77777777" w:rsidR="00C21F15" w:rsidRPr="002C2B23" w:rsidRDefault="00C21F15" w:rsidP="00C21F15">
      <w:pPr>
        <w:spacing w:line="360" w:lineRule="auto"/>
        <w:ind w:firstLine="480"/>
        <w:rPr>
          <w:bCs/>
          <w:sz w:val="24"/>
          <w:lang w:eastAsia="zh-CN"/>
        </w:rPr>
      </w:pPr>
      <w:r w:rsidRPr="002C2B23">
        <w:rPr>
          <w:rFonts w:hint="eastAsia"/>
          <w:bCs/>
          <w:sz w:val="24"/>
          <w:lang w:eastAsia="zh-CN"/>
        </w:rPr>
        <w:t>6</w:t>
      </w:r>
      <w:r w:rsidRPr="002C2B23">
        <w:rPr>
          <w:bCs/>
          <w:sz w:val="24"/>
          <w:lang w:eastAsia="zh-CN"/>
        </w:rPr>
        <w:t>、同一证券同时在两个或两个以上市场交易的，按证券所处的市场分别估值。</w:t>
      </w:r>
    </w:p>
    <w:p w14:paraId="47B5A60C" w14:textId="77777777" w:rsidR="00C21F15" w:rsidRPr="002C2B23" w:rsidRDefault="00C21F15" w:rsidP="00C21F15">
      <w:pPr>
        <w:spacing w:line="360" w:lineRule="auto"/>
        <w:ind w:firstLine="480"/>
        <w:rPr>
          <w:bCs/>
          <w:sz w:val="24"/>
          <w:lang w:eastAsia="zh-CN"/>
        </w:rPr>
      </w:pPr>
      <w:r w:rsidRPr="002C2B23">
        <w:rPr>
          <w:rFonts w:hint="eastAsia"/>
          <w:bCs/>
          <w:sz w:val="24"/>
          <w:lang w:eastAsia="zh-CN"/>
        </w:rPr>
        <w:t>7</w:t>
      </w:r>
      <w:r w:rsidRPr="002C2B23">
        <w:rPr>
          <w:bCs/>
          <w:sz w:val="24"/>
          <w:lang w:eastAsia="zh-CN"/>
        </w:rPr>
        <w:t>、本基金投资股指期货合约、国债期货合约，一般以估值当日结算价进行估值，估值当日无结算价的，且最近交易日后经济环境未发生重大变化的，采用最近交易日结算价估值。</w:t>
      </w:r>
    </w:p>
    <w:p w14:paraId="1EAFF5D9" w14:textId="77777777" w:rsidR="00C21F15" w:rsidRPr="002C2B23" w:rsidRDefault="00C21F15" w:rsidP="00C21F15">
      <w:pPr>
        <w:spacing w:line="360" w:lineRule="auto"/>
        <w:ind w:firstLine="480"/>
        <w:rPr>
          <w:bCs/>
          <w:sz w:val="24"/>
          <w:lang w:eastAsia="zh-CN"/>
        </w:rPr>
      </w:pPr>
      <w:r w:rsidRPr="002C2B23">
        <w:rPr>
          <w:rFonts w:hint="eastAsia"/>
          <w:bCs/>
          <w:sz w:val="24"/>
          <w:lang w:eastAsia="zh-CN"/>
        </w:rPr>
        <w:t>8</w:t>
      </w:r>
      <w:r w:rsidRPr="002C2B23">
        <w:rPr>
          <w:bCs/>
          <w:sz w:val="24"/>
          <w:lang w:eastAsia="zh-CN"/>
        </w:rPr>
        <w:t>、本基金投资股票期权，根据相关法律法规以及监管部门的规定估值。</w:t>
      </w:r>
    </w:p>
    <w:p w14:paraId="5F77575A" w14:textId="77777777" w:rsidR="00C21F15" w:rsidRPr="002C2B23" w:rsidRDefault="00C21F15" w:rsidP="00C21F15">
      <w:pPr>
        <w:spacing w:line="360" w:lineRule="auto"/>
        <w:ind w:firstLine="480"/>
        <w:rPr>
          <w:bCs/>
          <w:sz w:val="24"/>
          <w:lang w:eastAsia="zh-CN"/>
        </w:rPr>
      </w:pPr>
      <w:r w:rsidRPr="002C2B23">
        <w:rPr>
          <w:rFonts w:hint="eastAsia"/>
          <w:bCs/>
          <w:sz w:val="24"/>
          <w:lang w:eastAsia="zh-CN"/>
        </w:rPr>
        <w:t>9</w:t>
      </w:r>
      <w:r w:rsidRPr="002C2B23">
        <w:rPr>
          <w:rFonts w:hint="eastAsia"/>
          <w:bCs/>
          <w:sz w:val="24"/>
          <w:lang w:eastAsia="zh-CN"/>
        </w:rPr>
        <w:t>、</w:t>
      </w:r>
      <w:r w:rsidRPr="002C2B23">
        <w:rPr>
          <w:bCs/>
          <w:sz w:val="24"/>
          <w:lang w:eastAsia="zh-CN"/>
        </w:rPr>
        <w:t>汇率</w:t>
      </w:r>
    </w:p>
    <w:p w14:paraId="005F0984" w14:textId="77777777" w:rsidR="00C21F15" w:rsidRPr="002C2B23" w:rsidRDefault="00C21F15" w:rsidP="00C21F15">
      <w:pPr>
        <w:spacing w:line="360" w:lineRule="auto"/>
        <w:ind w:firstLine="480"/>
        <w:rPr>
          <w:bCs/>
          <w:sz w:val="24"/>
          <w:lang w:eastAsia="zh-CN"/>
        </w:rPr>
      </w:pPr>
      <w:r w:rsidRPr="002C2B23">
        <w:rPr>
          <w:bCs/>
          <w:sz w:val="24"/>
          <w:lang w:eastAsia="zh-CN"/>
        </w:rPr>
        <w:t>本基金外币资产价值计算中，涉及主要货币对人民币汇率的，应当以基金估值日中国人民银行或其授权机构公布的人民币汇率中间价为准。</w:t>
      </w:r>
    </w:p>
    <w:p w14:paraId="58FCBD0E" w14:textId="77777777" w:rsidR="00C21F15" w:rsidRPr="002C2B23" w:rsidRDefault="00C21F15" w:rsidP="00C21F15">
      <w:pPr>
        <w:spacing w:line="360" w:lineRule="auto"/>
        <w:ind w:firstLine="480"/>
        <w:rPr>
          <w:bCs/>
          <w:sz w:val="24"/>
          <w:lang w:eastAsia="zh-CN"/>
        </w:rPr>
      </w:pPr>
      <w:r w:rsidRPr="002C2B23">
        <w:rPr>
          <w:rFonts w:hint="eastAsia"/>
          <w:bCs/>
          <w:sz w:val="24"/>
          <w:lang w:eastAsia="zh-CN"/>
        </w:rPr>
        <w:t>税收：对于按照中国法律法规和基金投资境内外股票市场交易互联互通机制涉及的境外交易场所所在地的法律法规规定应交纳的各项税金，本基金将按权责发生制原则进行估值；对于因税收规定调整或其他原因导致基金实际交纳税金与估算的应交税金有差异的，基金将在相关税金调整日或实际支付日进行相应的估值调整。</w:t>
      </w:r>
    </w:p>
    <w:p w14:paraId="72EDB373" w14:textId="77777777" w:rsidR="00C21F15" w:rsidRPr="002C2B23" w:rsidRDefault="00C21F15" w:rsidP="00C21F15">
      <w:pPr>
        <w:spacing w:line="360" w:lineRule="auto"/>
        <w:ind w:firstLine="480"/>
        <w:rPr>
          <w:bCs/>
          <w:sz w:val="24"/>
          <w:lang w:eastAsia="zh-CN"/>
        </w:rPr>
      </w:pPr>
      <w:r w:rsidRPr="002C2B23">
        <w:rPr>
          <w:rFonts w:hint="eastAsia"/>
          <w:bCs/>
          <w:sz w:val="24"/>
          <w:lang w:eastAsia="zh-CN"/>
        </w:rPr>
        <w:t>10</w:t>
      </w:r>
      <w:r w:rsidRPr="002C2B23">
        <w:rPr>
          <w:bCs/>
          <w:sz w:val="24"/>
          <w:lang w:eastAsia="zh-CN"/>
        </w:rPr>
        <w:t>、本基金投资存托凭证的估值核算，依照境内上市交易的股票执行。</w:t>
      </w:r>
    </w:p>
    <w:p w14:paraId="240A4A8D" w14:textId="77777777" w:rsidR="00C21F15" w:rsidRPr="002C2B23" w:rsidRDefault="00C21F15" w:rsidP="00C21F15">
      <w:pPr>
        <w:spacing w:line="360" w:lineRule="auto"/>
        <w:ind w:firstLine="480"/>
        <w:rPr>
          <w:bCs/>
          <w:sz w:val="24"/>
          <w:lang w:eastAsia="zh-CN"/>
        </w:rPr>
      </w:pPr>
      <w:r w:rsidRPr="002C2B23">
        <w:rPr>
          <w:rFonts w:hint="eastAsia"/>
          <w:bCs/>
          <w:sz w:val="24"/>
          <w:lang w:eastAsia="zh-CN"/>
        </w:rPr>
        <w:t>11</w:t>
      </w:r>
      <w:r w:rsidRPr="002C2B23">
        <w:rPr>
          <w:rFonts w:hint="eastAsia"/>
          <w:bCs/>
          <w:sz w:val="24"/>
          <w:lang w:eastAsia="zh-CN"/>
        </w:rPr>
        <w:t>、当发生大额申购或赎回情形时，基金管理人可以采用摆动定价机制，以确保基金估值的公平性。具体处理原则与操作规范遵循相关法律法规以及监管部门、自律规则的规定。</w:t>
      </w:r>
    </w:p>
    <w:p w14:paraId="39DABBCB" w14:textId="77777777" w:rsidR="00C21F15" w:rsidRPr="002C2B23" w:rsidRDefault="00C21F15" w:rsidP="00C21F15">
      <w:pPr>
        <w:spacing w:line="360" w:lineRule="auto"/>
        <w:ind w:firstLine="480"/>
        <w:rPr>
          <w:bCs/>
          <w:sz w:val="24"/>
          <w:lang w:eastAsia="zh-CN"/>
        </w:rPr>
      </w:pPr>
      <w:r w:rsidRPr="002C2B23">
        <w:rPr>
          <w:bCs/>
          <w:sz w:val="24"/>
          <w:lang w:eastAsia="zh-CN"/>
        </w:rPr>
        <w:t>1</w:t>
      </w:r>
      <w:r w:rsidRPr="002C2B23">
        <w:rPr>
          <w:rFonts w:hint="eastAsia"/>
          <w:bCs/>
          <w:sz w:val="24"/>
          <w:lang w:eastAsia="zh-CN"/>
        </w:rPr>
        <w:t>2</w:t>
      </w:r>
      <w:r w:rsidRPr="002C2B23">
        <w:rPr>
          <w:bCs/>
          <w:sz w:val="24"/>
          <w:lang w:eastAsia="zh-CN"/>
        </w:rPr>
        <w:t>、</w:t>
      </w:r>
      <w:r w:rsidRPr="002C2B23">
        <w:rPr>
          <w:rFonts w:hint="eastAsia"/>
          <w:bCs/>
          <w:sz w:val="24"/>
          <w:lang w:eastAsia="zh-CN"/>
        </w:rPr>
        <w:t>本基金可以采用第三方估值机构按照上述公允价值确定原则提供的估值价格数据。</w:t>
      </w:r>
    </w:p>
    <w:p w14:paraId="176339E8" w14:textId="77777777" w:rsidR="00C21F15" w:rsidRPr="002C2B23" w:rsidRDefault="00C21F15" w:rsidP="00C21F15">
      <w:pPr>
        <w:spacing w:line="360" w:lineRule="auto"/>
        <w:ind w:firstLine="480"/>
        <w:rPr>
          <w:bCs/>
          <w:sz w:val="24"/>
          <w:lang w:eastAsia="zh-CN"/>
        </w:rPr>
      </w:pPr>
      <w:r w:rsidRPr="002C2B23">
        <w:rPr>
          <w:rFonts w:hint="eastAsia"/>
          <w:bCs/>
          <w:sz w:val="24"/>
          <w:lang w:eastAsia="zh-CN"/>
        </w:rPr>
        <w:t>13</w:t>
      </w:r>
      <w:r w:rsidRPr="002C2B23">
        <w:rPr>
          <w:rFonts w:hint="eastAsia"/>
          <w:bCs/>
          <w:sz w:val="24"/>
          <w:lang w:eastAsia="zh-CN"/>
        </w:rPr>
        <w:t>、</w:t>
      </w:r>
      <w:r w:rsidRPr="002C2B23">
        <w:rPr>
          <w:bCs/>
          <w:sz w:val="24"/>
          <w:lang w:eastAsia="zh-CN"/>
        </w:rPr>
        <w:t>如有确凿证据表明按上述方法进行估值不能客观反映其公允价值的，基金管理人可根据具体情况与基金托管人商定后，按最能反映公允价值的价格估值。</w:t>
      </w:r>
    </w:p>
    <w:p w14:paraId="54B146FB" w14:textId="77777777" w:rsidR="00C21F15" w:rsidRPr="002C2B23" w:rsidRDefault="00C21F15" w:rsidP="00C21F15">
      <w:pPr>
        <w:spacing w:line="360" w:lineRule="auto"/>
        <w:ind w:firstLine="480"/>
        <w:rPr>
          <w:sz w:val="24"/>
          <w:lang w:eastAsia="zh-CN"/>
        </w:rPr>
      </w:pPr>
      <w:r w:rsidRPr="002C2B23">
        <w:rPr>
          <w:rFonts w:hint="eastAsia"/>
          <w:sz w:val="24"/>
          <w:lang w:eastAsia="zh-CN"/>
        </w:rPr>
        <w:t>14</w:t>
      </w:r>
      <w:r w:rsidRPr="002C2B23">
        <w:rPr>
          <w:rFonts w:hint="eastAsia"/>
          <w:sz w:val="24"/>
          <w:lang w:eastAsia="zh-CN"/>
        </w:rPr>
        <w:t>、使用模型估值的，应当审慎确定模型参数，不得随意调整。</w:t>
      </w:r>
    </w:p>
    <w:p w14:paraId="2FFCF2E3" w14:textId="77777777" w:rsidR="00C21F15" w:rsidRPr="002C2B23" w:rsidRDefault="00C21F15" w:rsidP="00C21F15">
      <w:pPr>
        <w:spacing w:line="360" w:lineRule="auto"/>
        <w:ind w:firstLine="480"/>
        <w:rPr>
          <w:sz w:val="24"/>
          <w:lang w:eastAsia="zh-CN"/>
        </w:rPr>
      </w:pPr>
      <w:r w:rsidRPr="002C2B23">
        <w:rPr>
          <w:rFonts w:hint="eastAsia"/>
          <w:sz w:val="24"/>
          <w:lang w:eastAsia="zh-CN"/>
        </w:rPr>
        <w:t>15</w:t>
      </w:r>
      <w:r w:rsidRPr="002C2B23">
        <w:rPr>
          <w:rFonts w:hint="eastAsia"/>
          <w:sz w:val="24"/>
          <w:lang w:eastAsia="zh-CN"/>
        </w:rPr>
        <w:t>、对于仅依赖管理人所提供数据（包括不限于管理人自建模型定价）且无法从其他渠道获取可靠数据进行会计核算的投资品种，管理人应对该估值数据的真实性、准确性、完整性、合</w:t>
      </w:r>
      <w:proofErr w:type="gramStart"/>
      <w:r w:rsidRPr="002C2B23">
        <w:rPr>
          <w:rFonts w:hint="eastAsia"/>
          <w:sz w:val="24"/>
          <w:lang w:eastAsia="zh-CN"/>
        </w:rPr>
        <w:t>规</w:t>
      </w:r>
      <w:proofErr w:type="gramEnd"/>
      <w:r w:rsidRPr="002C2B23">
        <w:rPr>
          <w:rFonts w:hint="eastAsia"/>
          <w:sz w:val="24"/>
          <w:lang w:eastAsia="zh-CN"/>
        </w:rPr>
        <w:t>性负责，因上述估值数据错误导致估值结果的不真实、不准确、不完整、不合</w:t>
      </w:r>
      <w:proofErr w:type="gramStart"/>
      <w:r w:rsidRPr="002C2B23">
        <w:rPr>
          <w:rFonts w:hint="eastAsia"/>
          <w:sz w:val="24"/>
          <w:lang w:eastAsia="zh-CN"/>
        </w:rPr>
        <w:t>规</w:t>
      </w:r>
      <w:proofErr w:type="gramEnd"/>
      <w:r w:rsidRPr="002C2B23">
        <w:rPr>
          <w:rFonts w:hint="eastAsia"/>
          <w:sz w:val="24"/>
          <w:lang w:eastAsia="zh-CN"/>
        </w:rPr>
        <w:t>，托管人不承担任何责任。</w:t>
      </w:r>
    </w:p>
    <w:p w14:paraId="15FEB0EE" w14:textId="77777777" w:rsidR="00C21F15" w:rsidRPr="002C2B23" w:rsidRDefault="00C21F15" w:rsidP="00C21F15">
      <w:pPr>
        <w:spacing w:line="360" w:lineRule="auto"/>
        <w:ind w:firstLine="480"/>
        <w:rPr>
          <w:bCs/>
          <w:sz w:val="24"/>
          <w:lang w:eastAsia="zh-CN"/>
        </w:rPr>
      </w:pPr>
      <w:r w:rsidRPr="002C2B23">
        <w:rPr>
          <w:bCs/>
          <w:sz w:val="24"/>
          <w:lang w:eastAsia="zh-CN"/>
        </w:rPr>
        <w:t>1</w:t>
      </w:r>
      <w:r w:rsidRPr="002C2B23">
        <w:rPr>
          <w:rFonts w:hint="eastAsia"/>
          <w:bCs/>
          <w:sz w:val="24"/>
          <w:lang w:eastAsia="zh-CN"/>
        </w:rPr>
        <w:t>6</w:t>
      </w:r>
      <w:r w:rsidRPr="002C2B23">
        <w:rPr>
          <w:bCs/>
          <w:sz w:val="24"/>
          <w:lang w:eastAsia="zh-CN"/>
        </w:rPr>
        <w:t>、相关法律法规以及监管部门有强制规定的，从其规定。如有新增事项，按国家最新规定估值。</w:t>
      </w:r>
    </w:p>
    <w:p w14:paraId="66D6525B" w14:textId="77777777" w:rsidR="00C21F15" w:rsidRPr="002C2B23" w:rsidRDefault="00C21F15" w:rsidP="00C21F15">
      <w:pPr>
        <w:spacing w:line="360" w:lineRule="auto"/>
        <w:ind w:firstLine="480"/>
        <w:rPr>
          <w:rStyle w:val="read"/>
          <w:bCs/>
          <w:sz w:val="24"/>
          <w:lang w:eastAsia="zh-CN"/>
        </w:rPr>
      </w:pPr>
      <w:r w:rsidRPr="002C2B23">
        <w:rPr>
          <w:rStyle w:val="read"/>
          <w:bCs/>
          <w:sz w:val="24"/>
          <w:lang w:eastAsia="zh-CN"/>
        </w:rPr>
        <w:t>如基金管理人或基金托管人发现基金估值违反基金合同订明的估值方法、程序及相关法律法规的规定或者未能充分维护基金份额持有人利益时，应立即通知对方，共同查明原因，双方协商解决。</w:t>
      </w:r>
    </w:p>
    <w:p w14:paraId="47225A3B" w14:textId="77777777" w:rsidR="00C21F15" w:rsidRPr="002C2B23" w:rsidRDefault="00C21F15" w:rsidP="00C21F15">
      <w:pPr>
        <w:spacing w:line="360" w:lineRule="auto"/>
        <w:ind w:firstLine="480"/>
        <w:rPr>
          <w:bCs/>
          <w:sz w:val="24"/>
          <w:lang w:eastAsia="zh-CN"/>
        </w:rPr>
      </w:pPr>
      <w:r w:rsidRPr="002C2B23">
        <w:rPr>
          <w:bCs/>
          <w:sz w:val="24"/>
          <w:lang w:eastAsia="zh-CN"/>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w:t>
      </w:r>
      <w:r w:rsidRPr="002C2B23">
        <w:rPr>
          <w:rFonts w:hint="eastAsia"/>
          <w:bCs/>
          <w:sz w:val="24"/>
          <w:lang w:eastAsia="zh-CN"/>
        </w:rPr>
        <w:t>基金管理人向基金托管人出具盖章的书面说明后，</w:t>
      </w:r>
      <w:r w:rsidRPr="002C2B23">
        <w:rPr>
          <w:bCs/>
          <w:sz w:val="24"/>
          <w:lang w:eastAsia="zh-CN"/>
        </w:rPr>
        <w:t>按照基金管理人对基金净值的计算结果对外予以公布。</w:t>
      </w:r>
    </w:p>
    <w:p w14:paraId="0BEC55DD" w14:textId="77777777" w:rsidR="00C21F15" w:rsidRPr="002C2B23" w:rsidRDefault="00C21F15" w:rsidP="00C21F15">
      <w:pPr>
        <w:spacing w:line="360" w:lineRule="auto"/>
        <w:ind w:firstLine="480"/>
        <w:rPr>
          <w:rFonts w:ascii="宋体" w:hAnsi="宋体"/>
          <w:sz w:val="24"/>
          <w:lang w:eastAsia="zh-CN"/>
        </w:rPr>
      </w:pPr>
      <w:r w:rsidRPr="002C2B23">
        <w:rPr>
          <w:rFonts w:ascii="宋体" w:hAnsi="宋体"/>
          <w:sz w:val="24"/>
          <w:lang w:eastAsia="zh-CN"/>
        </w:rPr>
        <w:t>（三）基金净值信息</w:t>
      </w:r>
    </w:p>
    <w:p w14:paraId="04A6BD41" w14:textId="77777777" w:rsidR="00C21F15" w:rsidRPr="002C2B23" w:rsidRDefault="00C21F15" w:rsidP="00C21F15">
      <w:pPr>
        <w:spacing w:line="360" w:lineRule="auto"/>
        <w:ind w:firstLine="480"/>
        <w:rPr>
          <w:rFonts w:ascii="宋体" w:hAnsi="宋体"/>
          <w:sz w:val="24"/>
          <w:lang w:eastAsia="zh-CN"/>
        </w:rPr>
      </w:pPr>
      <w:r w:rsidRPr="002C2B23">
        <w:rPr>
          <w:rFonts w:ascii="宋体" w:hAnsi="宋体"/>
          <w:sz w:val="24"/>
          <w:lang w:eastAsia="zh-CN"/>
        </w:rPr>
        <w:t>《基金合同》生效后，在开始办理基金份额申购或者赎回前，基金管理人应当至少每周在规定网站公告一次各类基金份额净值和各类基金份额累计净值。</w:t>
      </w:r>
    </w:p>
    <w:p w14:paraId="0BB72269" w14:textId="77777777" w:rsidR="00C21F15" w:rsidRPr="002C2B23" w:rsidRDefault="00C21F15" w:rsidP="00C21F15">
      <w:pPr>
        <w:spacing w:line="360" w:lineRule="auto"/>
        <w:ind w:firstLine="480"/>
        <w:rPr>
          <w:rFonts w:ascii="宋体" w:hAnsi="宋体"/>
          <w:sz w:val="24"/>
          <w:lang w:eastAsia="zh-CN"/>
        </w:rPr>
      </w:pPr>
      <w:r w:rsidRPr="002C2B23">
        <w:rPr>
          <w:rFonts w:ascii="宋体" w:hAnsi="宋体"/>
          <w:sz w:val="24"/>
          <w:lang w:eastAsia="zh-CN"/>
        </w:rPr>
        <w:t>在开始办理基金份额申购或者赎回后，基金管理人应当在不晚于每个开放日的次日，通过规定网站、基金销售机构网站或者营业网点披露开放日的各类基金份额净值和各类基金份额累计净值。</w:t>
      </w:r>
    </w:p>
    <w:p w14:paraId="0BAFC7AD" w14:textId="77777777" w:rsidR="00C21F15" w:rsidRPr="002C2B23" w:rsidRDefault="00C21F15" w:rsidP="00C21F15">
      <w:pPr>
        <w:spacing w:line="360" w:lineRule="auto"/>
        <w:ind w:firstLine="480"/>
        <w:rPr>
          <w:bCs/>
          <w:sz w:val="24"/>
          <w:lang w:eastAsia="zh-CN"/>
        </w:rPr>
      </w:pPr>
      <w:r w:rsidRPr="002C2B23">
        <w:rPr>
          <w:rFonts w:ascii="宋体" w:hAnsi="宋体"/>
          <w:sz w:val="24"/>
          <w:lang w:eastAsia="zh-CN"/>
        </w:rPr>
        <w:t>基金管理人应当在不晚于半年度和年度最后一日的次日， 在规定网站公告半年度和年度最后一日各类基金份额净值和各类基金份额累计净值。</w:t>
      </w:r>
    </w:p>
    <w:p w14:paraId="718BEDCB" w14:textId="77777777" w:rsidR="00C21F15" w:rsidRPr="002C2B23" w:rsidRDefault="00C21F15" w:rsidP="00C21F15">
      <w:pPr>
        <w:spacing w:line="360" w:lineRule="auto"/>
        <w:ind w:firstLine="480"/>
        <w:rPr>
          <w:rFonts w:ascii="宋体" w:hAnsi="宋体"/>
          <w:sz w:val="24"/>
          <w:lang w:eastAsia="zh-CN"/>
        </w:rPr>
      </w:pPr>
      <w:r w:rsidRPr="002C2B23">
        <w:rPr>
          <w:rFonts w:ascii="宋体" w:hAnsi="宋体"/>
          <w:sz w:val="24"/>
          <w:lang w:eastAsia="zh-CN"/>
        </w:rPr>
        <w:t>七、基金合同的变更、终止与基金财产的清算</w:t>
      </w:r>
    </w:p>
    <w:p w14:paraId="202E7C8F" w14:textId="77777777" w:rsidR="00C21F15" w:rsidRPr="002C2B23" w:rsidRDefault="00C21F15" w:rsidP="00C21F15">
      <w:pPr>
        <w:spacing w:line="360" w:lineRule="auto"/>
        <w:ind w:firstLine="480"/>
        <w:rPr>
          <w:bCs/>
          <w:sz w:val="24"/>
          <w:lang w:eastAsia="zh-CN"/>
        </w:rPr>
      </w:pPr>
      <w:r w:rsidRPr="002C2B23">
        <w:rPr>
          <w:bCs/>
          <w:sz w:val="24"/>
          <w:lang w:eastAsia="zh-CN"/>
        </w:rPr>
        <w:t>（一）《基金合同》的变更</w:t>
      </w:r>
    </w:p>
    <w:p w14:paraId="326D3E82" w14:textId="77777777" w:rsidR="00C21F15" w:rsidRPr="002C2B23" w:rsidRDefault="00C21F15" w:rsidP="00C21F15">
      <w:pPr>
        <w:spacing w:line="360" w:lineRule="auto"/>
        <w:ind w:firstLine="480"/>
        <w:rPr>
          <w:bCs/>
          <w:sz w:val="24"/>
          <w:lang w:eastAsia="zh-CN"/>
        </w:rPr>
      </w:pPr>
      <w:r w:rsidRPr="002C2B23">
        <w:rPr>
          <w:bCs/>
          <w:sz w:val="24"/>
          <w:lang w:eastAsia="zh-CN"/>
        </w:rPr>
        <w:t>1</w:t>
      </w:r>
      <w:r w:rsidRPr="002C2B23">
        <w:rPr>
          <w:bCs/>
          <w:sz w:val="24"/>
          <w:lang w:eastAsia="zh-CN"/>
        </w:rPr>
        <w:t>、变更基金合同涉及法律法规规定或本基金合同约定应经基金份额持有人大会决议通过的事项的，应召</w:t>
      </w:r>
      <w:proofErr w:type="gramStart"/>
      <w:r w:rsidRPr="002C2B23">
        <w:rPr>
          <w:bCs/>
          <w:sz w:val="24"/>
          <w:lang w:eastAsia="zh-CN"/>
        </w:rPr>
        <w:t>开基金</w:t>
      </w:r>
      <w:proofErr w:type="gramEnd"/>
      <w:r w:rsidRPr="002C2B23">
        <w:rPr>
          <w:bCs/>
          <w:sz w:val="24"/>
          <w:lang w:eastAsia="zh-CN"/>
        </w:rPr>
        <w:t>份额持有人大会决议通过。对于法律法规规定和基金合同约定可不经基金份额持有人大会决议通过的事项，由基金管理人和基金托管人同意后变更并公告，并报中国证监会备案。</w:t>
      </w:r>
    </w:p>
    <w:p w14:paraId="2403E2C9" w14:textId="77777777" w:rsidR="00C21F15" w:rsidRPr="002C2B23" w:rsidRDefault="00C21F15" w:rsidP="00C21F15">
      <w:pPr>
        <w:spacing w:line="360" w:lineRule="auto"/>
        <w:ind w:firstLine="480"/>
        <w:rPr>
          <w:bCs/>
          <w:sz w:val="24"/>
          <w:lang w:eastAsia="zh-CN"/>
        </w:rPr>
      </w:pPr>
      <w:r w:rsidRPr="002C2B23">
        <w:rPr>
          <w:bCs/>
          <w:sz w:val="24"/>
          <w:lang w:eastAsia="zh-CN"/>
        </w:rPr>
        <w:t>2</w:t>
      </w:r>
      <w:r w:rsidRPr="002C2B23">
        <w:rPr>
          <w:bCs/>
          <w:sz w:val="24"/>
          <w:lang w:eastAsia="zh-CN"/>
        </w:rPr>
        <w:t>、关于《基金合同》变更的基金份额持有人大会决议自生效后方可执行，</w:t>
      </w:r>
      <w:proofErr w:type="gramStart"/>
      <w:r w:rsidRPr="002C2B23">
        <w:rPr>
          <w:bCs/>
          <w:sz w:val="24"/>
          <w:lang w:eastAsia="zh-CN"/>
        </w:rPr>
        <w:t>自决议</w:t>
      </w:r>
      <w:proofErr w:type="gramEnd"/>
      <w:r w:rsidRPr="002C2B23">
        <w:rPr>
          <w:bCs/>
          <w:sz w:val="24"/>
          <w:lang w:eastAsia="zh-CN"/>
        </w:rPr>
        <w:t>生效后按规定在规定媒介公告。</w:t>
      </w:r>
    </w:p>
    <w:p w14:paraId="441FFF87" w14:textId="77777777" w:rsidR="00C21F15" w:rsidRPr="002C2B23" w:rsidRDefault="00C21F15" w:rsidP="00C21F15">
      <w:pPr>
        <w:spacing w:line="360" w:lineRule="auto"/>
        <w:ind w:firstLine="480"/>
        <w:rPr>
          <w:bCs/>
          <w:sz w:val="24"/>
          <w:lang w:eastAsia="zh-CN"/>
        </w:rPr>
      </w:pPr>
      <w:r w:rsidRPr="002C2B23">
        <w:rPr>
          <w:bCs/>
          <w:sz w:val="24"/>
          <w:lang w:eastAsia="zh-CN"/>
        </w:rPr>
        <w:t>（二）《基金合同》的终止事由</w:t>
      </w:r>
    </w:p>
    <w:p w14:paraId="1A9AB4F6" w14:textId="77777777" w:rsidR="00C21F15" w:rsidRPr="002C2B23" w:rsidRDefault="00C21F15" w:rsidP="00C21F15">
      <w:pPr>
        <w:spacing w:line="360" w:lineRule="auto"/>
        <w:ind w:firstLine="480"/>
        <w:rPr>
          <w:bCs/>
          <w:sz w:val="24"/>
          <w:lang w:eastAsia="zh-CN"/>
        </w:rPr>
      </w:pPr>
      <w:r w:rsidRPr="002C2B23">
        <w:rPr>
          <w:bCs/>
          <w:sz w:val="24"/>
          <w:lang w:eastAsia="zh-CN"/>
        </w:rPr>
        <w:t>有下列情形之一的，经履行相关程序后，《基金合同》应当终止：</w:t>
      </w:r>
    </w:p>
    <w:p w14:paraId="3C1D0FD1" w14:textId="77777777" w:rsidR="00C21F15" w:rsidRPr="002C2B23" w:rsidRDefault="00C21F15" w:rsidP="00C21F15">
      <w:pPr>
        <w:spacing w:line="360" w:lineRule="auto"/>
        <w:ind w:firstLine="480"/>
        <w:rPr>
          <w:bCs/>
          <w:sz w:val="24"/>
          <w:lang w:eastAsia="zh-CN"/>
        </w:rPr>
      </w:pPr>
      <w:r w:rsidRPr="002C2B23">
        <w:rPr>
          <w:bCs/>
          <w:sz w:val="24"/>
          <w:lang w:eastAsia="zh-CN"/>
        </w:rPr>
        <w:t>1</w:t>
      </w:r>
      <w:r w:rsidRPr="002C2B23">
        <w:rPr>
          <w:bCs/>
          <w:sz w:val="24"/>
          <w:lang w:eastAsia="zh-CN"/>
        </w:rPr>
        <w:t>、基金份额持有人大会决定终止的；</w:t>
      </w:r>
    </w:p>
    <w:p w14:paraId="41F4A595" w14:textId="77777777" w:rsidR="00C21F15" w:rsidRPr="002C2B23" w:rsidRDefault="00C21F15" w:rsidP="00C21F15">
      <w:pPr>
        <w:spacing w:line="360" w:lineRule="auto"/>
        <w:ind w:firstLine="480"/>
        <w:rPr>
          <w:bCs/>
          <w:sz w:val="24"/>
          <w:lang w:eastAsia="zh-CN"/>
        </w:rPr>
      </w:pPr>
      <w:r w:rsidRPr="002C2B23">
        <w:rPr>
          <w:bCs/>
          <w:sz w:val="24"/>
          <w:lang w:eastAsia="zh-CN"/>
        </w:rPr>
        <w:t>2</w:t>
      </w:r>
      <w:r w:rsidRPr="002C2B23">
        <w:rPr>
          <w:bCs/>
          <w:sz w:val="24"/>
          <w:lang w:eastAsia="zh-CN"/>
        </w:rPr>
        <w:t>、基金管理人、基金托管人职责终止，在</w:t>
      </w:r>
      <w:r w:rsidRPr="002C2B23">
        <w:rPr>
          <w:bCs/>
          <w:sz w:val="24"/>
          <w:lang w:eastAsia="zh-CN"/>
        </w:rPr>
        <w:t>6</w:t>
      </w:r>
      <w:r w:rsidRPr="002C2B23">
        <w:rPr>
          <w:bCs/>
          <w:sz w:val="24"/>
          <w:lang w:eastAsia="zh-CN"/>
        </w:rPr>
        <w:t>个月内没有新基金管理人、新基金托管人承接的；</w:t>
      </w:r>
    </w:p>
    <w:p w14:paraId="61812B1B" w14:textId="77777777" w:rsidR="00C21F15" w:rsidRPr="002C2B23" w:rsidRDefault="00C21F15" w:rsidP="00C21F15">
      <w:pPr>
        <w:spacing w:line="360" w:lineRule="auto"/>
        <w:ind w:firstLine="480"/>
        <w:rPr>
          <w:bCs/>
          <w:sz w:val="24"/>
          <w:lang w:eastAsia="zh-CN"/>
        </w:rPr>
      </w:pPr>
      <w:r w:rsidRPr="002C2B23">
        <w:rPr>
          <w:bCs/>
          <w:sz w:val="24"/>
          <w:lang w:eastAsia="zh-CN"/>
        </w:rPr>
        <w:t>3</w:t>
      </w:r>
      <w:r w:rsidRPr="002C2B23">
        <w:rPr>
          <w:bCs/>
          <w:sz w:val="24"/>
          <w:lang w:eastAsia="zh-CN"/>
        </w:rPr>
        <w:t>、《基金合同》约定的其他情形；</w:t>
      </w:r>
    </w:p>
    <w:p w14:paraId="335F8CD1" w14:textId="77777777" w:rsidR="00C21F15" w:rsidRPr="002C2B23" w:rsidRDefault="00C21F15" w:rsidP="00C21F15">
      <w:pPr>
        <w:spacing w:line="360" w:lineRule="auto"/>
        <w:ind w:firstLine="480"/>
        <w:rPr>
          <w:bCs/>
          <w:sz w:val="24"/>
          <w:lang w:eastAsia="zh-CN"/>
        </w:rPr>
      </w:pPr>
      <w:r w:rsidRPr="002C2B23">
        <w:rPr>
          <w:bCs/>
          <w:sz w:val="24"/>
          <w:lang w:eastAsia="zh-CN"/>
        </w:rPr>
        <w:t>4</w:t>
      </w:r>
      <w:r w:rsidRPr="002C2B23">
        <w:rPr>
          <w:bCs/>
          <w:sz w:val="24"/>
          <w:lang w:eastAsia="zh-CN"/>
        </w:rPr>
        <w:t>、相关法律法规和中国证监会规定的其他情况。</w:t>
      </w:r>
    </w:p>
    <w:p w14:paraId="73A9F7E1" w14:textId="77777777" w:rsidR="00C21F15" w:rsidRPr="002C2B23" w:rsidRDefault="00C21F15" w:rsidP="00C21F15">
      <w:pPr>
        <w:spacing w:line="360" w:lineRule="auto"/>
        <w:ind w:firstLine="480"/>
        <w:rPr>
          <w:bCs/>
          <w:sz w:val="24"/>
          <w:lang w:eastAsia="zh-CN"/>
        </w:rPr>
      </w:pPr>
      <w:r w:rsidRPr="002C2B23">
        <w:rPr>
          <w:bCs/>
          <w:sz w:val="24"/>
          <w:lang w:eastAsia="zh-CN"/>
        </w:rPr>
        <w:t>（三）基金财产的清算</w:t>
      </w:r>
    </w:p>
    <w:p w14:paraId="5A97574A" w14:textId="77777777" w:rsidR="00C21F15" w:rsidRPr="002C2B23" w:rsidRDefault="00C21F15" w:rsidP="00C21F15">
      <w:pPr>
        <w:spacing w:line="360" w:lineRule="auto"/>
        <w:ind w:firstLine="480"/>
        <w:rPr>
          <w:bCs/>
          <w:sz w:val="24"/>
          <w:lang w:eastAsia="zh-CN"/>
        </w:rPr>
      </w:pPr>
      <w:r w:rsidRPr="002C2B23">
        <w:rPr>
          <w:bCs/>
          <w:sz w:val="24"/>
          <w:lang w:eastAsia="zh-CN"/>
        </w:rPr>
        <w:t>1</w:t>
      </w:r>
      <w:r w:rsidRPr="002C2B23">
        <w:rPr>
          <w:bCs/>
          <w:sz w:val="24"/>
          <w:lang w:eastAsia="zh-CN"/>
        </w:rPr>
        <w:t>、基金财产清算小组：自出现《基金合同》终止事由之日起</w:t>
      </w:r>
      <w:r w:rsidRPr="002C2B23">
        <w:rPr>
          <w:bCs/>
          <w:sz w:val="24"/>
          <w:lang w:eastAsia="zh-CN"/>
        </w:rPr>
        <w:t>30</w:t>
      </w:r>
      <w:r w:rsidRPr="002C2B23">
        <w:rPr>
          <w:bCs/>
          <w:sz w:val="24"/>
          <w:lang w:eastAsia="zh-CN"/>
        </w:rPr>
        <w:t>个工作日内成立基金财产清算小组，基金管理人</w:t>
      </w:r>
      <w:r w:rsidRPr="002C2B23">
        <w:rPr>
          <w:rFonts w:ascii="宋体" w:hAnsi="宋体" w:hint="eastAsia"/>
          <w:sz w:val="24"/>
          <w:szCs w:val="24"/>
          <w:lang w:eastAsia="zh-CN"/>
        </w:rPr>
        <w:t>或临时基金管理人</w:t>
      </w:r>
      <w:r w:rsidRPr="002C2B23">
        <w:rPr>
          <w:bCs/>
          <w:sz w:val="24"/>
          <w:lang w:eastAsia="zh-CN"/>
        </w:rPr>
        <w:t>组织基金财产清算小组并在中国证监会的监督下进行基金清算。</w:t>
      </w:r>
    </w:p>
    <w:p w14:paraId="7AFCA917" w14:textId="77777777" w:rsidR="00C21F15" w:rsidRPr="002C2B23" w:rsidRDefault="00C21F15" w:rsidP="00C21F15">
      <w:pPr>
        <w:spacing w:line="360" w:lineRule="auto"/>
        <w:ind w:firstLine="480"/>
        <w:rPr>
          <w:bCs/>
          <w:sz w:val="24"/>
          <w:lang w:eastAsia="zh-CN"/>
        </w:rPr>
      </w:pPr>
      <w:r w:rsidRPr="002C2B23">
        <w:rPr>
          <w:bCs/>
          <w:sz w:val="24"/>
          <w:lang w:eastAsia="zh-CN"/>
        </w:rPr>
        <w:t>2</w:t>
      </w:r>
      <w:r w:rsidRPr="002C2B23">
        <w:rPr>
          <w:bCs/>
          <w:sz w:val="24"/>
          <w:lang w:eastAsia="zh-CN"/>
        </w:rPr>
        <w:t>、在基金财产清算小组接管基金财产之前，基金管理人和基金托管人应按照《基金合同》和托管协议的规定继续履行保护基金财产安全的职责。</w:t>
      </w:r>
    </w:p>
    <w:p w14:paraId="49EFD72F" w14:textId="77777777" w:rsidR="00C21F15" w:rsidRPr="002C2B23" w:rsidRDefault="00C21F15" w:rsidP="00C21F15">
      <w:pPr>
        <w:spacing w:line="360" w:lineRule="auto"/>
        <w:ind w:firstLine="480"/>
        <w:rPr>
          <w:bCs/>
          <w:sz w:val="24"/>
          <w:lang w:eastAsia="zh-CN"/>
        </w:rPr>
      </w:pPr>
      <w:r w:rsidRPr="002C2B23">
        <w:rPr>
          <w:bCs/>
          <w:sz w:val="24"/>
          <w:lang w:eastAsia="zh-CN"/>
        </w:rPr>
        <w:t>3</w:t>
      </w:r>
      <w:r w:rsidRPr="002C2B23">
        <w:rPr>
          <w:bCs/>
          <w:sz w:val="24"/>
          <w:lang w:eastAsia="zh-CN"/>
        </w:rPr>
        <w:t>、基金财产清算小组组成：基金财产清算小组成员由基金管理人</w:t>
      </w:r>
      <w:r w:rsidRPr="002C2B23">
        <w:rPr>
          <w:rFonts w:ascii="宋体" w:hAnsi="宋体" w:hint="eastAsia"/>
          <w:sz w:val="24"/>
          <w:szCs w:val="24"/>
          <w:lang w:eastAsia="zh-CN"/>
        </w:rPr>
        <w:t>或临时基金管理人</w:t>
      </w:r>
      <w:r w:rsidRPr="002C2B23">
        <w:rPr>
          <w:bCs/>
          <w:sz w:val="24"/>
          <w:lang w:eastAsia="zh-CN"/>
        </w:rPr>
        <w:t>、基金托管人、</w:t>
      </w:r>
      <w:r w:rsidRPr="002C2B23">
        <w:rPr>
          <w:rFonts w:ascii="宋体" w:hAnsi="宋体" w:hint="eastAsia"/>
          <w:sz w:val="24"/>
          <w:szCs w:val="24"/>
          <w:lang w:eastAsia="zh-CN"/>
        </w:rPr>
        <w:t>具有从事证券</w:t>
      </w:r>
      <w:r w:rsidRPr="002C2B23">
        <w:rPr>
          <w:rFonts w:ascii="宋体" w:hAnsi="宋体" w:hint="eastAsia"/>
          <w:sz w:val="24"/>
          <w:szCs w:val="21"/>
          <w:lang w:eastAsia="zh-CN"/>
        </w:rPr>
        <w:t>、期货</w:t>
      </w:r>
      <w:r w:rsidRPr="002C2B23">
        <w:rPr>
          <w:rFonts w:ascii="宋体" w:hAnsi="宋体" w:hint="eastAsia"/>
          <w:sz w:val="24"/>
          <w:szCs w:val="24"/>
          <w:lang w:eastAsia="zh-CN"/>
        </w:rPr>
        <w:t>相关业务资格的</w:t>
      </w:r>
      <w:r w:rsidRPr="002C2B23">
        <w:rPr>
          <w:bCs/>
          <w:sz w:val="24"/>
          <w:lang w:eastAsia="zh-CN"/>
        </w:rPr>
        <w:t>注册会计师、律师以及中国证监会指定的人员组成。基金财产清算小组可以聘用必要的工作人员。</w:t>
      </w:r>
    </w:p>
    <w:p w14:paraId="111EFB6C" w14:textId="77777777" w:rsidR="00C21F15" w:rsidRPr="002C2B23" w:rsidRDefault="00C21F15" w:rsidP="00C21F15">
      <w:pPr>
        <w:spacing w:line="360" w:lineRule="auto"/>
        <w:ind w:firstLine="480"/>
        <w:rPr>
          <w:bCs/>
          <w:sz w:val="24"/>
          <w:lang w:eastAsia="zh-CN"/>
        </w:rPr>
      </w:pPr>
      <w:r w:rsidRPr="002C2B23">
        <w:rPr>
          <w:bCs/>
          <w:sz w:val="24"/>
          <w:lang w:eastAsia="zh-CN"/>
        </w:rPr>
        <w:t>4</w:t>
      </w:r>
      <w:r w:rsidRPr="002C2B23">
        <w:rPr>
          <w:bCs/>
          <w:sz w:val="24"/>
          <w:lang w:eastAsia="zh-CN"/>
        </w:rPr>
        <w:t>、基金财产清算小组职责：基金财产清算小组负责基金财产的保管、清理、估价、变现和分配。基金财产清算小组可以依法进行必要的民事活动。</w:t>
      </w:r>
    </w:p>
    <w:p w14:paraId="6CA00D70" w14:textId="77777777" w:rsidR="00C21F15" w:rsidRPr="002C2B23" w:rsidRDefault="00C21F15" w:rsidP="00C21F15">
      <w:pPr>
        <w:spacing w:line="360" w:lineRule="auto"/>
        <w:ind w:firstLine="480"/>
        <w:rPr>
          <w:bCs/>
          <w:sz w:val="24"/>
          <w:lang w:eastAsia="zh-CN"/>
        </w:rPr>
      </w:pPr>
      <w:r w:rsidRPr="002C2B23">
        <w:rPr>
          <w:bCs/>
          <w:sz w:val="24"/>
          <w:lang w:eastAsia="zh-CN"/>
        </w:rPr>
        <w:t>5</w:t>
      </w:r>
      <w:r w:rsidRPr="002C2B23">
        <w:rPr>
          <w:bCs/>
          <w:sz w:val="24"/>
          <w:lang w:eastAsia="zh-CN"/>
        </w:rPr>
        <w:t>、在基金财产清算过程中，基金管理人和基金托管人应各自履行职责，继续忠实、勤勉、尽责地履行基金合同和托管协议规定的义务，维护基金份额持有人的合法权益。</w:t>
      </w:r>
    </w:p>
    <w:p w14:paraId="53306C29" w14:textId="77777777" w:rsidR="00C21F15" w:rsidRPr="002C2B23" w:rsidRDefault="00C21F15" w:rsidP="00C21F15">
      <w:pPr>
        <w:spacing w:line="360" w:lineRule="auto"/>
        <w:ind w:firstLine="480"/>
        <w:rPr>
          <w:bCs/>
          <w:sz w:val="24"/>
          <w:lang w:eastAsia="zh-CN"/>
        </w:rPr>
      </w:pPr>
      <w:r w:rsidRPr="002C2B23">
        <w:rPr>
          <w:bCs/>
          <w:sz w:val="24"/>
          <w:lang w:eastAsia="zh-CN"/>
        </w:rPr>
        <w:t>6</w:t>
      </w:r>
      <w:r w:rsidRPr="002C2B23">
        <w:rPr>
          <w:bCs/>
          <w:sz w:val="24"/>
          <w:lang w:eastAsia="zh-CN"/>
        </w:rPr>
        <w:t>、基金财产清算程序：</w:t>
      </w:r>
    </w:p>
    <w:p w14:paraId="03B23F15"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1</w:t>
      </w:r>
      <w:r w:rsidRPr="002C2B23">
        <w:rPr>
          <w:bCs/>
          <w:sz w:val="24"/>
          <w:lang w:eastAsia="zh-CN"/>
        </w:rPr>
        <w:t>）《基金合同》终止情形出现时，由基金财产清算小组统一接管基金；</w:t>
      </w:r>
    </w:p>
    <w:p w14:paraId="682AC877"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2</w:t>
      </w:r>
      <w:r w:rsidRPr="002C2B23">
        <w:rPr>
          <w:bCs/>
          <w:sz w:val="24"/>
          <w:lang w:eastAsia="zh-CN"/>
        </w:rPr>
        <w:t>）对基金财产和债权债务进行清理和确认；</w:t>
      </w:r>
    </w:p>
    <w:p w14:paraId="4C597424"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3</w:t>
      </w:r>
      <w:r w:rsidRPr="002C2B23">
        <w:rPr>
          <w:bCs/>
          <w:sz w:val="24"/>
          <w:lang w:eastAsia="zh-CN"/>
        </w:rPr>
        <w:t>）对基金财产进行估值和变现；</w:t>
      </w:r>
    </w:p>
    <w:p w14:paraId="1EC96D09"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4</w:t>
      </w:r>
      <w:r w:rsidRPr="002C2B23">
        <w:rPr>
          <w:bCs/>
          <w:sz w:val="24"/>
          <w:lang w:eastAsia="zh-CN"/>
        </w:rPr>
        <w:t>）制作清算报告；</w:t>
      </w:r>
    </w:p>
    <w:p w14:paraId="3068B196"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5</w:t>
      </w:r>
      <w:r w:rsidRPr="002C2B23">
        <w:rPr>
          <w:bCs/>
          <w:sz w:val="24"/>
          <w:lang w:eastAsia="zh-CN"/>
        </w:rPr>
        <w:t>）聘请会计师事务所对清算报告进行外部审计，聘请律师事务所对清算报告出具法律意见书；</w:t>
      </w:r>
    </w:p>
    <w:p w14:paraId="3B718DA0"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6</w:t>
      </w:r>
      <w:r w:rsidRPr="002C2B23">
        <w:rPr>
          <w:bCs/>
          <w:sz w:val="24"/>
          <w:lang w:eastAsia="zh-CN"/>
        </w:rPr>
        <w:t>）将清算报告报中国证监会备案并公告；</w:t>
      </w:r>
    </w:p>
    <w:p w14:paraId="0E530D91" w14:textId="77777777" w:rsidR="00C21F15" w:rsidRPr="002C2B23" w:rsidRDefault="00C21F15" w:rsidP="00C21F15">
      <w:pPr>
        <w:spacing w:line="360" w:lineRule="auto"/>
        <w:ind w:firstLine="480"/>
        <w:rPr>
          <w:bCs/>
          <w:sz w:val="24"/>
          <w:lang w:eastAsia="zh-CN"/>
        </w:rPr>
      </w:pPr>
      <w:r w:rsidRPr="002C2B23">
        <w:rPr>
          <w:bCs/>
          <w:sz w:val="24"/>
          <w:lang w:eastAsia="zh-CN"/>
        </w:rPr>
        <w:t>（</w:t>
      </w:r>
      <w:r w:rsidRPr="002C2B23">
        <w:rPr>
          <w:bCs/>
          <w:sz w:val="24"/>
          <w:lang w:eastAsia="zh-CN"/>
        </w:rPr>
        <w:t>7</w:t>
      </w:r>
      <w:r w:rsidRPr="002C2B23">
        <w:rPr>
          <w:bCs/>
          <w:sz w:val="24"/>
          <w:lang w:eastAsia="zh-CN"/>
        </w:rPr>
        <w:t>）对基金剩余财产进行分配。</w:t>
      </w:r>
    </w:p>
    <w:p w14:paraId="233C305F" w14:textId="77777777" w:rsidR="00C21F15" w:rsidRPr="002C2B23" w:rsidRDefault="00C21F15" w:rsidP="00C21F15">
      <w:pPr>
        <w:spacing w:line="360" w:lineRule="auto"/>
        <w:ind w:firstLine="480"/>
        <w:rPr>
          <w:bCs/>
          <w:sz w:val="24"/>
          <w:lang w:eastAsia="zh-CN"/>
        </w:rPr>
      </w:pPr>
      <w:r w:rsidRPr="002C2B23">
        <w:rPr>
          <w:bCs/>
          <w:sz w:val="24"/>
          <w:lang w:eastAsia="zh-CN"/>
        </w:rPr>
        <w:t>7</w:t>
      </w:r>
      <w:r w:rsidRPr="002C2B23">
        <w:rPr>
          <w:bCs/>
          <w:sz w:val="24"/>
          <w:lang w:eastAsia="zh-CN"/>
        </w:rPr>
        <w:t>、基金财产清算的期限为</w:t>
      </w:r>
      <w:r w:rsidRPr="002C2B23">
        <w:rPr>
          <w:bCs/>
          <w:sz w:val="24"/>
          <w:lang w:eastAsia="zh-CN"/>
        </w:rPr>
        <w:t>6</w:t>
      </w:r>
      <w:r w:rsidRPr="002C2B23">
        <w:rPr>
          <w:bCs/>
          <w:sz w:val="24"/>
          <w:lang w:eastAsia="zh-CN"/>
        </w:rPr>
        <w:t>个月，但因本基金所持证券的流动性受到限制而不能及时变现的，清算期限可相应顺延。</w:t>
      </w:r>
    </w:p>
    <w:p w14:paraId="571864EF" w14:textId="77777777" w:rsidR="00C21F15" w:rsidRPr="002C2B23" w:rsidRDefault="00C21F15" w:rsidP="00C21F15">
      <w:pPr>
        <w:spacing w:line="360" w:lineRule="auto"/>
        <w:ind w:firstLine="480"/>
        <w:rPr>
          <w:bCs/>
          <w:sz w:val="24"/>
          <w:lang w:eastAsia="zh-CN"/>
        </w:rPr>
      </w:pPr>
      <w:r w:rsidRPr="002C2B23">
        <w:rPr>
          <w:bCs/>
          <w:sz w:val="24"/>
          <w:lang w:eastAsia="zh-CN"/>
        </w:rPr>
        <w:t>（四）清算费用</w:t>
      </w:r>
    </w:p>
    <w:p w14:paraId="5DE4F60C" w14:textId="77777777" w:rsidR="00C21F15" w:rsidRPr="002C2B23" w:rsidRDefault="00C21F15" w:rsidP="00C21F15">
      <w:pPr>
        <w:spacing w:line="360" w:lineRule="auto"/>
        <w:ind w:firstLine="480"/>
        <w:rPr>
          <w:bCs/>
          <w:sz w:val="24"/>
          <w:lang w:eastAsia="zh-CN"/>
        </w:rPr>
      </w:pPr>
      <w:r w:rsidRPr="002C2B23">
        <w:rPr>
          <w:bCs/>
          <w:sz w:val="24"/>
          <w:lang w:eastAsia="zh-CN"/>
        </w:rPr>
        <w:t>清算费用是指基金财产清算小组在进行基金清算过程中发生的所有合理费用，清算费用由基金财产清算小组优先从基金剩余财产中支付。</w:t>
      </w:r>
    </w:p>
    <w:p w14:paraId="33C0004E" w14:textId="77777777" w:rsidR="00C21F15" w:rsidRPr="002C2B23" w:rsidRDefault="00C21F15" w:rsidP="00C21F15">
      <w:pPr>
        <w:spacing w:line="360" w:lineRule="auto"/>
        <w:ind w:firstLine="480"/>
        <w:rPr>
          <w:bCs/>
          <w:sz w:val="24"/>
          <w:lang w:eastAsia="zh-CN"/>
        </w:rPr>
      </w:pPr>
      <w:r w:rsidRPr="002C2B23">
        <w:rPr>
          <w:bCs/>
          <w:sz w:val="24"/>
          <w:lang w:eastAsia="zh-CN"/>
        </w:rPr>
        <w:t>（五）基金财产清算剩余资产的分配</w:t>
      </w:r>
    </w:p>
    <w:p w14:paraId="67D870EC" w14:textId="77777777" w:rsidR="00C21F15" w:rsidRPr="002C2B23" w:rsidRDefault="00C21F15" w:rsidP="00C21F15">
      <w:pPr>
        <w:spacing w:line="360" w:lineRule="auto"/>
        <w:ind w:firstLine="480"/>
        <w:rPr>
          <w:bCs/>
          <w:sz w:val="24"/>
          <w:lang w:eastAsia="zh-CN"/>
        </w:rPr>
      </w:pPr>
      <w:r w:rsidRPr="002C2B23">
        <w:rPr>
          <w:bCs/>
          <w:sz w:val="24"/>
          <w:lang w:eastAsia="zh-CN"/>
        </w:rPr>
        <w:t>依据基金财产清算的分配方案，将基金财产清算后的全部剩余资产扣除基金财产清算费用、交纳所欠税款并清偿基金债务后，按基金份额持有人持有的各类基金份额比例进行分配。</w:t>
      </w:r>
    </w:p>
    <w:p w14:paraId="7570FD99" w14:textId="77777777" w:rsidR="00C21F15" w:rsidRPr="002C2B23" w:rsidRDefault="00C21F15" w:rsidP="00C21F15">
      <w:pPr>
        <w:spacing w:line="360" w:lineRule="auto"/>
        <w:ind w:firstLine="480"/>
        <w:rPr>
          <w:bCs/>
          <w:sz w:val="24"/>
          <w:lang w:eastAsia="zh-CN"/>
        </w:rPr>
      </w:pPr>
      <w:r w:rsidRPr="002C2B23">
        <w:rPr>
          <w:bCs/>
          <w:sz w:val="24"/>
          <w:lang w:eastAsia="zh-CN"/>
        </w:rPr>
        <w:t>（六）基金财产清算的公告</w:t>
      </w:r>
    </w:p>
    <w:p w14:paraId="0ABDDE0E" w14:textId="77777777" w:rsidR="00C21F15" w:rsidRPr="002C2B23" w:rsidRDefault="00C21F15" w:rsidP="00C21F15">
      <w:pPr>
        <w:spacing w:line="360" w:lineRule="auto"/>
        <w:ind w:firstLine="480"/>
        <w:rPr>
          <w:bCs/>
          <w:sz w:val="24"/>
          <w:lang w:eastAsia="zh-CN"/>
        </w:rPr>
      </w:pPr>
      <w:r w:rsidRPr="002C2B23">
        <w:rPr>
          <w:bCs/>
          <w:sz w:val="24"/>
          <w:lang w:eastAsia="zh-CN"/>
        </w:rPr>
        <w:t>清算过程中的有关重大事项须及时公告；基金财产清算报告经</w:t>
      </w:r>
      <w:proofErr w:type="gramStart"/>
      <w:r w:rsidRPr="002C2B23">
        <w:rPr>
          <w:rFonts w:ascii="宋体" w:hAnsi="宋体" w:hint="eastAsia"/>
          <w:sz w:val="24"/>
          <w:szCs w:val="24"/>
          <w:lang w:eastAsia="zh-CN"/>
        </w:rPr>
        <w:t>经</w:t>
      </w:r>
      <w:proofErr w:type="gramEnd"/>
      <w:r w:rsidRPr="002C2B23">
        <w:rPr>
          <w:rFonts w:ascii="宋体" w:hAnsi="宋体" w:hint="eastAsia"/>
          <w:sz w:val="24"/>
          <w:lang w:eastAsia="zh-CN"/>
        </w:rPr>
        <w:t>具有证券、期货相关业务资格的</w:t>
      </w:r>
      <w:r w:rsidRPr="002C2B23">
        <w:rPr>
          <w:bCs/>
          <w:sz w:val="24"/>
          <w:lang w:eastAsia="zh-CN"/>
        </w:rPr>
        <w:t>会计师事务所审计并由律师事务所出具法律意见书后报中国证监会备案并公告。基金财产清算公告于基金财产清算报告报中国证监会备案后</w:t>
      </w:r>
      <w:r w:rsidRPr="002C2B23">
        <w:rPr>
          <w:bCs/>
          <w:sz w:val="24"/>
          <w:lang w:eastAsia="zh-CN"/>
        </w:rPr>
        <w:t>5</w:t>
      </w:r>
      <w:r w:rsidRPr="002C2B23">
        <w:rPr>
          <w:bCs/>
          <w:sz w:val="24"/>
          <w:lang w:eastAsia="zh-CN"/>
        </w:rPr>
        <w:t>个工作日内由基金财产清算小组进行公告。</w:t>
      </w:r>
    </w:p>
    <w:p w14:paraId="30FC8226" w14:textId="77777777" w:rsidR="00C21F15" w:rsidRPr="002C2B23" w:rsidRDefault="00C21F15" w:rsidP="00C21F15">
      <w:pPr>
        <w:spacing w:line="360" w:lineRule="auto"/>
        <w:ind w:firstLine="480"/>
        <w:rPr>
          <w:bCs/>
          <w:sz w:val="24"/>
          <w:lang w:eastAsia="zh-CN"/>
        </w:rPr>
      </w:pPr>
      <w:r w:rsidRPr="002C2B23">
        <w:rPr>
          <w:bCs/>
          <w:sz w:val="24"/>
          <w:lang w:eastAsia="zh-CN"/>
        </w:rPr>
        <w:t>（七）基金财产清算账册及文件的保存</w:t>
      </w:r>
    </w:p>
    <w:p w14:paraId="6219B515" w14:textId="77777777" w:rsidR="00C21F15" w:rsidRPr="002C2B23" w:rsidRDefault="00C21F15" w:rsidP="00C21F15">
      <w:pPr>
        <w:spacing w:line="360" w:lineRule="auto"/>
        <w:ind w:firstLine="480"/>
        <w:rPr>
          <w:bCs/>
          <w:sz w:val="24"/>
          <w:lang w:eastAsia="zh-CN"/>
        </w:rPr>
      </w:pPr>
      <w:r w:rsidRPr="002C2B23">
        <w:rPr>
          <w:bCs/>
          <w:sz w:val="24"/>
          <w:lang w:eastAsia="zh-CN"/>
        </w:rPr>
        <w:t>基金财产清算账册及有关文件由基金托管人保存</w:t>
      </w:r>
      <w:r w:rsidRPr="002C2B23">
        <w:rPr>
          <w:rFonts w:hint="eastAsia"/>
          <w:bCs/>
          <w:sz w:val="24"/>
          <w:lang w:eastAsia="zh-CN"/>
        </w:rPr>
        <w:t>，保存期限按照法律法规的规定执行</w:t>
      </w:r>
      <w:r w:rsidRPr="002C2B23">
        <w:rPr>
          <w:bCs/>
          <w:sz w:val="24"/>
          <w:lang w:eastAsia="zh-CN"/>
        </w:rPr>
        <w:t>。</w:t>
      </w:r>
    </w:p>
    <w:p w14:paraId="0F44D933" w14:textId="77777777" w:rsidR="00C21F15" w:rsidRPr="002C2B23" w:rsidRDefault="00C21F15" w:rsidP="00C21F15">
      <w:pPr>
        <w:spacing w:line="360" w:lineRule="auto"/>
        <w:ind w:firstLine="480"/>
        <w:rPr>
          <w:bCs/>
          <w:sz w:val="24"/>
          <w:lang w:eastAsia="zh-CN"/>
        </w:rPr>
      </w:pPr>
      <w:r w:rsidRPr="002C2B23">
        <w:rPr>
          <w:bCs/>
          <w:sz w:val="24"/>
          <w:lang w:eastAsia="zh-CN"/>
        </w:rPr>
        <w:t>（八）基金合并</w:t>
      </w:r>
    </w:p>
    <w:p w14:paraId="5F4D2296" w14:textId="77777777" w:rsidR="00C21F15" w:rsidRPr="002C2B23" w:rsidRDefault="00C21F15" w:rsidP="00C21F15">
      <w:pPr>
        <w:spacing w:line="360" w:lineRule="auto"/>
        <w:ind w:firstLine="480"/>
        <w:rPr>
          <w:bCs/>
          <w:sz w:val="24"/>
          <w:lang w:eastAsia="zh-CN"/>
        </w:rPr>
      </w:pPr>
      <w:r w:rsidRPr="002C2B23">
        <w:rPr>
          <w:bCs/>
          <w:sz w:val="24"/>
          <w:lang w:eastAsia="zh-CN"/>
        </w:rPr>
        <w:t>本基金与其他基金的合并应当按照法律法规规定的程序进行。</w:t>
      </w:r>
    </w:p>
    <w:p w14:paraId="2D34C303" w14:textId="77777777" w:rsidR="00C21F15" w:rsidRPr="002C2B23" w:rsidRDefault="00C21F15" w:rsidP="00C21F15">
      <w:pPr>
        <w:spacing w:line="360" w:lineRule="auto"/>
        <w:ind w:firstLine="480"/>
        <w:rPr>
          <w:rFonts w:ascii="宋体" w:hAnsi="宋体"/>
          <w:sz w:val="24"/>
          <w:lang w:eastAsia="zh-CN"/>
        </w:rPr>
      </w:pPr>
      <w:r w:rsidRPr="002C2B23">
        <w:rPr>
          <w:rFonts w:ascii="宋体" w:hAnsi="宋体"/>
          <w:sz w:val="24"/>
          <w:lang w:eastAsia="zh-CN"/>
        </w:rPr>
        <w:t>八、争议的处理和适用的法律</w:t>
      </w:r>
    </w:p>
    <w:p w14:paraId="5C2A20DB" w14:textId="77777777" w:rsidR="00C21F15" w:rsidRPr="002C2B23" w:rsidRDefault="00C21F15" w:rsidP="00C21F15">
      <w:pPr>
        <w:spacing w:line="360" w:lineRule="auto"/>
        <w:ind w:firstLine="480"/>
        <w:rPr>
          <w:bCs/>
          <w:sz w:val="24"/>
          <w:lang w:eastAsia="zh-CN"/>
        </w:rPr>
      </w:pPr>
      <w:r w:rsidRPr="002C2B23">
        <w:rPr>
          <w:rFonts w:hint="eastAsia"/>
          <w:bCs/>
          <w:sz w:val="24"/>
          <w:lang w:eastAsia="zh-CN"/>
        </w:rPr>
        <w:t>对于因基金合同的订立、内容、履行和解释或与基金合同有关的争议，基金合同当事人应尽量通过协商、调解途径解决。不愿或者不能通过协商、调解解决的，任何一方均有权将争议提交中国国际经济贸易仲裁委员会</w:t>
      </w:r>
      <w:r w:rsidRPr="002C2B23">
        <w:rPr>
          <w:rFonts w:hint="eastAsia"/>
          <w:bCs/>
          <w:sz w:val="24"/>
          <w:lang w:eastAsia="zh-CN"/>
        </w:rPr>
        <w:t xml:space="preserve"> </w:t>
      </w:r>
      <w:r w:rsidRPr="002C2B23">
        <w:rPr>
          <w:rFonts w:hint="eastAsia"/>
          <w:bCs/>
          <w:sz w:val="24"/>
          <w:lang w:eastAsia="zh-CN"/>
        </w:rPr>
        <w:t>，按照中国国际经济贸易仲裁委员会届时有效的仲裁规则进行仲裁。仲裁地点为北京市。仲裁裁决是终局的，对各方当事人均有约束力。除裁决另有规定的，仲裁费用、律师费用由败诉方承担。</w:t>
      </w:r>
    </w:p>
    <w:p w14:paraId="573B586F" w14:textId="77777777" w:rsidR="00C21F15" w:rsidRPr="002C2B23" w:rsidRDefault="00C21F15" w:rsidP="00C21F15">
      <w:pPr>
        <w:spacing w:line="360" w:lineRule="auto"/>
        <w:ind w:firstLine="480"/>
        <w:rPr>
          <w:bCs/>
          <w:sz w:val="24"/>
          <w:lang w:eastAsia="zh-CN"/>
        </w:rPr>
      </w:pPr>
      <w:r w:rsidRPr="002C2B23">
        <w:rPr>
          <w:rFonts w:hint="eastAsia"/>
          <w:bCs/>
          <w:sz w:val="24"/>
          <w:lang w:eastAsia="zh-CN"/>
        </w:rPr>
        <w:t>争议处理期间，基金合同当事人应恪守各自的职责，继续忠实、勤勉、尽责地履行基金合同规定的义务，维护基金份额持有人的合法权益。</w:t>
      </w:r>
    </w:p>
    <w:p w14:paraId="1ABC833A" w14:textId="77777777" w:rsidR="00C21F15" w:rsidRPr="002C2B23" w:rsidRDefault="00C21F15" w:rsidP="00C21F15">
      <w:pPr>
        <w:spacing w:line="360" w:lineRule="auto"/>
        <w:ind w:firstLine="480"/>
        <w:rPr>
          <w:bCs/>
          <w:sz w:val="24"/>
          <w:lang w:eastAsia="zh-CN"/>
        </w:rPr>
      </w:pPr>
      <w:r w:rsidRPr="002C2B23">
        <w:rPr>
          <w:rFonts w:hint="eastAsia"/>
          <w:bCs/>
          <w:sz w:val="24"/>
          <w:lang w:eastAsia="zh-CN"/>
        </w:rPr>
        <w:t>本基金合同受中国法律（为本基金合同之目的，在此不包括香港、澳门特别行政区和台湾地区的有关规定）管辖并从其解释。</w:t>
      </w:r>
    </w:p>
    <w:p w14:paraId="4D0306EF" w14:textId="77777777" w:rsidR="00C21F15" w:rsidRPr="002C2B23" w:rsidRDefault="00C21F15" w:rsidP="00C21F15">
      <w:pPr>
        <w:spacing w:line="360" w:lineRule="auto"/>
        <w:ind w:firstLine="480"/>
        <w:rPr>
          <w:rFonts w:ascii="宋体" w:hAnsi="宋体"/>
          <w:sz w:val="24"/>
          <w:lang w:eastAsia="zh-CN"/>
        </w:rPr>
      </w:pPr>
      <w:r w:rsidRPr="002C2B23">
        <w:rPr>
          <w:rFonts w:ascii="宋体" w:hAnsi="宋体"/>
          <w:sz w:val="24"/>
          <w:lang w:eastAsia="zh-CN"/>
        </w:rPr>
        <w:t>九、基金合同的存放地和投资者取得基金合同的方式</w:t>
      </w:r>
    </w:p>
    <w:p w14:paraId="082DE7E1" w14:textId="5F14D480" w:rsidR="00C21F15" w:rsidRPr="002C2B23" w:rsidRDefault="00C21F15" w:rsidP="00C21F15">
      <w:pPr>
        <w:rPr>
          <w:lang w:eastAsia="zh-CN"/>
        </w:rPr>
      </w:pPr>
      <w:r w:rsidRPr="002C2B23">
        <w:rPr>
          <w:rFonts w:ascii="宋体" w:hAnsi="宋体"/>
          <w:sz w:val="24"/>
          <w:lang w:eastAsia="zh-CN"/>
        </w:rPr>
        <w:t>《基金合同》可印制成册，供投资者在基金管理人、基金托管人、销售机构的办公场所和营业场所查阅</w:t>
      </w:r>
      <w:r w:rsidR="0018269A">
        <w:rPr>
          <w:rFonts w:ascii="宋体" w:hAnsi="宋体" w:hint="eastAsia"/>
          <w:sz w:val="24"/>
          <w:lang w:eastAsia="zh-CN"/>
        </w:rPr>
        <w:t>。</w:t>
      </w:r>
    </w:p>
    <w:p w14:paraId="6525B102" w14:textId="591BDC08" w:rsidR="005039DD" w:rsidRPr="002C2B23" w:rsidRDefault="0040620F">
      <w:pPr>
        <w:spacing w:line="360" w:lineRule="auto"/>
        <w:ind w:firstLine="480"/>
        <w:rPr>
          <w:rFonts w:ascii="宋体" w:hAnsi="宋体"/>
          <w:sz w:val="24"/>
          <w:lang w:eastAsia="zh-CN"/>
        </w:rPr>
        <w:sectPr w:rsidR="005039DD" w:rsidRPr="002C2B23">
          <w:headerReference w:type="default" r:id="rId33"/>
          <w:footerReference w:type="default" r:id="rId34"/>
          <w:pgSz w:w="11906" w:h="16838"/>
          <w:pgMar w:top="1440" w:right="1800" w:bottom="1440" w:left="1800" w:header="851" w:footer="992" w:gutter="0"/>
          <w:cols w:space="425"/>
          <w:docGrid w:type="lines" w:linePitch="312"/>
        </w:sectPr>
      </w:pPr>
      <w:r w:rsidRPr="002C2B23">
        <w:rPr>
          <w:rFonts w:ascii="宋体" w:hAnsi="宋体" w:hint="eastAsia"/>
          <w:sz w:val="24"/>
          <w:lang w:eastAsia="zh-CN"/>
        </w:rPr>
        <w:t>。</w:t>
      </w:r>
    </w:p>
    <w:p w14:paraId="720494FB" w14:textId="1C2AE2CB" w:rsidR="005039DD" w:rsidRPr="002C2B23" w:rsidRDefault="0040620F">
      <w:pPr>
        <w:spacing w:line="360" w:lineRule="auto"/>
        <w:rPr>
          <w:sz w:val="24"/>
          <w:lang w:eastAsia="zh-CN"/>
        </w:rPr>
      </w:pPr>
      <w:r w:rsidRPr="002C2B23">
        <w:rPr>
          <w:rFonts w:hint="eastAsia"/>
          <w:sz w:val="24"/>
          <w:lang w:eastAsia="zh-CN"/>
        </w:rPr>
        <w:t>本</w:t>
      </w:r>
      <w:r w:rsidR="00CA5A3A">
        <w:rPr>
          <w:rFonts w:hint="eastAsia"/>
          <w:sz w:val="24"/>
          <w:lang w:eastAsia="zh-CN"/>
        </w:rPr>
        <w:t>页无正文，为《红土创新领航智选混合型证券投资基金基金合同</w:t>
      </w:r>
      <w:bookmarkStart w:id="517" w:name="_GoBack"/>
      <w:bookmarkEnd w:id="517"/>
      <w:r w:rsidRPr="002C2B23">
        <w:rPr>
          <w:rFonts w:hint="eastAsia"/>
          <w:sz w:val="24"/>
          <w:lang w:eastAsia="zh-CN"/>
        </w:rPr>
        <w:t>》的签署页。</w:t>
      </w:r>
    </w:p>
    <w:p w14:paraId="34D459AB" w14:textId="77777777" w:rsidR="005039DD" w:rsidRPr="002C2B23" w:rsidRDefault="005039DD">
      <w:pPr>
        <w:spacing w:line="360" w:lineRule="auto"/>
        <w:rPr>
          <w:sz w:val="24"/>
          <w:lang w:eastAsia="zh-CN"/>
        </w:rPr>
      </w:pPr>
    </w:p>
    <w:p w14:paraId="5180D1F5" w14:textId="77777777" w:rsidR="005039DD" w:rsidRPr="002C2B23" w:rsidRDefault="005039DD">
      <w:pPr>
        <w:spacing w:line="360" w:lineRule="auto"/>
        <w:rPr>
          <w:sz w:val="24"/>
          <w:lang w:eastAsia="zh-CN"/>
        </w:rPr>
      </w:pPr>
    </w:p>
    <w:p w14:paraId="56037FDD" w14:textId="77777777" w:rsidR="005039DD" w:rsidRPr="002C2B23" w:rsidRDefault="0040620F">
      <w:pPr>
        <w:spacing w:line="360" w:lineRule="auto"/>
        <w:rPr>
          <w:sz w:val="24"/>
          <w:lang w:eastAsia="zh-CN"/>
        </w:rPr>
      </w:pPr>
      <w:r w:rsidRPr="002C2B23">
        <w:rPr>
          <w:rFonts w:hint="eastAsia"/>
          <w:sz w:val="24"/>
          <w:lang w:eastAsia="zh-CN"/>
        </w:rPr>
        <w:t>基金管理人：</w:t>
      </w:r>
      <w:r w:rsidRPr="002C2B23">
        <w:rPr>
          <w:rFonts w:hint="eastAsia"/>
          <w:color w:val="000000"/>
          <w:sz w:val="24"/>
          <w:lang w:eastAsia="zh-CN"/>
        </w:rPr>
        <w:t>红土创新基金管理有限公司</w:t>
      </w:r>
      <w:r w:rsidRPr="002C2B23">
        <w:rPr>
          <w:rFonts w:hint="eastAsia"/>
          <w:sz w:val="24"/>
          <w:lang w:eastAsia="zh-CN"/>
        </w:rPr>
        <w:t>（章）</w:t>
      </w:r>
    </w:p>
    <w:p w14:paraId="5F4D35A6" w14:textId="77777777" w:rsidR="005039DD" w:rsidRPr="002C2B23" w:rsidRDefault="005039DD">
      <w:pPr>
        <w:spacing w:line="360" w:lineRule="auto"/>
        <w:rPr>
          <w:sz w:val="24"/>
          <w:lang w:eastAsia="zh-CN"/>
        </w:rPr>
      </w:pPr>
    </w:p>
    <w:p w14:paraId="300FFE84" w14:textId="77777777" w:rsidR="005039DD" w:rsidRPr="002C2B23" w:rsidRDefault="005039DD">
      <w:pPr>
        <w:spacing w:line="360" w:lineRule="auto"/>
        <w:rPr>
          <w:sz w:val="24"/>
          <w:lang w:eastAsia="zh-CN"/>
        </w:rPr>
      </w:pPr>
    </w:p>
    <w:p w14:paraId="70A3E64A" w14:textId="77777777" w:rsidR="005039DD" w:rsidRPr="002C2B23" w:rsidRDefault="005039DD">
      <w:pPr>
        <w:spacing w:line="360" w:lineRule="auto"/>
        <w:rPr>
          <w:sz w:val="24"/>
          <w:lang w:eastAsia="zh-CN"/>
        </w:rPr>
      </w:pPr>
    </w:p>
    <w:p w14:paraId="5AC6AB01" w14:textId="77777777" w:rsidR="005039DD" w:rsidRPr="002C2B23" w:rsidRDefault="0040620F">
      <w:pPr>
        <w:spacing w:line="360" w:lineRule="auto"/>
        <w:rPr>
          <w:sz w:val="24"/>
          <w:lang w:eastAsia="zh-CN"/>
        </w:rPr>
      </w:pPr>
      <w:r w:rsidRPr="002C2B23">
        <w:rPr>
          <w:rFonts w:hint="eastAsia"/>
          <w:sz w:val="24"/>
          <w:lang w:eastAsia="zh-CN"/>
        </w:rPr>
        <w:t>法定代表人或授权代表（签字</w:t>
      </w:r>
      <w:r w:rsidRPr="002C2B23">
        <w:rPr>
          <w:rFonts w:hint="eastAsia"/>
          <w:sz w:val="24"/>
          <w:lang w:eastAsia="zh-CN"/>
        </w:rPr>
        <w:t>/</w:t>
      </w:r>
      <w:r w:rsidRPr="002C2B23">
        <w:rPr>
          <w:rFonts w:hint="eastAsia"/>
          <w:sz w:val="24"/>
          <w:lang w:eastAsia="zh-CN"/>
        </w:rPr>
        <w:t>签章）：</w:t>
      </w:r>
      <w:r w:rsidRPr="002C2B23">
        <w:rPr>
          <w:rFonts w:hint="eastAsia"/>
          <w:sz w:val="24"/>
          <w:lang w:eastAsia="zh-CN"/>
        </w:rPr>
        <w:t xml:space="preserve">           </w:t>
      </w:r>
    </w:p>
    <w:p w14:paraId="129B249A" w14:textId="77777777" w:rsidR="005039DD" w:rsidRPr="002C2B23" w:rsidRDefault="005039DD">
      <w:pPr>
        <w:spacing w:line="360" w:lineRule="auto"/>
        <w:rPr>
          <w:sz w:val="24"/>
          <w:lang w:eastAsia="zh-CN"/>
        </w:rPr>
      </w:pPr>
    </w:p>
    <w:p w14:paraId="64D7D640" w14:textId="77777777" w:rsidR="005039DD" w:rsidRPr="002C2B23" w:rsidRDefault="005039DD">
      <w:pPr>
        <w:spacing w:line="360" w:lineRule="auto"/>
        <w:rPr>
          <w:sz w:val="24"/>
          <w:lang w:eastAsia="zh-CN"/>
        </w:rPr>
      </w:pPr>
    </w:p>
    <w:p w14:paraId="474338D4" w14:textId="77777777" w:rsidR="005039DD" w:rsidRPr="002C2B23" w:rsidRDefault="005039DD">
      <w:pPr>
        <w:spacing w:line="360" w:lineRule="auto"/>
        <w:rPr>
          <w:sz w:val="24"/>
          <w:lang w:eastAsia="zh-CN"/>
        </w:rPr>
      </w:pPr>
    </w:p>
    <w:p w14:paraId="78E80636" w14:textId="77777777" w:rsidR="005039DD" w:rsidRPr="002C2B23" w:rsidRDefault="005039DD">
      <w:pPr>
        <w:spacing w:line="360" w:lineRule="auto"/>
        <w:rPr>
          <w:sz w:val="24"/>
          <w:lang w:eastAsia="zh-CN"/>
        </w:rPr>
      </w:pPr>
    </w:p>
    <w:p w14:paraId="784346B7" w14:textId="77777777" w:rsidR="005039DD" w:rsidRPr="002C2B23" w:rsidRDefault="005039DD">
      <w:pPr>
        <w:spacing w:line="360" w:lineRule="auto"/>
        <w:rPr>
          <w:sz w:val="24"/>
          <w:lang w:eastAsia="zh-CN"/>
        </w:rPr>
      </w:pPr>
    </w:p>
    <w:p w14:paraId="47FCD97C" w14:textId="77777777" w:rsidR="005039DD" w:rsidRPr="002C2B23" w:rsidRDefault="0040620F">
      <w:pPr>
        <w:spacing w:line="360" w:lineRule="auto"/>
        <w:rPr>
          <w:sz w:val="24"/>
          <w:lang w:eastAsia="zh-CN"/>
        </w:rPr>
      </w:pPr>
      <w:r w:rsidRPr="002C2B23">
        <w:rPr>
          <w:rFonts w:hint="eastAsia"/>
          <w:sz w:val="24"/>
          <w:lang w:eastAsia="zh-CN"/>
        </w:rPr>
        <w:t>基金托管人：中国建设</w:t>
      </w:r>
      <w:r w:rsidRPr="002C2B23">
        <w:rPr>
          <w:rFonts w:hint="eastAsia"/>
          <w:color w:val="000000"/>
          <w:sz w:val="24"/>
          <w:lang w:eastAsia="zh-CN"/>
        </w:rPr>
        <w:t>银行股份有限公司</w:t>
      </w:r>
      <w:r w:rsidRPr="002C2B23">
        <w:rPr>
          <w:rFonts w:hint="eastAsia"/>
          <w:sz w:val="24"/>
          <w:lang w:eastAsia="zh-CN"/>
        </w:rPr>
        <w:t>（章）</w:t>
      </w:r>
    </w:p>
    <w:p w14:paraId="4A303F64" w14:textId="77777777" w:rsidR="005039DD" w:rsidRPr="002C2B23" w:rsidRDefault="005039DD">
      <w:pPr>
        <w:spacing w:line="360" w:lineRule="auto"/>
        <w:rPr>
          <w:sz w:val="24"/>
          <w:lang w:eastAsia="zh-CN"/>
        </w:rPr>
      </w:pPr>
    </w:p>
    <w:p w14:paraId="37FCB4E6" w14:textId="77777777" w:rsidR="005039DD" w:rsidRPr="002C2B23" w:rsidRDefault="005039DD">
      <w:pPr>
        <w:spacing w:line="360" w:lineRule="auto"/>
        <w:rPr>
          <w:sz w:val="24"/>
          <w:lang w:eastAsia="zh-CN"/>
        </w:rPr>
      </w:pPr>
    </w:p>
    <w:p w14:paraId="74B49FA9" w14:textId="77777777" w:rsidR="005039DD" w:rsidRPr="002C2B23" w:rsidRDefault="005039DD">
      <w:pPr>
        <w:spacing w:line="360" w:lineRule="auto"/>
        <w:rPr>
          <w:sz w:val="24"/>
          <w:lang w:eastAsia="zh-CN"/>
        </w:rPr>
      </w:pPr>
    </w:p>
    <w:p w14:paraId="505E1ADE" w14:textId="77777777" w:rsidR="005039DD" w:rsidRPr="002C2B23" w:rsidRDefault="0040620F">
      <w:pPr>
        <w:spacing w:line="360" w:lineRule="auto"/>
        <w:rPr>
          <w:sz w:val="24"/>
          <w:lang w:eastAsia="zh-CN"/>
        </w:rPr>
      </w:pPr>
      <w:r w:rsidRPr="002C2B23">
        <w:rPr>
          <w:rFonts w:hint="eastAsia"/>
          <w:sz w:val="24"/>
          <w:lang w:eastAsia="zh-CN"/>
        </w:rPr>
        <w:t>法定代表人或授权代表（签字</w:t>
      </w:r>
      <w:r w:rsidRPr="002C2B23">
        <w:rPr>
          <w:rFonts w:hint="eastAsia"/>
          <w:sz w:val="24"/>
          <w:lang w:eastAsia="zh-CN"/>
        </w:rPr>
        <w:t>/</w:t>
      </w:r>
      <w:r w:rsidRPr="002C2B23">
        <w:rPr>
          <w:rFonts w:hint="eastAsia"/>
          <w:sz w:val="24"/>
          <w:lang w:eastAsia="zh-CN"/>
        </w:rPr>
        <w:t>签章）：</w:t>
      </w:r>
      <w:r w:rsidRPr="002C2B23">
        <w:rPr>
          <w:rFonts w:hint="eastAsia"/>
          <w:sz w:val="24"/>
          <w:lang w:eastAsia="zh-CN"/>
        </w:rPr>
        <w:t xml:space="preserve">           </w:t>
      </w:r>
    </w:p>
    <w:p w14:paraId="453995E2" w14:textId="77777777" w:rsidR="005039DD" w:rsidRPr="002C2B23" w:rsidRDefault="005039DD">
      <w:pPr>
        <w:spacing w:line="360" w:lineRule="auto"/>
        <w:rPr>
          <w:sz w:val="24"/>
          <w:lang w:eastAsia="zh-CN"/>
        </w:rPr>
      </w:pPr>
    </w:p>
    <w:p w14:paraId="4D37D3C5" w14:textId="77777777" w:rsidR="005039DD" w:rsidRPr="002C2B23" w:rsidRDefault="005039DD">
      <w:pPr>
        <w:spacing w:line="360" w:lineRule="auto"/>
        <w:rPr>
          <w:sz w:val="24"/>
          <w:lang w:eastAsia="zh-CN"/>
        </w:rPr>
      </w:pPr>
    </w:p>
    <w:p w14:paraId="71C41025" w14:textId="77777777" w:rsidR="005039DD" w:rsidRPr="002C2B23" w:rsidRDefault="005039DD">
      <w:pPr>
        <w:spacing w:line="360" w:lineRule="auto"/>
        <w:rPr>
          <w:sz w:val="24"/>
          <w:lang w:eastAsia="zh-CN"/>
        </w:rPr>
      </w:pPr>
    </w:p>
    <w:p w14:paraId="09AC44A5" w14:textId="77777777" w:rsidR="005039DD" w:rsidRPr="002C2B23" w:rsidRDefault="0040620F">
      <w:pPr>
        <w:spacing w:line="360" w:lineRule="auto"/>
        <w:rPr>
          <w:sz w:val="24"/>
          <w:lang w:eastAsia="zh-CN"/>
        </w:rPr>
      </w:pPr>
      <w:r w:rsidRPr="002C2B23">
        <w:rPr>
          <w:rFonts w:hint="eastAsia"/>
          <w:sz w:val="24"/>
          <w:lang w:eastAsia="zh-CN"/>
        </w:rPr>
        <w:t>签订地点：</w:t>
      </w:r>
      <w:r w:rsidRPr="002C2B23">
        <w:rPr>
          <w:rFonts w:hint="eastAsia"/>
          <w:sz w:val="24"/>
          <w:lang w:eastAsia="zh-CN"/>
        </w:rPr>
        <w:t xml:space="preserve"> </w:t>
      </w:r>
    </w:p>
    <w:p w14:paraId="30D22251" w14:textId="77777777" w:rsidR="005039DD" w:rsidRDefault="0040620F">
      <w:pPr>
        <w:rPr>
          <w:lang w:eastAsia="zh-CN"/>
        </w:rPr>
      </w:pPr>
      <w:r w:rsidRPr="002C2B23">
        <w:rPr>
          <w:rFonts w:hint="eastAsia"/>
          <w:sz w:val="24"/>
          <w:lang w:eastAsia="zh-CN"/>
        </w:rPr>
        <w:t>签订日期：</w:t>
      </w:r>
      <w:r w:rsidRPr="002C2B23">
        <w:rPr>
          <w:sz w:val="24"/>
          <w:lang w:eastAsia="zh-CN"/>
        </w:rPr>
        <w:t xml:space="preserve">    </w:t>
      </w:r>
      <w:r w:rsidRPr="002C2B23">
        <w:rPr>
          <w:rFonts w:hint="eastAsia"/>
          <w:sz w:val="24"/>
          <w:lang w:eastAsia="zh-CN"/>
        </w:rPr>
        <w:t>年</w:t>
      </w:r>
      <w:r w:rsidRPr="002C2B23">
        <w:rPr>
          <w:rFonts w:hint="eastAsia"/>
          <w:sz w:val="24"/>
          <w:lang w:eastAsia="zh-CN"/>
        </w:rPr>
        <w:t xml:space="preserve">   </w:t>
      </w:r>
      <w:r w:rsidRPr="002C2B23">
        <w:rPr>
          <w:rFonts w:hint="eastAsia"/>
          <w:sz w:val="24"/>
          <w:lang w:eastAsia="zh-CN"/>
        </w:rPr>
        <w:t>月</w:t>
      </w:r>
      <w:r w:rsidRPr="002C2B23">
        <w:rPr>
          <w:rFonts w:hint="eastAsia"/>
          <w:sz w:val="24"/>
          <w:lang w:eastAsia="zh-CN"/>
        </w:rPr>
        <w:t xml:space="preserve">   </w:t>
      </w:r>
      <w:r w:rsidRPr="002C2B23">
        <w:rPr>
          <w:rFonts w:hint="eastAsia"/>
          <w:sz w:val="24"/>
          <w:lang w:eastAsia="zh-CN"/>
        </w:rPr>
        <w:t>日</w:t>
      </w:r>
    </w:p>
    <w:p w14:paraId="087B55FF" w14:textId="77777777" w:rsidR="005039DD" w:rsidRDefault="005039DD">
      <w:pPr>
        <w:spacing w:line="360" w:lineRule="auto"/>
        <w:ind w:firstLine="480"/>
        <w:rPr>
          <w:lang w:eastAsia="zh-CN"/>
        </w:rPr>
      </w:pPr>
    </w:p>
    <w:sectPr w:rsidR="005039DD">
      <w:headerReference w:type="default" r:id="rId35"/>
      <w:footerReference w:type="default" r:id="rId3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72BE89" w14:textId="77777777" w:rsidR="00507226" w:rsidRDefault="00507226">
      <w:r>
        <w:separator/>
      </w:r>
    </w:p>
  </w:endnote>
  <w:endnote w:type="continuationSeparator" w:id="0">
    <w:p w14:paraId="0E724F95" w14:textId="77777777" w:rsidR="00507226" w:rsidRDefault="005072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6918755"/>
    </w:sdtPr>
    <w:sdtEndPr/>
    <w:sdtContent>
      <w:p w14:paraId="258E4D35" w14:textId="3ABABD36" w:rsidR="000E017A" w:rsidRDefault="000E017A">
        <w:pPr>
          <w:pStyle w:val="af0"/>
          <w:jc w:val="center"/>
        </w:pPr>
        <w:r>
          <w:fldChar w:fldCharType="begin"/>
        </w:r>
        <w:r>
          <w:instrText>PAGE   \* MERGEFORMAT</w:instrText>
        </w:r>
        <w:r>
          <w:fldChar w:fldCharType="separate"/>
        </w:r>
        <w:r w:rsidR="00CA5A3A" w:rsidRPr="00CA5A3A">
          <w:rPr>
            <w:noProof/>
            <w:lang w:val="zh-CN" w:eastAsia="zh-CN"/>
          </w:rPr>
          <w:t>11</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E7F72" w14:textId="77777777" w:rsidR="000E017A" w:rsidRDefault="000E017A">
    <w:pPr>
      <w:pStyle w:val="23"/>
    </w:pPr>
  </w:p>
  <w:p w14:paraId="109BE573" w14:textId="77777777" w:rsidR="000E017A" w:rsidRDefault="000E017A">
    <w:pPr>
      <w:pStyle w:val="23"/>
    </w:pPr>
  </w:p>
  <w:p w14:paraId="47BE269F" w14:textId="77777777" w:rsidR="000E017A" w:rsidRDefault="000E017A">
    <w:pPr>
      <w:pStyle w:val="2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5B44F" w14:textId="7600B81B" w:rsidR="000E017A" w:rsidRDefault="000E017A">
    <w:pPr>
      <w:pStyle w:val="23"/>
      <w:jc w:val="center"/>
    </w:pPr>
    <w:r>
      <w:fldChar w:fldCharType="begin"/>
    </w:r>
    <w:r>
      <w:instrText>PAGE   \* MERGEFORMAT</w:instrText>
    </w:r>
    <w:r>
      <w:fldChar w:fldCharType="separate"/>
    </w:r>
    <w:r w:rsidR="00CA5A3A" w:rsidRPr="00CA5A3A">
      <w:rPr>
        <w:noProof/>
        <w:lang w:val="zh-CN"/>
      </w:rPr>
      <w:t>13</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FA39B" w14:textId="17C067BF" w:rsidR="000E017A" w:rsidRDefault="000E017A">
    <w:pPr>
      <w:pStyle w:val="23"/>
      <w:jc w:val="center"/>
    </w:pPr>
    <w:r>
      <w:fldChar w:fldCharType="begin"/>
    </w:r>
    <w:r>
      <w:instrText>PAGE   \* MERGEFORMAT</w:instrText>
    </w:r>
    <w:r>
      <w:fldChar w:fldCharType="separate"/>
    </w:r>
    <w:r w:rsidR="00CA5A3A" w:rsidRPr="00CA5A3A">
      <w:rPr>
        <w:noProof/>
        <w:lang w:val="zh-CN"/>
      </w:rPr>
      <w:t>15</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9A7D3" w14:textId="5F55FEFF" w:rsidR="000E017A" w:rsidRDefault="000E017A">
    <w:pPr>
      <w:pStyle w:val="23"/>
      <w:jc w:val="center"/>
    </w:pPr>
    <w:r>
      <w:fldChar w:fldCharType="begin"/>
    </w:r>
    <w:r>
      <w:instrText>PAGE   \* MERGEFORMAT</w:instrText>
    </w:r>
    <w:r>
      <w:fldChar w:fldCharType="separate"/>
    </w:r>
    <w:r w:rsidR="00CA5A3A" w:rsidRPr="00CA5A3A">
      <w:rPr>
        <w:noProof/>
        <w:lang w:val="zh-CN"/>
      </w:rPr>
      <w:t>17</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E2E24" w14:textId="1E602007" w:rsidR="000E017A" w:rsidRDefault="000E017A">
    <w:pPr>
      <w:pStyle w:val="23"/>
      <w:jc w:val="center"/>
    </w:pPr>
    <w:r>
      <w:fldChar w:fldCharType="begin"/>
    </w:r>
    <w:r>
      <w:instrText>PAGE   \* MERGEFORMAT</w:instrText>
    </w:r>
    <w:r>
      <w:fldChar w:fldCharType="separate"/>
    </w:r>
    <w:r w:rsidR="00CA5A3A" w:rsidRPr="00CA5A3A">
      <w:rPr>
        <w:noProof/>
        <w:lang w:val="zh-CN"/>
      </w:rPr>
      <w:t>27</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69183" w14:textId="7513C911" w:rsidR="000E017A" w:rsidRDefault="000E017A">
    <w:pPr>
      <w:pStyle w:val="23"/>
      <w:jc w:val="center"/>
    </w:pPr>
    <w:r>
      <w:fldChar w:fldCharType="begin"/>
    </w:r>
    <w:r>
      <w:instrText>PAGE   \* MERGEFORMAT</w:instrText>
    </w:r>
    <w:r>
      <w:fldChar w:fldCharType="separate"/>
    </w:r>
    <w:r w:rsidR="00CA5A3A" w:rsidRPr="00CA5A3A">
      <w:rPr>
        <w:noProof/>
        <w:lang w:val="zh-CN"/>
      </w:rPr>
      <w:t>35</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506E2" w14:textId="29C85E52" w:rsidR="000E017A" w:rsidRDefault="000E017A">
    <w:pPr>
      <w:pStyle w:val="23"/>
      <w:jc w:val="center"/>
    </w:pPr>
    <w:r>
      <w:fldChar w:fldCharType="begin"/>
    </w:r>
    <w:r>
      <w:instrText>PAGE   \* MERGEFORMAT</w:instrText>
    </w:r>
    <w:r>
      <w:fldChar w:fldCharType="separate"/>
    </w:r>
    <w:r w:rsidR="00CA5A3A" w:rsidRPr="00CA5A3A">
      <w:rPr>
        <w:noProof/>
        <w:lang w:val="zh-CN"/>
      </w:rPr>
      <w:t>38</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7ADEF" w14:textId="1C0AD1AF" w:rsidR="000E017A" w:rsidRDefault="000E017A">
    <w:pPr>
      <w:pStyle w:val="23"/>
      <w:jc w:val="center"/>
    </w:pPr>
    <w:r>
      <w:fldChar w:fldCharType="begin"/>
    </w:r>
    <w:r>
      <w:instrText>PAGE   \* MERGEFORMAT</w:instrText>
    </w:r>
    <w:r>
      <w:fldChar w:fldCharType="separate"/>
    </w:r>
    <w:r w:rsidR="00CA5A3A" w:rsidRPr="00CA5A3A">
      <w:rPr>
        <w:noProof/>
        <w:lang w:val="zh-CN"/>
      </w:rPr>
      <w:t>47</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19A5F" w14:textId="7EB2F70A" w:rsidR="000E017A" w:rsidRDefault="000E017A">
    <w:pPr>
      <w:pStyle w:val="23"/>
      <w:jc w:val="center"/>
    </w:pPr>
    <w:r>
      <w:fldChar w:fldCharType="begin"/>
    </w:r>
    <w:r>
      <w:instrText>PAGE   \* MERGEFORMAT</w:instrText>
    </w:r>
    <w:r>
      <w:fldChar w:fldCharType="separate"/>
    </w:r>
    <w:r w:rsidR="00CA5A3A" w:rsidRPr="00CA5A3A">
      <w:rPr>
        <w:noProof/>
        <w:lang w:val="zh-CN"/>
      </w:rPr>
      <w:t>51</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868D3" w14:textId="29FBA117" w:rsidR="000E017A" w:rsidRDefault="000E017A">
    <w:pPr>
      <w:pStyle w:val="23"/>
      <w:jc w:val="center"/>
    </w:pPr>
    <w:r>
      <w:fldChar w:fldCharType="begin"/>
    </w:r>
    <w:r>
      <w:instrText>PAGE   \* MERGEFORMAT</w:instrText>
    </w:r>
    <w:r>
      <w:fldChar w:fldCharType="separate"/>
    </w:r>
    <w:r w:rsidR="00CA5A3A" w:rsidRPr="00CA5A3A">
      <w:rPr>
        <w:noProof/>
        <w:lang w:val="zh-CN"/>
      </w:rPr>
      <w:t>63</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384D6" w14:textId="370C90F5" w:rsidR="000E017A" w:rsidRDefault="000E017A">
    <w:pPr>
      <w:pStyle w:val="23"/>
      <w:jc w:val="center"/>
    </w:pPr>
    <w:r>
      <w:fldChar w:fldCharType="begin"/>
    </w:r>
    <w:r>
      <w:instrText>PAGE   \* MERGEFORMAT</w:instrText>
    </w:r>
    <w:r>
      <w:fldChar w:fldCharType="separate"/>
    </w:r>
    <w:r w:rsidR="00CA5A3A" w:rsidRPr="00CA5A3A">
      <w:rPr>
        <w:noProof/>
        <w:lang w:val="zh-CN"/>
      </w:rPr>
      <w:t>64</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A41F4" w14:textId="3345F05B" w:rsidR="000E017A" w:rsidRDefault="000E017A">
    <w:pPr>
      <w:pStyle w:val="23"/>
      <w:jc w:val="center"/>
    </w:pPr>
    <w:r>
      <w:fldChar w:fldCharType="begin"/>
    </w:r>
    <w:r>
      <w:instrText>PAGE   \* MERGEFORMAT</w:instrText>
    </w:r>
    <w:r>
      <w:fldChar w:fldCharType="separate"/>
    </w:r>
    <w:r w:rsidR="00CA5A3A" w:rsidRPr="00CA5A3A">
      <w:rPr>
        <w:noProof/>
        <w:lang w:val="zh-CN"/>
      </w:rPr>
      <w:t>72</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D8202" w14:textId="3F92A964" w:rsidR="000E017A" w:rsidRDefault="000E017A">
    <w:pPr>
      <w:pStyle w:val="23"/>
      <w:jc w:val="center"/>
    </w:pPr>
    <w:r>
      <w:fldChar w:fldCharType="begin"/>
    </w:r>
    <w:r>
      <w:instrText>PAGE   \* MERGEFORMAT</w:instrText>
    </w:r>
    <w:r>
      <w:fldChar w:fldCharType="separate"/>
    </w:r>
    <w:r w:rsidR="00CA5A3A" w:rsidRPr="00CA5A3A">
      <w:rPr>
        <w:noProof/>
        <w:lang w:val="zh-CN"/>
      </w:rPr>
      <w:t>78</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4912D" w14:textId="5C530423" w:rsidR="000E017A" w:rsidRDefault="000E017A">
    <w:pPr>
      <w:pStyle w:val="23"/>
      <w:jc w:val="center"/>
    </w:pPr>
    <w:r>
      <w:fldChar w:fldCharType="begin"/>
    </w:r>
    <w:r>
      <w:instrText>PAGE   \* MERGEFORMAT</w:instrText>
    </w:r>
    <w:r>
      <w:fldChar w:fldCharType="separate"/>
    </w:r>
    <w:r w:rsidR="00CA5A3A" w:rsidRPr="00CA5A3A">
      <w:rPr>
        <w:noProof/>
        <w:lang w:val="zh-CN"/>
      </w:rPr>
      <w:t>79</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C41BF" w14:textId="470E8ACF" w:rsidR="000E017A" w:rsidRDefault="000E017A">
    <w:pPr>
      <w:pStyle w:val="23"/>
      <w:jc w:val="center"/>
    </w:pPr>
    <w:r>
      <w:fldChar w:fldCharType="begin"/>
    </w:r>
    <w:r>
      <w:instrText>PAGE   \* MERGEFORMAT</w:instrText>
    </w:r>
    <w:r>
      <w:fldChar w:fldCharType="separate"/>
    </w:r>
    <w:r w:rsidR="00CA5A3A" w:rsidRPr="00CA5A3A">
      <w:rPr>
        <w:noProof/>
        <w:lang w:val="zh-CN"/>
      </w:rPr>
      <w:t>87</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75719" w14:textId="795EEE8F" w:rsidR="000E017A" w:rsidRDefault="000E017A">
    <w:pPr>
      <w:pStyle w:val="23"/>
      <w:jc w:val="center"/>
    </w:pPr>
    <w:r>
      <w:fldChar w:fldCharType="begin"/>
    </w:r>
    <w:r>
      <w:instrText>PAGE   \* MERGEFORMAT</w:instrText>
    </w:r>
    <w:r>
      <w:fldChar w:fldCharType="separate"/>
    </w:r>
    <w:r w:rsidR="00CA5A3A" w:rsidRPr="00CA5A3A">
      <w:rPr>
        <w:noProof/>
        <w:lang w:val="zh-CN"/>
      </w:rPr>
      <w:t>88</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2500F" w14:textId="55D95224" w:rsidR="000E017A" w:rsidRDefault="000E017A">
    <w:pPr>
      <w:pStyle w:val="23"/>
      <w:jc w:val="center"/>
    </w:pPr>
    <w:r>
      <w:fldChar w:fldCharType="begin"/>
    </w:r>
    <w:r>
      <w:instrText>PAGE   \* MERGEFORMAT</w:instrText>
    </w:r>
    <w:r>
      <w:fldChar w:fldCharType="separate"/>
    </w:r>
    <w:r w:rsidR="00CA5A3A" w:rsidRPr="00CA5A3A">
      <w:rPr>
        <w:noProof/>
        <w:lang w:val="zh-CN"/>
      </w:rPr>
      <w:t>91</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2FAA2" w14:textId="2FD65286" w:rsidR="000E017A" w:rsidRDefault="000E017A">
    <w:pPr>
      <w:pStyle w:val="23"/>
      <w:jc w:val="center"/>
    </w:pPr>
    <w:r>
      <w:fldChar w:fldCharType="begin"/>
    </w:r>
    <w:r>
      <w:instrText>PAGE   \* MERGEFORMAT</w:instrText>
    </w:r>
    <w:r>
      <w:fldChar w:fldCharType="separate"/>
    </w:r>
    <w:r w:rsidR="00CA5A3A" w:rsidRPr="00CA5A3A">
      <w:rPr>
        <w:noProof/>
        <w:lang w:val="zh-CN"/>
      </w:rPr>
      <w:t>92</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3EB16" w14:textId="4F24F00B" w:rsidR="000E017A" w:rsidRDefault="000E017A">
    <w:pPr>
      <w:pStyle w:val="23"/>
      <w:jc w:val="center"/>
    </w:pPr>
    <w:r>
      <w:fldChar w:fldCharType="begin"/>
    </w:r>
    <w:r>
      <w:instrText>PAGE   \* MERGEFORMAT</w:instrText>
    </w:r>
    <w:r>
      <w:fldChar w:fldCharType="separate"/>
    </w:r>
    <w:r w:rsidR="00CA5A3A" w:rsidRPr="00CA5A3A">
      <w:rPr>
        <w:noProof/>
        <w:lang w:val="zh-CN"/>
      </w:rPr>
      <w:t>93</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0E947" w14:textId="3C97B5C3" w:rsidR="000E017A" w:rsidRDefault="000E017A">
    <w:pPr>
      <w:pStyle w:val="23"/>
      <w:jc w:val="center"/>
    </w:pPr>
    <w:r>
      <w:fldChar w:fldCharType="begin"/>
    </w:r>
    <w:r>
      <w:instrText>PAGE   \* MERGEFORMAT</w:instrText>
    </w:r>
    <w:r>
      <w:fldChar w:fldCharType="separate"/>
    </w:r>
    <w:r w:rsidR="00CA5A3A" w:rsidRPr="00CA5A3A">
      <w:rPr>
        <w:noProof/>
        <w:lang w:val="zh-CN"/>
      </w:rPr>
      <w:t>94</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7999434"/>
    </w:sdtPr>
    <w:sdtEndPr/>
    <w:sdtContent>
      <w:p w14:paraId="253E6141" w14:textId="60EA86C0" w:rsidR="000E017A" w:rsidRDefault="000E017A">
        <w:pPr>
          <w:pStyle w:val="af0"/>
          <w:jc w:val="center"/>
        </w:pPr>
        <w:r>
          <w:fldChar w:fldCharType="begin"/>
        </w:r>
        <w:r>
          <w:instrText>PAGE   \* MERGEFORMAT</w:instrText>
        </w:r>
        <w:r>
          <w:fldChar w:fldCharType="separate"/>
        </w:r>
        <w:r w:rsidR="00CA5A3A" w:rsidRPr="00CA5A3A">
          <w:rPr>
            <w:noProof/>
            <w:lang w:val="zh-CN" w:eastAsia="zh-CN"/>
          </w:rPr>
          <w:t>122</w:t>
        </w:r>
        <w:r>
          <w:fldChar w:fldCharType="end"/>
        </w:r>
      </w:p>
    </w:sdtContent>
  </w:sdt>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49BF1" w14:textId="77777777" w:rsidR="000E017A" w:rsidRDefault="000E017A">
    <w:pPr>
      <w:pStyle w:val="af0"/>
      <w:jc w:val="center"/>
      <w:rPr>
        <w:rFonts w:asciiTheme="minorEastAsia" w:hAnsiTheme="minorEastAsia"/>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A47600" w14:textId="77777777" w:rsidR="00507226" w:rsidRDefault="00507226">
      <w:r>
        <w:separator/>
      </w:r>
    </w:p>
  </w:footnote>
  <w:footnote w:type="continuationSeparator" w:id="0">
    <w:p w14:paraId="1D290159" w14:textId="77777777" w:rsidR="00507226" w:rsidRDefault="005072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C059D" w14:textId="77777777" w:rsidR="000E017A" w:rsidRDefault="000E017A">
    <w:pPr>
      <w:pStyle w:val="22"/>
      <w:pBdr>
        <w:bottom w:val="single" w:sz="24" w:space="10" w:color="000000"/>
      </w:pBdr>
      <w:tabs>
        <w:tab w:val="right" w:pos="8280"/>
      </w:tabs>
      <w:jc w:val="both"/>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91FEA" w14:textId="48F2C2EF" w:rsidR="000E017A" w:rsidRDefault="000E017A">
    <w:pPr>
      <w:pStyle w:val="af2"/>
      <w:pBdr>
        <w:bottom w:val="single" w:sz="24" w:space="10" w:color="000000"/>
      </w:pBdr>
      <w:tabs>
        <w:tab w:val="right" w:pos="8280"/>
      </w:tabs>
      <w:jc w:val="both"/>
      <w:rPr>
        <w:lang w:eastAsia="zh-CN"/>
      </w:rPr>
    </w:pPr>
    <w:r>
      <w:rPr>
        <w:color w:val="000000"/>
        <w:lang w:eastAsia="zh-CN"/>
      </w:rPr>
      <w:t>红土创新</w:t>
    </w:r>
    <w:r>
      <w:rPr>
        <w:rFonts w:hint="eastAsia"/>
        <w:color w:val="000000"/>
        <w:lang w:eastAsia="zh-CN"/>
      </w:rPr>
      <w:t>领航智选</w:t>
    </w:r>
    <w:r>
      <w:rPr>
        <w:color w:val="000000"/>
        <w:lang w:eastAsia="zh-CN"/>
      </w:rPr>
      <w:t>混合型</w:t>
    </w:r>
    <w:r>
      <w:rPr>
        <w:lang w:eastAsia="zh-CN"/>
      </w:rPr>
      <w:t>证券投资基金</w:t>
    </w:r>
    <w:r>
      <w:rPr>
        <w:lang w:eastAsia="zh-CN"/>
      </w:rPr>
      <w:t xml:space="preserve">                                                                                                       </w:t>
    </w:r>
    <w:r>
      <w:rPr>
        <w:lang w:eastAsia="zh-CN"/>
      </w:rPr>
      <w:t>基金合同</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B5C571" w14:textId="04B52293" w:rsidR="000E017A" w:rsidRDefault="000E017A">
    <w:pPr>
      <w:pStyle w:val="af2"/>
      <w:pBdr>
        <w:bottom w:val="single" w:sz="24" w:space="10" w:color="000000"/>
      </w:pBdr>
      <w:tabs>
        <w:tab w:val="right" w:pos="8280"/>
      </w:tabs>
      <w:jc w:val="both"/>
      <w:rPr>
        <w:lang w:eastAsia="zh-CN"/>
      </w:rPr>
    </w:pPr>
    <w:r>
      <w:rPr>
        <w:color w:val="000000"/>
        <w:lang w:eastAsia="zh-CN"/>
      </w:rPr>
      <w:t>红土创新</w:t>
    </w:r>
    <w:r>
      <w:rPr>
        <w:rFonts w:hint="eastAsia"/>
        <w:color w:val="000000"/>
        <w:lang w:eastAsia="zh-CN"/>
      </w:rPr>
      <w:t>领航智选</w:t>
    </w:r>
    <w:r>
      <w:rPr>
        <w:color w:val="000000"/>
        <w:lang w:eastAsia="zh-CN"/>
      </w:rPr>
      <w:t>混合型</w:t>
    </w:r>
    <w:r>
      <w:rPr>
        <w:lang w:eastAsia="zh-CN"/>
      </w:rPr>
      <w:t>证券投资基金</w:t>
    </w:r>
    <w:r>
      <w:rPr>
        <w:lang w:eastAsia="zh-CN"/>
      </w:rPr>
      <w:t xml:space="preserve">                                                                                                       </w:t>
    </w:r>
    <w:r>
      <w:rPr>
        <w:lang w:eastAsia="zh-CN"/>
      </w:rPr>
      <w:t>基金合同</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B331B" w14:textId="79F35F08" w:rsidR="000E017A" w:rsidRDefault="000E017A">
    <w:pPr>
      <w:pStyle w:val="af2"/>
      <w:pBdr>
        <w:bottom w:val="thickThinLargeGap" w:sz="24" w:space="10" w:color="auto"/>
      </w:pBdr>
      <w:tabs>
        <w:tab w:val="right" w:pos="8280"/>
      </w:tabs>
      <w:wordWrap w:val="0"/>
      <w:adjustRightInd w:val="0"/>
      <w:jc w:val="both"/>
      <w:rPr>
        <w:lang w:eastAsia="zh-CN"/>
      </w:rPr>
    </w:pPr>
    <w:r>
      <w:rPr>
        <w:rFonts w:hint="eastAsia"/>
        <w:color w:val="000000"/>
        <w:lang w:eastAsia="zh-CN"/>
      </w:rPr>
      <w:t>红土创新领航智选混合型</w:t>
    </w:r>
    <w:r>
      <w:rPr>
        <w:rFonts w:hint="eastAsia"/>
        <w:lang w:eastAsia="zh-CN"/>
      </w:rPr>
      <w:t>证券投资基金</w:t>
    </w:r>
    <w:r>
      <w:rPr>
        <w:rFonts w:hint="eastAsia"/>
        <w:lang w:eastAsia="zh-CN"/>
      </w:rPr>
      <w:t xml:space="preserve">        </w:t>
    </w:r>
    <w:r>
      <w:rPr>
        <w:lang w:eastAsia="zh-CN"/>
      </w:rPr>
      <w:t xml:space="preserve">                                             </w:t>
    </w:r>
    <w:r>
      <w:rPr>
        <w:rFonts w:hint="eastAsia"/>
        <w:lang w:eastAsia="zh-CN"/>
      </w:rPr>
      <w:t xml:space="preserve">      </w:t>
    </w:r>
    <w:r>
      <w:rPr>
        <w:lang w:eastAsia="zh-CN"/>
      </w:rPr>
      <w:t xml:space="preserve">                                     </w:t>
    </w:r>
    <w:r w:rsidR="00CA5A3A">
      <w:rPr>
        <w:rFonts w:hint="eastAsia"/>
        <w:lang w:eastAsia="zh-CN"/>
      </w:rPr>
      <w:t>基金合同</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83D20" w14:textId="2CC0D1EE" w:rsidR="000E017A" w:rsidRDefault="000E017A">
    <w:pPr>
      <w:pStyle w:val="af2"/>
      <w:pBdr>
        <w:bottom w:val="thickThinLargeGap" w:sz="24" w:space="10" w:color="auto"/>
      </w:pBdr>
      <w:tabs>
        <w:tab w:val="right" w:pos="8280"/>
      </w:tabs>
      <w:wordWrap w:val="0"/>
      <w:adjustRightInd w:val="0"/>
      <w:jc w:val="both"/>
      <w:rPr>
        <w:lang w:eastAsia="zh-CN"/>
      </w:rPr>
    </w:pPr>
    <w:r>
      <w:rPr>
        <w:rFonts w:hint="eastAsia"/>
        <w:color w:val="000000"/>
        <w:lang w:eastAsia="zh-CN"/>
      </w:rPr>
      <w:t>红土创新领航智选混合型</w:t>
    </w:r>
    <w:r>
      <w:rPr>
        <w:rFonts w:hint="eastAsia"/>
        <w:lang w:eastAsia="zh-CN"/>
      </w:rPr>
      <w:t>证券投资基金</w:t>
    </w:r>
    <w:r>
      <w:rPr>
        <w:rFonts w:hint="eastAsia"/>
        <w:lang w:eastAsia="zh-CN"/>
      </w:rPr>
      <w:t xml:space="preserve">        </w:t>
    </w:r>
    <w:r>
      <w:rPr>
        <w:lang w:eastAsia="zh-CN"/>
      </w:rPr>
      <w:t xml:space="preserve">                </w:t>
    </w:r>
    <w:r>
      <w:rPr>
        <w:rFonts w:hint="eastAsia"/>
        <w:lang w:eastAsia="zh-CN"/>
      </w:rPr>
      <w:t xml:space="preserve">   </w:t>
    </w:r>
    <w:r>
      <w:rPr>
        <w:lang w:eastAsia="zh-CN"/>
      </w:rPr>
      <w:t xml:space="preserve">                                                   </w:t>
    </w:r>
    <w:r>
      <w:rPr>
        <w:rFonts w:hint="eastAsia"/>
        <w:lang w:eastAsia="zh-CN"/>
      </w:rPr>
      <w:t xml:space="preserve">    </w:t>
    </w:r>
    <w:r>
      <w:rPr>
        <w:lang w:eastAsia="zh-CN"/>
      </w:rPr>
      <w:t xml:space="preserve">           </w:t>
    </w:r>
    <w:r w:rsidR="00CA5A3A">
      <w:rPr>
        <w:rFonts w:hint="eastAsia"/>
        <w:lang w:eastAsia="zh-CN"/>
      </w:rPr>
      <w:t>基金合同</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F5D81"/>
    <w:multiLevelType w:val="multilevel"/>
    <w:tmpl w:val="063F5D81"/>
    <w:lvl w:ilvl="0">
      <w:start w:val="1"/>
      <w:numFmt w:val="japaneseCounting"/>
      <w:lvlText w:val="%1、"/>
      <w:lvlJc w:val="left"/>
      <w:pPr>
        <w:ind w:left="960" w:hanging="4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 w15:restartNumberingAfterBreak="0">
    <w:nsid w:val="07B43305"/>
    <w:multiLevelType w:val="multilevel"/>
    <w:tmpl w:val="07B43305"/>
    <w:lvl w:ilvl="0">
      <w:start w:val="1"/>
      <w:numFmt w:val="bullet"/>
      <w:pStyle w:val="Listbullet"/>
      <w:lvlText w:val=""/>
      <w:lvlJc w:val="left"/>
      <w:pPr>
        <w:tabs>
          <w:tab w:val="left" w:pos="360"/>
        </w:tabs>
        <w:ind w:left="360" w:hanging="360"/>
      </w:pPr>
      <w:rPr>
        <w:rFonts w:ascii="Symbol" w:hAnsi="Symbol"/>
        <w:color w:val="000000"/>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77AE1DDD"/>
    <w:multiLevelType w:val="multilevel"/>
    <w:tmpl w:val="77AE1DDD"/>
    <w:lvl w:ilvl="0">
      <w:start w:val="1"/>
      <w:numFmt w:val="decimal"/>
      <w:suff w:val="nothing"/>
      <w:lvlText w:val="%1、"/>
      <w:lvlJc w:val="left"/>
      <w:pPr>
        <w:ind w:left="420" w:hanging="420"/>
      </w:pPr>
      <w:rPr>
        <w:rFonts w:ascii="宋体" w:eastAsia="宋体" w:hAnsi="宋体" w:hint="eastAsia"/>
        <w:sz w:val="24"/>
        <w:szCs w:val="24"/>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defaultTabStop w:val="420"/>
  <w:noPunctuationKerning/>
  <w:characterSpacingControl w:val="doNotCompress"/>
  <w:savePreviewPicture/>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221"/>
    <w:rsid w:val="F7ED4DE5"/>
    <w:rsid w:val="0000385F"/>
    <w:rsid w:val="00012A80"/>
    <w:rsid w:val="0001344C"/>
    <w:rsid w:val="00032988"/>
    <w:rsid w:val="000331FA"/>
    <w:rsid w:val="00036F3A"/>
    <w:rsid w:val="000468B3"/>
    <w:rsid w:val="000525CC"/>
    <w:rsid w:val="000534E8"/>
    <w:rsid w:val="00056DD7"/>
    <w:rsid w:val="00065FD6"/>
    <w:rsid w:val="00073737"/>
    <w:rsid w:val="0009088C"/>
    <w:rsid w:val="000969C7"/>
    <w:rsid w:val="0009723F"/>
    <w:rsid w:val="000B01FD"/>
    <w:rsid w:val="000B7C1F"/>
    <w:rsid w:val="000C3F85"/>
    <w:rsid w:val="000C5F46"/>
    <w:rsid w:val="000D51BC"/>
    <w:rsid w:val="000D6BA0"/>
    <w:rsid w:val="000E017A"/>
    <w:rsid w:val="000F0534"/>
    <w:rsid w:val="000F5E8B"/>
    <w:rsid w:val="001103D1"/>
    <w:rsid w:val="00117352"/>
    <w:rsid w:val="0012514D"/>
    <w:rsid w:val="001448CF"/>
    <w:rsid w:val="001509B3"/>
    <w:rsid w:val="00151FE4"/>
    <w:rsid w:val="00154EA1"/>
    <w:rsid w:val="00155E7C"/>
    <w:rsid w:val="001629C9"/>
    <w:rsid w:val="00177FB8"/>
    <w:rsid w:val="0018269A"/>
    <w:rsid w:val="00187B96"/>
    <w:rsid w:val="001A0557"/>
    <w:rsid w:val="001A496E"/>
    <w:rsid w:val="001A718A"/>
    <w:rsid w:val="001B31E9"/>
    <w:rsid w:val="001B3845"/>
    <w:rsid w:val="001B7897"/>
    <w:rsid w:val="001D193F"/>
    <w:rsid w:val="001E07D3"/>
    <w:rsid w:val="001E6838"/>
    <w:rsid w:val="001F0ED1"/>
    <w:rsid w:val="001F1F0B"/>
    <w:rsid w:val="001F4588"/>
    <w:rsid w:val="00211846"/>
    <w:rsid w:val="00212E41"/>
    <w:rsid w:val="00215170"/>
    <w:rsid w:val="00221844"/>
    <w:rsid w:val="00224188"/>
    <w:rsid w:val="00226BBC"/>
    <w:rsid w:val="0023434A"/>
    <w:rsid w:val="00237353"/>
    <w:rsid w:val="002405EC"/>
    <w:rsid w:val="00240D56"/>
    <w:rsid w:val="0024634B"/>
    <w:rsid w:val="00260CA1"/>
    <w:rsid w:val="00266331"/>
    <w:rsid w:val="00284504"/>
    <w:rsid w:val="00286A7C"/>
    <w:rsid w:val="0029513C"/>
    <w:rsid w:val="0029521A"/>
    <w:rsid w:val="00296856"/>
    <w:rsid w:val="002A34C6"/>
    <w:rsid w:val="002B2879"/>
    <w:rsid w:val="002C1406"/>
    <w:rsid w:val="002C2B23"/>
    <w:rsid w:val="002D511A"/>
    <w:rsid w:val="002D56B6"/>
    <w:rsid w:val="002E0970"/>
    <w:rsid w:val="002F28B1"/>
    <w:rsid w:val="002F6D4B"/>
    <w:rsid w:val="00301797"/>
    <w:rsid w:val="003027DE"/>
    <w:rsid w:val="00305B6B"/>
    <w:rsid w:val="0032220F"/>
    <w:rsid w:val="00323AF2"/>
    <w:rsid w:val="003413AC"/>
    <w:rsid w:val="00345984"/>
    <w:rsid w:val="003473AA"/>
    <w:rsid w:val="00350301"/>
    <w:rsid w:val="0035322C"/>
    <w:rsid w:val="00354B26"/>
    <w:rsid w:val="0035711B"/>
    <w:rsid w:val="00361E22"/>
    <w:rsid w:val="00362CCC"/>
    <w:rsid w:val="003634D1"/>
    <w:rsid w:val="00366C51"/>
    <w:rsid w:val="00370323"/>
    <w:rsid w:val="0037426B"/>
    <w:rsid w:val="00376954"/>
    <w:rsid w:val="003809BE"/>
    <w:rsid w:val="003822C7"/>
    <w:rsid w:val="00386C77"/>
    <w:rsid w:val="003903BC"/>
    <w:rsid w:val="003A307D"/>
    <w:rsid w:val="003B083F"/>
    <w:rsid w:val="003B11A8"/>
    <w:rsid w:val="003B13DE"/>
    <w:rsid w:val="003B4239"/>
    <w:rsid w:val="003C0969"/>
    <w:rsid w:val="003C18AE"/>
    <w:rsid w:val="003D08B9"/>
    <w:rsid w:val="003D5EC2"/>
    <w:rsid w:val="003E7803"/>
    <w:rsid w:val="003F016A"/>
    <w:rsid w:val="003F2A90"/>
    <w:rsid w:val="003F61C6"/>
    <w:rsid w:val="0040620F"/>
    <w:rsid w:val="00410275"/>
    <w:rsid w:val="00413847"/>
    <w:rsid w:val="0042298A"/>
    <w:rsid w:val="00424056"/>
    <w:rsid w:val="00436858"/>
    <w:rsid w:val="004379F7"/>
    <w:rsid w:val="004402A7"/>
    <w:rsid w:val="0044509D"/>
    <w:rsid w:val="004461A9"/>
    <w:rsid w:val="00451C18"/>
    <w:rsid w:val="004550DD"/>
    <w:rsid w:val="004569E2"/>
    <w:rsid w:val="004624A5"/>
    <w:rsid w:val="004636B5"/>
    <w:rsid w:val="004645A6"/>
    <w:rsid w:val="00466E16"/>
    <w:rsid w:val="00466F64"/>
    <w:rsid w:val="00491749"/>
    <w:rsid w:val="00493D7A"/>
    <w:rsid w:val="004A0266"/>
    <w:rsid w:val="004B2714"/>
    <w:rsid w:val="004B73C9"/>
    <w:rsid w:val="004C0A6E"/>
    <w:rsid w:val="004C235E"/>
    <w:rsid w:val="004D027F"/>
    <w:rsid w:val="004E59EA"/>
    <w:rsid w:val="005039DD"/>
    <w:rsid w:val="005056F3"/>
    <w:rsid w:val="00507226"/>
    <w:rsid w:val="00515E6A"/>
    <w:rsid w:val="00523AD8"/>
    <w:rsid w:val="00524611"/>
    <w:rsid w:val="00530F05"/>
    <w:rsid w:val="00532D0F"/>
    <w:rsid w:val="00536035"/>
    <w:rsid w:val="005454F9"/>
    <w:rsid w:val="00546F31"/>
    <w:rsid w:val="00555D62"/>
    <w:rsid w:val="00557FCB"/>
    <w:rsid w:val="00564FB9"/>
    <w:rsid w:val="00566C96"/>
    <w:rsid w:val="005743B3"/>
    <w:rsid w:val="005B1ED8"/>
    <w:rsid w:val="005B3D85"/>
    <w:rsid w:val="005C133D"/>
    <w:rsid w:val="005C2B6D"/>
    <w:rsid w:val="005C4468"/>
    <w:rsid w:val="005C7B2D"/>
    <w:rsid w:val="005D3BFC"/>
    <w:rsid w:val="005D43F6"/>
    <w:rsid w:val="00600DA1"/>
    <w:rsid w:val="0060680B"/>
    <w:rsid w:val="0060799D"/>
    <w:rsid w:val="00622F26"/>
    <w:rsid w:val="00623C57"/>
    <w:rsid w:val="0063339E"/>
    <w:rsid w:val="0066026F"/>
    <w:rsid w:val="00665DB2"/>
    <w:rsid w:val="00674CD9"/>
    <w:rsid w:val="00684D53"/>
    <w:rsid w:val="00687991"/>
    <w:rsid w:val="0069170F"/>
    <w:rsid w:val="006947CC"/>
    <w:rsid w:val="006A2F14"/>
    <w:rsid w:val="006A6FC9"/>
    <w:rsid w:val="006A7A9F"/>
    <w:rsid w:val="006B0792"/>
    <w:rsid w:val="006B0E71"/>
    <w:rsid w:val="006B3D2D"/>
    <w:rsid w:val="006D29F3"/>
    <w:rsid w:val="006D4251"/>
    <w:rsid w:val="006D7436"/>
    <w:rsid w:val="00700789"/>
    <w:rsid w:val="007149A7"/>
    <w:rsid w:val="0071705D"/>
    <w:rsid w:val="00722A05"/>
    <w:rsid w:val="0073316B"/>
    <w:rsid w:val="007358AF"/>
    <w:rsid w:val="00744F2B"/>
    <w:rsid w:val="007456B3"/>
    <w:rsid w:val="00747B1A"/>
    <w:rsid w:val="0075005A"/>
    <w:rsid w:val="0075251C"/>
    <w:rsid w:val="00753044"/>
    <w:rsid w:val="0075338B"/>
    <w:rsid w:val="0076037F"/>
    <w:rsid w:val="00762226"/>
    <w:rsid w:val="00762F28"/>
    <w:rsid w:val="00773137"/>
    <w:rsid w:val="00775626"/>
    <w:rsid w:val="0078357B"/>
    <w:rsid w:val="0078376D"/>
    <w:rsid w:val="00787BC6"/>
    <w:rsid w:val="00791910"/>
    <w:rsid w:val="00794062"/>
    <w:rsid w:val="007942F8"/>
    <w:rsid w:val="00794715"/>
    <w:rsid w:val="0079522C"/>
    <w:rsid w:val="007B5D15"/>
    <w:rsid w:val="007C0042"/>
    <w:rsid w:val="007C4030"/>
    <w:rsid w:val="007C7EC9"/>
    <w:rsid w:val="007D3A46"/>
    <w:rsid w:val="007E14F3"/>
    <w:rsid w:val="007E3121"/>
    <w:rsid w:val="008013A7"/>
    <w:rsid w:val="00807A7E"/>
    <w:rsid w:val="00822208"/>
    <w:rsid w:val="00823389"/>
    <w:rsid w:val="00825F2B"/>
    <w:rsid w:val="00831715"/>
    <w:rsid w:val="0083179D"/>
    <w:rsid w:val="00836573"/>
    <w:rsid w:val="00836F8E"/>
    <w:rsid w:val="008529DA"/>
    <w:rsid w:val="00875188"/>
    <w:rsid w:val="00876466"/>
    <w:rsid w:val="00880F59"/>
    <w:rsid w:val="00881CD7"/>
    <w:rsid w:val="008A0E67"/>
    <w:rsid w:val="008A1E06"/>
    <w:rsid w:val="008B3204"/>
    <w:rsid w:val="008B50B5"/>
    <w:rsid w:val="008C22B4"/>
    <w:rsid w:val="008C255A"/>
    <w:rsid w:val="008C7CA2"/>
    <w:rsid w:val="008D5CEE"/>
    <w:rsid w:val="008D619C"/>
    <w:rsid w:val="008D6914"/>
    <w:rsid w:val="008E5E51"/>
    <w:rsid w:val="008F1B89"/>
    <w:rsid w:val="008F22A7"/>
    <w:rsid w:val="008F26AC"/>
    <w:rsid w:val="008F5C25"/>
    <w:rsid w:val="00902EBF"/>
    <w:rsid w:val="0090453D"/>
    <w:rsid w:val="00907671"/>
    <w:rsid w:val="00916369"/>
    <w:rsid w:val="00916400"/>
    <w:rsid w:val="00921188"/>
    <w:rsid w:val="00924C1C"/>
    <w:rsid w:val="00926D4D"/>
    <w:rsid w:val="00934593"/>
    <w:rsid w:val="00946B84"/>
    <w:rsid w:val="009476B2"/>
    <w:rsid w:val="00961CA3"/>
    <w:rsid w:val="0096511A"/>
    <w:rsid w:val="00967922"/>
    <w:rsid w:val="00977493"/>
    <w:rsid w:val="009903AA"/>
    <w:rsid w:val="00992F02"/>
    <w:rsid w:val="009949D2"/>
    <w:rsid w:val="009966A1"/>
    <w:rsid w:val="009A425D"/>
    <w:rsid w:val="009C4F08"/>
    <w:rsid w:val="009D332D"/>
    <w:rsid w:val="009E23B8"/>
    <w:rsid w:val="009E3D5C"/>
    <w:rsid w:val="009E6E50"/>
    <w:rsid w:val="009E7FFC"/>
    <w:rsid w:val="009F2381"/>
    <w:rsid w:val="009F4540"/>
    <w:rsid w:val="00A0550A"/>
    <w:rsid w:val="00A06433"/>
    <w:rsid w:val="00A11041"/>
    <w:rsid w:val="00A12704"/>
    <w:rsid w:val="00A13F24"/>
    <w:rsid w:val="00A26F5E"/>
    <w:rsid w:val="00A34C1D"/>
    <w:rsid w:val="00A3514E"/>
    <w:rsid w:val="00A366F5"/>
    <w:rsid w:val="00A50FFA"/>
    <w:rsid w:val="00A5612A"/>
    <w:rsid w:val="00A60FEA"/>
    <w:rsid w:val="00A75B8E"/>
    <w:rsid w:val="00A77642"/>
    <w:rsid w:val="00A8175D"/>
    <w:rsid w:val="00A81EDE"/>
    <w:rsid w:val="00A85EC7"/>
    <w:rsid w:val="00A95FAA"/>
    <w:rsid w:val="00AB7484"/>
    <w:rsid w:val="00AB7EB9"/>
    <w:rsid w:val="00AC55BC"/>
    <w:rsid w:val="00AC78F6"/>
    <w:rsid w:val="00AD501F"/>
    <w:rsid w:val="00AE404A"/>
    <w:rsid w:val="00AE5F99"/>
    <w:rsid w:val="00AE743E"/>
    <w:rsid w:val="00AF0A3D"/>
    <w:rsid w:val="00AF6821"/>
    <w:rsid w:val="00AF6886"/>
    <w:rsid w:val="00B05290"/>
    <w:rsid w:val="00B12057"/>
    <w:rsid w:val="00B21E10"/>
    <w:rsid w:val="00B2493A"/>
    <w:rsid w:val="00B33D05"/>
    <w:rsid w:val="00B35E61"/>
    <w:rsid w:val="00B37D3F"/>
    <w:rsid w:val="00B519C1"/>
    <w:rsid w:val="00B52103"/>
    <w:rsid w:val="00B53249"/>
    <w:rsid w:val="00B54221"/>
    <w:rsid w:val="00B54A20"/>
    <w:rsid w:val="00B551E2"/>
    <w:rsid w:val="00B572A3"/>
    <w:rsid w:val="00B83109"/>
    <w:rsid w:val="00B85D21"/>
    <w:rsid w:val="00B914A0"/>
    <w:rsid w:val="00B92DB6"/>
    <w:rsid w:val="00B94313"/>
    <w:rsid w:val="00B94E7A"/>
    <w:rsid w:val="00B9791A"/>
    <w:rsid w:val="00BA055F"/>
    <w:rsid w:val="00BA2432"/>
    <w:rsid w:val="00BA2E83"/>
    <w:rsid w:val="00BB10DD"/>
    <w:rsid w:val="00BB1786"/>
    <w:rsid w:val="00BC2DF2"/>
    <w:rsid w:val="00BC391A"/>
    <w:rsid w:val="00BC4D04"/>
    <w:rsid w:val="00BD1A8F"/>
    <w:rsid w:val="00BE0904"/>
    <w:rsid w:val="00BE12E3"/>
    <w:rsid w:val="00BE1FC0"/>
    <w:rsid w:val="00BE2663"/>
    <w:rsid w:val="00BE4313"/>
    <w:rsid w:val="00BE6916"/>
    <w:rsid w:val="00C02C7E"/>
    <w:rsid w:val="00C17298"/>
    <w:rsid w:val="00C21F15"/>
    <w:rsid w:val="00C25C56"/>
    <w:rsid w:val="00C27DDB"/>
    <w:rsid w:val="00C33F2E"/>
    <w:rsid w:val="00C370FD"/>
    <w:rsid w:val="00C55EF5"/>
    <w:rsid w:val="00C72E65"/>
    <w:rsid w:val="00C81F96"/>
    <w:rsid w:val="00C93E53"/>
    <w:rsid w:val="00C96897"/>
    <w:rsid w:val="00CA5A3A"/>
    <w:rsid w:val="00CA7E78"/>
    <w:rsid w:val="00CB1F71"/>
    <w:rsid w:val="00CB251B"/>
    <w:rsid w:val="00CB263D"/>
    <w:rsid w:val="00CB55C2"/>
    <w:rsid w:val="00CB6BEA"/>
    <w:rsid w:val="00CC341B"/>
    <w:rsid w:val="00CC55CE"/>
    <w:rsid w:val="00CC79B6"/>
    <w:rsid w:val="00CD0C8E"/>
    <w:rsid w:val="00CE1D9B"/>
    <w:rsid w:val="00CE37F3"/>
    <w:rsid w:val="00CE6FCF"/>
    <w:rsid w:val="00CE7E61"/>
    <w:rsid w:val="00CF3B48"/>
    <w:rsid w:val="00CF4740"/>
    <w:rsid w:val="00D0362C"/>
    <w:rsid w:val="00D05F41"/>
    <w:rsid w:val="00D07832"/>
    <w:rsid w:val="00D1173E"/>
    <w:rsid w:val="00D1277D"/>
    <w:rsid w:val="00D13B1B"/>
    <w:rsid w:val="00D17833"/>
    <w:rsid w:val="00D26423"/>
    <w:rsid w:val="00D26CDC"/>
    <w:rsid w:val="00D43478"/>
    <w:rsid w:val="00D47966"/>
    <w:rsid w:val="00D60430"/>
    <w:rsid w:val="00D6484A"/>
    <w:rsid w:val="00D71325"/>
    <w:rsid w:val="00D73958"/>
    <w:rsid w:val="00D942E7"/>
    <w:rsid w:val="00D96079"/>
    <w:rsid w:val="00DA54AA"/>
    <w:rsid w:val="00DA58A8"/>
    <w:rsid w:val="00DA6138"/>
    <w:rsid w:val="00DB4A4F"/>
    <w:rsid w:val="00DE257F"/>
    <w:rsid w:val="00DE71FA"/>
    <w:rsid w:val="00DF014B"/>
    <w:rsid w:val="00DF18F2"/>
    <w:rsid w:val="00DF2C6E"/>
    <w:rsid w:val="00E01D53"/>
    <w:rsid w:val="00E020C5"/>
    <w:rsid w:val="00E074B1"/>
    <w:rsid w:val="00E21713"/>
    <w:rsid w:val="00E25699"/>
    <w:rsid w:val="00E27DF0"/>
    <w:rsid w:val="00E3035A"/>
    <w:rsid w:val="00E30B22"/>
    <w:rsid w:val="00E43820"/>
    <w:rsid w:val="00E4521F"/>
    <w:rsid w:val="00E472CA"/>
    <w:rsid w:val="00E51379"/>
    <w:rsid w:val="00E52352"/>
    <w:rsid w:val="00E61EC3"/>
    <w:rsid w:val="00E70D5A"/>
    <w:rsid w:val="00E72BF3"/>
    <w:rsid w:val="00E73110"/>
    <w:rsid w:val="00E816DE"/>
    <w:rsid w:val="00E8699D"/>
    <w:rsid w:val="00E902D3"/>
    <w:rsid w:val="00E91887"/>
    <w:rsid w:val="00E93BF5"/>
    <w:rsid w:val="00E9692B"/>
    <w:rsid w:val="00EA30D0"/>
    <w:rsid w:val="00EB2CB2"/>
    <w:rsid w:val="00EB6AA3"/>
    <w:rsid w:val="00EC5C25"/>
    <w:rsid w:val="00ED0AE1"/>
    <w:rsid w:val="00ED5D9C"/>
    <w:rsid w:val="00EE03C4"/>
    <w:rsid w:val="00EE421E"/>
    <w:rsid w:val="00F02B36"/>
    <w:rsid w:val="00F132C3"/>
    <w:rsid w:val="00F15E7D"/>
    <w:rsid w:val="00F16788"/>
    <w:rsid w:val="00F17F53"/>
    <w:rsid w:val="00F2540C"/>
    <w:rsid w:val="00F25D70"/>
    <w:rsid w:val="00F31080"/>
    <w:rsid w:val="00F411A5"/>
    <w:rsid w:val="00F42430"/>
    <w:rsid w:val="00F51A42"/>
    <w:rsid w:val="00F5575C"/>
    <w:rsid w:val="00F63039"/>
    <w:rsid w:val="00F6560E"/>
    <w:rsid w:val="00F91710"/>
    <w:rsid w:val="00FA1AE6"/>
    <w:rsid w:val="00FB04E2"/>
    <w:rsid w:val="00FB0B14"/>
    <w:rsid w:val="00FB1647"/>
    <w:rsid w:val="00FB3AA0"/>
    <w:rsid w:val="00FD06DE"/>
    <w:rsid w:val="00FD093C"/>
    <w:rsid w:val="00FD4BCF"/>
    <w:rsid w:val="00FF09DD"/>
    <w:rsid w:val="00FF4341"/>
    <w:rsid w:val="03820EFF"/>
    <w:rsid w:val="1A6D0601"/>
    <w:rsid w:val="3C7C1250"/>
    <w:rsid w:val="40DC25E9"/>
    <w:rsid w:val="421264B8"/>
    <w:rsid w:val="42992636"/>
    <w:rsid w:val="575BCBF5"/>
    <w:rsid w:val="601A40A2"/>
    <w:rsid w:val="62376BF6"/>
    <w:rsid w:val="75AE60F9"/>
    <w:rsid w:val="7C684D7C"/>
    <w:rsid w:val="7D7D7111"/>
    <w:rsid w:val="7FBD70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534FE7"/>
  <w15:docId w15:val="{7CA0B274-B62B-44F1-A883-4B6B375FF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unhideWhenUsed="1" w:qFormat="1"/>
    <w:lsdException w:name="toc 3" w:uiPriority="0" w:qFormat="1"/>
    <w:lsdException w:name="toc 4" w:semiHidden="1" w:uiPriority="0"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qFormat="1"/>
    <w:lsdException w:name="footnote text" w:uiPriority="0" w:qFormat="1"/>
    <w:lsdException w:name="annotation text" w:uiPriority="0"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pBdr>
        <w:top w:val="none" w:sz="0" w:space="0" w:color="000000"/>
        <w:left w:val="none" w:sz="0" w:space="0" w:color="000000"/>
        <w:bottom w:val="none" w:sz="0" w:space="0" w:color="000000"/>
        <w:right w:val="none" w:sz="0" w:space="0" w:color="000000"/>
        <w:between w:val="none" w:sz="0" w:space="0" w:color="000000"/>
      </w:pBdr>
    </w:pPr>
    <w:rPr>
      <w:rFonts w:ascii="Calibri" w:hAnsi="Calibri"/>
      <w:szCs w:val="22"/>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next w:val="a"/>
    <w:uiPriority w:val="39"/>
    <w:unhideWhenUsed/>
    <w:qFormat/>
    <w:pPr>
      <w:pBdr>
        <w:top w:val="none" w:sz="0" w:space="0" w:color="000000"/>
        <w:left w:val="none" w:sz="0" w:space="0" w:color="000000"/>
        <w:bottom w:val="none" w:sz="0" w:space="0" w:color="000000"/>
        <w:right w:val="none" w:sz="0" w:space="0" w:color="000000"/>
        <w:between w:val="none" w:sz="0" w:space="0" w:color="000000"/>
      </w:pBdr>
      <w:spacing w:after="57"/>
      <w:ind w:left="1701"/>
    </w:pPr>
    <w:rPr>
      <w:rFonts w:ascii="Calibri" w:hAnsi="Calibri"/>
      <w:szCs w:val="22"/>
      <w:lang w:eastAsia="en-US" w:bidi="en-US"/>
    </w:rPr>
  </w:style>
  <w:style w:type="paragraph" w:styleId="a3">
    <w:name w:val="Normal Indent"/>
    <w:basedOn w:val="a"/>
    <w:qFormat/>
    <w:pPr>
      <w:ind w:firstLine="420"/>
    </w:pPr>
  </w:style>
  <w:style w:type="paragraph" w:styleId="a4">
    <w:name w:val="Document Map"/>
    <w:basedOn w:val="a"/>
    <w:link w:val="a5"/>
    <w:qFormat/>
    <w:pPr>
      <w:shd w:val="clear" w:color="auto" w:fill="000080"/>
    </w:pPr>
  </w:style>
  <w:style w:type="paragraph" w:styleId="a6">
    <w:name w:val="annotation text"/>
    <w:basedOn w:val="a"/>
    <w:link w:val="a7"/>
    <w:qFormat/>
  </w:style>
  <w:style w:type="paragraph" w:styleId="a8">
    <w:name w:val="Body Text"/>
    <w:basedOn w:val="a"/>
    <w:link w:val="a9"/>
    <w:qFormat/>
    <w:pPr>
      <w:spacing w:line="360" w:lineRule="auto"/>
    </w:pPr>
    <w:rPr>
      <w:rFonts w:ascii="宋体"/>
    </w:rPr>
  </w:style>
  <w:style w:type="paragraph" w:styleId="aa">
    <w:name w:val="Body Text Indent"/>
    <w:basedOn w:val="a"/>
    <w:link w:val="ab"/>
    <w:qFormat/>
    <w:pPr>
      <w:spacing w:after="120"/>
      <w:ind w:left="420"/>
    </w:pPr>
  </w:style>
  <w:style w:type="paragraph" w:styleId="5">
    <w:name w:val="toc 5"/>
    <w:next w:val="a"/>
    <w:uiPriority w:val="39"/>
    <w:unhideWhenUsed/>
    <w:qFormat/>
    <w:pPr>
      <w:pBdr>
        <w:top w:val="none" w:sz="0" w:space="0" w:color="000000"/>
        <w:left w:val="none" w:sz="0" w:space="0" w:color="000000"/>
        <w:bottom w:val="none" w:sz="0" w:space="0" w:color="000000"/>
        <w:right w:val="none" w:sz="0" w:space="0" w:color="000000"/>
        <w:between w:val="none" w:sz="0" w:space="0" w:color="000000"/>
      </w:pBdr>
      <w:spacing w:after="57"/>
      <w:ind w:left="1134"/>
    </w:pPr>
    <w:rPr>
      <w:rFonts w:ascii="Calibri" w:hAnsi="Calibri"/>
      <w:szCs w:val="22"/>
      <w:lang w:eastAsia="en-US" w:bidi="en-US"/>
    </w:rPr>
  </w:style>
  <w:style w:type="paragraph" w:styleId="3">
    <w:name w:val="toc 3"/>
    <w:basedOn w:val="a"/>
    <w:next w:val="a"/>
    <w:qFormat/>
    <w:pPr>
      <w:ind w:left="840"/>
    </w:pPr>
  </w:style>
  <w:style w:type="paragraph" w:styleId="ac">
    <w:name w:val="Plain Text"/>
    <w:basedOn w:val="a"/>
    <w:link w:val="ad"/>
    <w:qFormat/>
    <w:pPr>
      <w:spacing w:line="312" w:lineRule="atLeast"/>
    </w:pPr>
    <w:rPr>
      <w:rFonts w:ascii="宋体" w:hAnsi="Courier New"/>
    </w:rPr>
  </w:style>
  <w:style w:type="paragraph" w:styleId="8">
    <w:name w:val="toc 8"/>
    <w:next w:val="a"/>
    <w:uiPriority w:val="39"/>
    <w:unhideWhenUsed/>
    <w:qFormat/>
    <w:pPr>
      <w:pBdr>
        <w:top w:val="none" w:sz="0" w:space="0" w:color="000000"/>
        <w:left w:val="none" w:sz="0" w:space="0" w:color="000000"/>
        <w:bottom w:val="none" w:sz="0" w:space="0" w:color="000000"/>
        <w:right w:val="none" w:sz="0" w:space="0" w:color="000000"/>
        <w:between w:val="none" w:sz="0" w:space="0" w:color="000000"/>
      </w:pBdr>
      <w:spacing w:after="57"/>
      <w:ind w:left="1984"/>
    </w:pPr>
    <w:rPr>
      <w:rFonts w:ascii="Calibri" w:hAnsi="Calibri"/>
      <w:szCs w:val="22"/>
      <w:lang w:eastAsia="en-US" w:bidi="en-US"/>
    </w:rPr>
  </w:style>
  <w:style w:type="paragraph" w:styleId="2">
    <w:name w:val="Body Text Indent 2"/>
    <w:basedOn w:val="a"/>
    <w:link w:val="20"/>
    <w:qFormat/>
    <w:pPr>
      <w:spacing w:line="360" w:lineRule="auto"/>
      <w:ind w:firstLine="425"/>
    </w:pPr>
    <w:rPr>
      <w:rFonts w:ascii="仿宋_GB2312" w:eastAsia="仿宋_GB2312"/>
      <w:sz w:val="28"/>
    </w:rPr>
  </w:style>
  <w:style w:type="paragraph" w:styleId="ae">
    <w:name w:val="Balloon Text"/>
    <w:basedOn w:val="a"/>
    <w:link w:val="af"/>
    <w:qFormat/>
    <w:rPr>
      <w:sz w:val="18"/>
    </w:rPr>
  </w:style>
  <w:style w:type="paragraph" w:styleId="af0">
    <w:name w:val="footer"/>
    <w:basedOn w:val="a"/>
    <w:link w:val="af1"/>
    <w:uiPriority w:val="99"/>
    <w:unhideWhenUsed/>
    <w:qFormat/>
    <w:pPr>
      <w:tabs>
        <w:tab w:val="center" w:pos="4153"/>
        <w:tab w:val="right" w:pos="8306"/>
      </w:tabs>
      <w:snapToGrid w:val="0"/>
    </w:pPr>
    <w:rPr>
      <w:sz w:val="18"/>
      <w:szCs w:val="18"/>
    </w:rPr>
  </w:style>
  <w:style w:type="paragraph" w:styleId="af2">
    <w:name w:val="header"/>
    <w:basedOn w:val="a"/>
    <w:link w:val="af3"/>
    <w:uiPriority w:val="99"/>
    <w:unhideWhenUsed/>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uiPriority w:val="39"/>
    <w:qFormat/>
    <w:pPr>
      <w:tabs>
        <w:tab w:val="right" w:leader="dot" w:pos="8296"/>
      </w:tabs>
      <w:spacing w:line="360" w:lineRule="auto"/>
    </w:pPr>
  </w:style>
  <w:style w:type="paragraph" w:styleId="4">
    <w:name w:val="toc 4"/>
    <w:basedOn w:val="a"/>
    <w:next w:val="a"/>
    <w:semiHidden/>
    <w:qFormat/>
    <w:pPr>
      <w:ind w:left="1260"/>
    </w:pPr>
    <w:rPr>
      <w:szCs w:val="24"/>
    </w:rPr>
  </w:style>
  <w:style w:type="paragraph" w:styleId="af4">
    <w:name w:val="Subtitle"/>
    <w:link w:val="af5"/>
    <w:uiPriority w:val="11"/>
    <w:qFormat/>
    <w:pPr>
      <w:pBdr>
        <w:top w:val="none" w:sz="0" w:space="0" w:color="000000"/>
        <w:left w:val="none" w:sz="0" w:space="0" w:color="000000"/>
        <w:bottom w:val="none" w:sz="0" w:space="0" w:color="000000"/>
        <w:right w:val="none" w:sz="0" w:space="0" w:color="000000"/>
        <w:between w:val="none" w:sz="0" w:space="0" w:color="000000"/>
      </w:pBdr>
      <w:spacing w:before="200" w:after="200"/>
    </w:pPr>
    <w:rPr>
      <w:rFonts w:ascii="Calibri" w:hAnsi="Calibri"/>
      <w:sz w:val="24"/>
      <w:szCs w:val="24"/>
      <w:lang w:eastAsia="en-US" w:bidi="en-US"/>
    </w:rPr>
  </w:style>
  <w:style w:type="paragraph" w:styleId="af6">
    <w:name w:val="footnote text"/>
    <w:basedOn w:val="a"/>
    <w:link w:val="af7"/>
    <w:qFormat/>
    <w:rPr>
      <w:sz w:val="18"/>
    </w:rPr>
  </w:style>
  <w:style w:type="paragraph" w:styleId="6">
    <w:name w:val="toc 6"/>
    <w:next w:val="a"/>
    <w:uiPriority w:val="39"/>
    <w:unhideWhenUsed/>
    <w:qFormat/>
    <w:pPr>
      <w:pBdr>
        <w:top w:val="none" w:sz="0" w:space="0" w:color="000000"/>
        <w:left w:val="none" w:sz="0" w:space="0" w:color="000000"/>
        <w:bottom w:val="none" w:sz="0" w:space="0" w:color="000000"/>
        <w:right w:val="none" w:sz="0" w:space="0" w:color="000000"/>
        <w:between w:val="none" w:sz="0" w:space="0" w:color="000000"/>
      </w:pBdr>
      <w:spacing w:after="57"/>
      <w:ind w:left="1417"/>
    </w:pPr>
    <w:rPr>
      <w:rFonts w:ascii="Calibri" w:hAnsi="Calibri"/>
      <w:szCs w:val="22"/>
      <w:lang w:eastAsia="en-US" w:bidi="en-US"/>
    </w:rPr>
  </w:style>
  <w:style w:type="paragraph" w:styleId="30">
    <w:name w:val="Body Text Indent 3"/>
    <w:basedOn w:val="a"/>
    <w:link w:val="31"/>
    <w:qFormat/>
    <w:pPr>
      <w:spacing w:line="360" w:lineRule="auto"/>
      <w:ind w:left="420" w:firstLine="435"/>
    </w:pPr>
    <w:rPr>
      <w:color w:val="0000FF"/>
    </w:rPr>
  </w:style>
  <w:style w:type="paragraph" w:styleId="21">
    <w:name w:val="toc 2"/>
    <w:next w:val="a"/>
    <w:uiPriority w:val="39"/>
    <w:unhideWhenUsed/>
    <w:qFormat/>
    <w:pPr>
      <w:pBdr>
        <w:top w:val="none" w:sz="0" w:space="0" w:color="000000"/>
        <w:left w:val="none" w:sz="0" w:space="0" w:color="000000"/>
        <w:bottom w:val="none" w:sz="0" w:space="0" w:color="000000"/>
        <w:right w:val="none" w:sz="0" w:space="0" w:color="000000"/>
        <w:between w:val="none" w:sz="0" w:space="0" w:color="000000"/>
      </w:pBdr>
      <w:spacing w:after="57"/>
      <w:ind w:left="283"/>
    </w:pPr>
    <w:rPr>
      <w:rFonts w:ascii="Calibri" w:hAnsi="Calibri"/>
      <w:szCs w:val="22"/>
      <w:lang w:eastAsia="en-US" w:bidi="en-US"/>
    </w:rPr>
  </w:style>
  <w:style w:type="paragraph" w:styleId="9">
    <w:name w:val="toc 9"/>
    <w:next w:val="a"/>
    <w:uiPriority w:val="39"/>
    <w:unhideWhenUsed/>
    <w:qFormat/>
    <w:pPr>
      <w:pBdr>
        <w:top w:val="none" w:sz="0" w:space="0" w:color="000000"/>
        <w:left w:val="none" w:sz="0" w:space="0" w:color="000000"/>
        <w:bottom w:val="none" w:sz="0" w:space="0" w:color="000000"/>
        <w:right w:val="none" w:sz="0" w:space="0" w:color="000000"/>
        <w:between w:val="none" w:sz="0" w:space="0" w:color="000000"/>
      </w:pBdr>
      <w:spacing w:after="57"/>
      <w:ind w:left="2268"/>
    </w:pPr>
    <w:rPr>
      <w:rFonts w:ascii="Calibri" w:hAnsi="Calibri"/>
      <w:szCs w:val="22"/>
      <w:lang w:eastAsia="en-US" w:bidi="en-US"/>
    </w:rPr>
  </w:style>
  <w:style w:type="paragraph" w:styleId="HTML">
    <w:name w:val="HTML Preformatted"/>
    <w:basedOn w:val="a"/>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hint="eastAsia"/>
      <w:sz w:val="24"/>
      <w:szCs w:val="24"/>
      <w:lang w:eastAsia="zh-CN" w:bidi="ar-SA"/>
    </w:rPr>
  </w:style>
  <w:style w:type="paragraph" w:styleId="af8">
    <w:name w:val="Normal (Web)"/>
    <w:basedOn w:val="a"/>
    <w:uiPriority w:val="99"/>
    <w:semiHidden/>
    <w:unhideWhenUsed/>
    <w:qFormat/>
    <w:pPr>
      <w:spacing w:beforeAutospacing="1" w:afterAutospacing="1"/>
    </w:pPr>
    <w:rPr>
      <w:sz w:val="24"/>
      <w:lang w:eastAsia="zh-CN" w:bidi="ar-SA"/>
    </w:rPr>
  </w:style>
  <w:style w:type="paragraph" w:styleId="af9">
    <w:name w:val="Title"/>
    <w:basedOn w:val="a"/>
    <w:next w:val="a"/>
    <w:link w:val="afa"/>
    <w:qFormat/>
    <w:pPr>
      <w:spacing w:before="240" w:after="60"/>
      <w:jc w:val="center"/>
      <w:outlineLvl w:val="0"/>
    </w:pPr>
    <w:rPr>
      <w:rFonts w:ascii="Cambria" w:hAnsi="Cambria"/>
      <w:b/>
      <w:sz w:val="32"/>
    </w:rPr>
  </w:style>
  <w:style w:type="paragraph" w:styleId="afb">
    <w:name w:val="annotation subject"/>
    <w:basedOn w:val="a6"/>
    <w:next w:val="a6"/>
    <w:link w:val="afc"/>
    <w:qFormat/>
    <w:rPr>
      <w:b/>
    </w:rPr>
  </w:style>
  <w:style w:type="table" w:styleId="afd">
    <w:name w:val="Table Grid"/>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styleId="afe">
    <w:name w:val="page number"/>
    <w:qFormat/>
  </w:style>
  <w:style w:type="character" w:styleId="aff">
    <w:name w:val="Hyperlink"/>
    <w:uiPriority w:val="99"/>
    <w:qFormat/>
    <w:rPr>
      <w:color w:val="0000FF"/>
      <w:u w:val="single"/>
    </w:rPr>
  </w:style>
  <w:style w:type="character" w:styleId="aff0">
    <w:name w:val="annotation reference"/>
    <w:qFormat/>
    <w:rPr>
      <w:sz w:val="21"/>
    </w:rPr>
  </w:style>
  <w:style w:type="character" w:styleId="aff1">
    <w:name w:val="footnote reference"/>
    <w:qFormat/>
    <w:rPr>
      <w:vertAlign w:val="superscript"/>
    </w:rPr>
  </w:style>
  <w:style w:type="paragraph" w:customStyle="1" w:styleId="41">
    <w:name w:val="标题 41"/>
    <w:basedOn w:val="a"/>
    <w:next w:val="a"/>
    <w:uiPriority w:val="9"/>
    <w:unhideWhenUsed/>
    <w:qFormat/>
    <w:pPr>
      <w:keepNext/>
      <w:keepLines/>
      <w:spacing w:before="320" w:after="200"/>
      <w:outlineLvl w:val="3"/>
    </w:pPr>
    <w:rPr>
      <w:rFonts w:ascii="Arial" w:eastAsia="Arial" w:hAnsi="Arial" w:cs="Arial"/>
      <w:b/>
      <w:bCs/>
      <w:sz w:val="26"/>
      <w:szCs w:val="26"/>
    </w:rPr>
  </w:style>
  <w:style w:type="paragraph" w:customStyle="1" w:styleId="51">
    <w:name w:val="标题 51"/>
    <w:basedOn w:val="a"/>
    <w:next w:val="a"/>
    <w:uiPriority w:val="9"/>
    <w:unhideWhenUsed/>
    <w:qFormat/>
    <w:pPr>
      <w:keepNext/>
      <w:keepLines/>
      <w:spacing w:before="320" w:after="200"/>
      <w:outlineLvl w:val="4"/>
    </w:pPr>
    <w:rPr>
      <w:rFonts w:ascii="Arial" w:eastAsia="Arial" w:hAnsi="Arial" w:cs="Arial"/>
      <w:b/>
      <w:bCs/>
      <w:sz w:val="24"/>
      <w:szCs w:val="24"/>
    </w:rPr>
  </w:style>
  <w:style w:type="paragraph" w:customStyle="1" w:styleId="61">
    <w:name w:val="标题 61"/>
    <w:basedOn w:val="a"/>
    <w:next w:val="a"/>
    <w:uiPriority w:val="9"/>
    <w:unhideWhenUsed/>
    <w:qFormat/>
    <w:pPr>
      <w:keepNext/>
      <w:keepLines/>
      <w:spacing w:before="320" w:after="200"/>
      <w:outlineLvl w:val="5"/>
    </w:pPr>
    <w:rPr>
      <w:rFonts w:ascii="Arial" w:eastAsia="Arial" w:hAnsi="Arial" w:cs="Arial"/>
      <w:b/>
      <w:bCs/>
      <w:sz w:val="22"/>
    </w:rPr>
  </w:style>
  <w:style w:type="paragraph" w:customStyle="1" w:styleId="71">
    <w:name w:val="标题 71"/>
    <w:basedOn w:val="a"/>
    <w:next w:val="a"/>
    <w:uiPriority w:val="9"/>
    <w:unhideWhenUsed/>
    <w:qFormat/>
    <w:pPr>
      <w:keepNext/>
      <w:keepLines/>
      <w:spacing w:before="320" w:after="200"/>
      <w:outlineLvl w:val="6"/>
    </w:pPr>
    <w:rPr>
      <w:rFonts w:ascii="Arial" w:eastAsia="Arial" w:hAnsi="Arial" w:cs="Arial"/>
      <w:b/>
      <w:bCs/>
      <w:i/>
      <w:iCs/>
      <w:sz w:val="22"/>
    </w:rPr>
  </w:style>
  <w:style w:type="paragraph" w:customStyle="1" w:styleId="81">
    <w:name w:val="标题 81"/>
    <w:basedOn w:val="a"/>
    <w:next w:val="a"/>
    <w:uiPriority w:val="9"/>
    <w:unhideWhenUsed/>
    <w:qFormat/>
    <w:pPr>
      <w:keepNext/>
      <w:keepLines/>
      <w:spacing w:before="320" w:after="200"/>
      <w:outlineLvl w:val="7"/>
    </w:pPr>
    <w:rPr>
      <w:rFonts w:ascii="Arial" w:eastAsia="Arial" w:hAnsi="Arial" w:cs="Arial"/>
      <w:i/>
      <w:iCs/>
      <w:sz w:val="22"/>
    </w:rPr>
  </w:style>
  <w:style w:type="paragraph" w:customStyle="1" w:styleId="91">
    <w:name w:val="标题 91"/>
    <w:basedOn w:val="a"/>
    <w:next w:val="a"/>
    <w:uiPriority w:val="9"/>
    <w:unhideWhenUsed/>
    <w:qFormat/>
    <w:pPr>
      <w:keepNext/>
      <w:keepLines/>
      <w:spacing w:before="320" w:after="200"/>
      <w:outlineLvl w:val="8"/>
    </w:pPr>
    <w:rPr>
      <w:rFonts w:ascii="Arial" w:eastAsia="Arial" w:hAnsi="Arial" w:cs="Arial"/>
      <w:i/>
      <w:iCs/>
      <w:sz w:val="21"/>
      <w:szCs w:val="21"/>
    </w:rPr>
  </w:style>
  <w:style w:type="character" w:customStyle="1" w:styleId="SubtitleChar">
    <w:name w:val="Subtitle Char"/>
    <w:basedOn w:val="a0"/>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table" w:customStyle="1" w:styleId="11">
    <w:name w:val="无格式表格 11"/>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auto" w:fill="FFFFFF" w:themeFill="text1" w:themeFillTint="00"/>
      </w:tcPr>
    </w:tblStylePr>
    <w:tblStylePr w:type="band2Vert">
      <w:pPr>
        <w:snapToGrid/>
      </w:pPr>
    </w:tblStylePr>
    <w:tblStylePr w:type="band1Horz">
      <w:pPr>
        <w:snapToGrid/>
      </w:pPr>
      <w:tblPr/>
      <w:tcPr>
        <w:shd w:val="clear" w:color="auto" w:fill="FFFFFF" w:themeFill="text1" w:themeFillTint="0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0">
    <w:name w:val="无格式表格 21"/>
    <w:basedOn w:val="a1"/>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pPr>
        <w:snapToGrid/>
      </w:pPr>
      <w:rPr>
        <w:rFonts w:ascii="Arial" w:hAnsi="Arial"/>
        <w:b/>
        <w:color w:val="404040"/>
        <w:sz w:val="22"/>
      </w:rPr>
      <w:tblPr/>
      <w:tcPr>
        <w:tcBorders>
          <w:top w:val="single" w:sz="4" w:space="0" w:color="000000" w:themeColor="text1"/>
          <w:bottom w:val="single" w:sz="4" w:space="0" w:color="000000" w:themeColor="text1"/>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val="single" w:sz="4" w:space="0" w:color="000000" w:themeColor="text1"/>
          <w:right w:val="single" w:sz="4" w:space="0" w:color="000000" w:themeColor="text1"/>
        </w:tcBorders>
      </w:tcPr>
    </w:tblStylePr>
    <w:tblStylePr w:type="band2Vert">
      <w:pPr>
        <w:snapToGrid/>
      </w:pPr>
      <w:tblPr/>
      <w:tcPr>
        <w:tcBorders>
          <w:left w:val="single" w:sz="4" w:space="0" w:color="000000" w:themeColor="text1"/>
          <w:right w:val="single" w:sz="4" w:space="0" w:color="000000" w:themeColor="text1"/>
        </w:tcBorders>
      </w:tcPr>
    </w:tblStylePr>
    <w:tblStylePr w:type="band1Horz">
      <w:pPr>
        <w:snapToGrid/>
      </w:p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0">
    <w:name w:val="无格式表格 31"/>
    <w:basedOn w:val="a1"/>
    <w:uiPriority w:val="99"/>
    <w:qFormat/>
    <w:tblPr>
      <w:tblCellMar>
        <w:left w:w="0" w:type="dxa"/>
        <w:right w:w="0" w:type="dxa"/>
      </w:tblCellMar>
    </w:tblPr>
    <w:tblStylePr w:type="firstRow">
      <w:pPr>
        <w:snapToGrid/>
      </w:pPr>
      <w:rPr>
        <w:b/>
        <w:caps/>
        <w:color w:val="404040"/>
      </w:rPr>
      <w:tblPr/>
      <w:tcPr>
        <w:tcBorders>
          <w:top w:val="nil"/>
          <w:left w:val="nil"/>
          <w:bottom w:val="single" w:sz="4" w:space="0" w:color="404040"/>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auto" w:fill="FFFFFF" w:themeFill="text1" w:themeFillTint="00"/>
      </w:tcPr>
    </w:tblStylePr>
    <w:tblStylePr w:type="band2Vert">
      <w:pPr>
        <w:snapToGrid/>
      </w:pPr>
    </w:tblStylePr>
    <w:tblStylePr w:type="band1Horz">
      <w:pPr>
        <w:snapToGrid/>
      </w:pPr>
      <w:rPr>
        <w:rFonts w:ascii="Arial" w:hAnsi="Arial"/>
        <w:color w:val="404040"/>
        <w:sz w:val="22"/>
      </w:rPr>
      <w:tblPr/>
      <w:tcPr>
        <w:shd w:val="clear" w:color="auto" w:fill="FFFFFF" w:themeFill="text1" w:themeFillTint="0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0">
    <w:name w:val="无格式表格 41"/>
    <w:basedOn w:val="a1"/>
    <w:uiPriority w:val="99"/>
    <w:qFormat/>
    <w:tblPr>
      <w:tblCellMar>
        <w:left w:w="0" w:type="dxa"/>
        <w:right w:w="0" w:type="dxa"/>
      </w:tblCellMar>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FFFFFF" w:themeFill="text1" w:themeFillTint="00"/>
      </w:tcPr>
    </w:tblStylePr>
    <w:tblStylePr w:type="band2Vert">
      <w:pPr>
        <w:snapToGrid/>
      </w:pPr>
    </w:tblStylePr>
    <w:tblStylePr w:type="band1Horz">
      <w:pPr>
        <w:snapToGrid/>
      </w:pPr>
      <w:rPr>
        <w:rFonts w:ascii="Arial" w:hAnsi="Arial"/>
        <w:color w:val="404040"/>
        <w:sz w:val="22"/>
      </w:rPr>
      <w:tblPr/>
      <w:tcPr>
        <w:shd w:val="clear" w:color="auto" w:fill="FFFFFF" w:themeFill="text1" w:themeFillTint="0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0">
    <w:name w:val="无格式表格 51"/>
    <w:basedOn w:val="a1"/>
    <w:uiPriority w:val="99"/>
    <w:qFormat/>
    <w:tblPr>
      <w:tblCellMar>
        <w:left w:w="0" w:type="dxa"/>
        <w:right w:w="0" w:type="dxa"/>
      </w:tblCellMar>
    </w:tblPr>
    <w:tblStylePr w:type="firstRow">
      <w:pPr>
        <w:snapToGrid/>
      </w:pPr>
      <w:rPr>
        <w:i/>
        <w:color w:val="404040"/>
      </w:rPr>
      <w:tblPr/>
      <w:tcPr>
        <w:tcBorders>
          <w:left w:val="nil"/>
          <w:bottom w:val="single" w:sz="4" w:space="0" w:color="404040"/>
          <w:right w:val="nil"/>
        </w:tcBorders>
        <w:shd w:val="clear" w:color="auto" w:fill="FFFFFF"/>
      </w:tcPr>
    </w:tblStylePr>
    <w:tblStylePr w:type="lastRow">
      <w:pPr>
        <w:snapToGrid/>
      </w:pPr>
      <w:rPr>
        <w:i/>
        <w:color w:val="404040"/>
      </w:rPr>
      <w:tblPr/>
      <w:tcPr>
        <w:tcBorders>
          <w:top w:val="single" w:sz="4" w:space="0" w:color="404040"/>
          <w:left w:val="nil"/>
          <w:right w:val="nil"/>
        </w:tcBorders>
        <w:shd w:val="clear" w:color="auto" w:fill="FFFFFF"/>
      </w:tcPr>
    </w:tblStylePr>
    <w:tblStylePr w:type="firstCol">
      <w:pPr>
        <w:snapToGrid/>
        <w:jc w:val="right"/>
      </w:pPr>
      <w:rPr>
        <w:i/>
        <w:color w:val="404040"/>
      </w:rPr>
      <w:tblPr/>
      <w:tcPr>
        <w:tcBorders>
          <w:right w:val="single" w:sz="4" w:space="0" w:color="404040"/>
        </w:tcBorders>
        <w:shd w:val="clear" w:color="auto" w:fill="FFFFFF"/>
      </w:tcPr>
    </w:tblStylePr>
    <w:tblStylePr w:type="lastCol">
      <w:pPr>
        <w:snapToGrid/>
      </w:pPr>
      <w:rPr>
        <w:i/>
        <w:color w:val="404040"/>
      </w:rPr>
      <w:tblPr/>
      <w:tcPr>
        <w:tcBorders>
          <w:left w:val="single" w:sz="4" w:space="0" w:color="404040"/>
        </w:tcBorders>
        <w:shd w:val="clear" w:color="auto" w:fill="FFFFFF"/>
      </w:tcPr>
    </w:tblStylePr>
    <w:tblStylePr w:type="band1Vert">
      <w:pPr>
        <w:snapToGrid/>
      </w:pPr>
      <w:rPr>
        <w:rFonts w:ascii="Arial" w:hAnsi="Arial"/>
        <w:color w:val="404040"/>
        <w:sz w:val="22"/>
      </w:rPr>
      <w:tblPr/>
      <w:tcPr>
        <w:shd w:val="clear" w:color="auto" w:fill="FFFFFF" w:themeFill="text1" w:themeFillTint="00"/>
      </w:tcPr>
    </w:tblStylePr>
    <w:tblStylePr w:type="band2Vert">
      <w:pPr>
        <w:snapToGrid/>
      </w:pPr>
    </w:tblStylePr>
    <w:tblStylePr w:type="band1Horz">
      <w:pPr>
        <w:snapToGrid/>
      </w:pPr>
      <w:rPr>
        <w:rFonts w:ascii="Arial" w:hAnsi="Arial"/>
        <w:color w:val="404040"/>
        <w:sz w:val="22"/>
      </w:rPr>
      <w:tblPr/>
      <w:tcPr>
        <w:shd w:val="clear" w:color="auto" w:fill="FFFFFF" w:themeFill="text1" w:themeFillTint="0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0">
    <w:name w:val="网格表 1 浅色1"/>
    <w:basedOn w:val="a1"/>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left w:w="0" w:type="dxa"/>
        <w:right w:w="0" w:type="dxa"/>
      </w:tblCellMar>
    </w:tblPr>
    <w:tblStylePr w:type="firstRow">
      <w:pPr>
        <w:snapToGrid/>
      </w:pPr>
      <w:rPr>
        <w:b/>
        <w:color w:val="404040"/>
      </w:rPr>
      <w:tblPr/>
      <w:tcPr>
        <w:tcBorders>
          <w:bottom w:val="single" w:sz="12" w:space="0" w:color="6A6A6A" w:themeColor="tex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1">
    <w:name w:val="网格表 2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CellMar>
        <w:left w:w="0" w:type="dxa"/>
        <w:right w:w="0" w:type="dxa"/>
      </w:tblCellMar>
    </w:tblPr>
    <w:tblStylePr w:type="firstRow">
      <w:pPr>
        <w:snapToGrid/>
      </w:pPr>
      <w:rPr>
        <w:b/>
        <w:color w:val="404040"/>
      </w:rPr>
      <w:tblPr/>
      <w:tcPr>
        <w:tcBorders>
          <w:top w:val="nil"/>
          <w:left w:val="nil"/>
          <w:bottom w:val="single" w:sz="12" w:space="0" w:color="6A6A6A" w:themeColor="text1" w:themeTint="95"/>
          <w:right w:val="nil"/>
        </w:tcBorders>
        <w:shd w:val="clear" w:color="auto" w:fill="FFFFFF"/>
      </w:tcPr>
    </w:tblStylePr>
    <w:tblStylePr w:type="lastRow">
      <w:pPr>
        <w:snapToGrid/>
      </w:pPr>
      <w:rPr>
        <w:b/>
        <w:color w:val="404040"/>
      </w:rPr>
      <w:tblPr/>
      <w:tcPr>
        <w:tcBorders>
          <w:top w:val="single" w:sz="4" w:space="0" w:color="6A6A6A" w:themeColor="text1" w:themeTint="95"/>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CBCBCB" w:themeFill="text1" w:themeFillTint="34"/>
      </w:tcPr>
    </w:tblStylePr>
    <w:tblStylePr w:type="band2Vert">
      <w:pPr>
        <w:snapToGrid/>
      </w:pPr>
    </w:tblStylePr>
    <w:tblStylePr w:type="band1Horz">
      <w:pPr>
        <w:snapToGrid/>
      </w:pPr>
      <w:rPr>
        <w:rFonts w:ascii="Arial" w:hAnsi="Arial"/>
        <w:color w:val="404040"/>
        <w:sz w:val="22"/>
      </w:rPr>
      <w:tblPr/>
      <w:tcPr>
        <w:shd w:val="clear" w:color="auto"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1">
    <w:name w:val="网格表 3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CellMar>
        <w:left w:w="0" w:type="dxa"/>
        <w:right w:w="0" w:type="dxa"/>
      </w:tblCellMar>
    </w:tblPr>
    <w:tblStylePr w:type="firstRow">
      <w:pPr>
        <w:snapToGrid/>
      </w:pPr>
      <w:rPr>
        <w:b/>
        <w:color w:val="404040"/>
      </w:rPr>
      <w:tblPr/>
      <w:tcPr>
        <w:tcBorders>
          <w:top w:val="nil"/>
          <w:left w:val="nil"/>
          <w:bottom w:val="nil"/>
          <w:right w:val="nil"/>
        </w:tcBorders>
        <w:shd w:val="clear" w:color="auto" w:fill="FFFFFF"/>
      </w:tcPr>
    </w:tblStylePr>
    <w:tblStylePr w:type="lastRow">
      <w:pPr>
        <w:snapToGrid/>
      </w:pPr>
      <w:rPr>
        <w:b/>
        <w:color w:val="404040"/>
      </w:rPr>
      <w:tblPr/>
      <w:tcPr>
        <w:tcBorders>
          <w:top w:val="nil"/>
          <w:left w:val="nil"/>
          <w:bottom w:val="nil"/>
          <w:right w:val="nil"/>
        </w:tcBorders>
        <w:shd w:val="clear" w:color="auto" w:fill="FFFFFF"/>
      </w:tcPr>
    </w:tblStylePr>
    <w:tblStylePr w:type="firstCol">
      <w:pPr>
        <w:snapToGrid/>
        <w:jc w:val="right"/>
      </w:pPr>
      <w:rPr>
        <w:i/>
        <w:color w:val="404040"/>
      </w:rPr>
      <w:tblPr/>
      <w:tcPr>
        <w:tcBorders>
          <w:top w:val="nil"/>
          <w:left w:val="nil"/>
          <w:bottom w:val="nil"/>
          <w:right w:val="nil"/>
        </w:tcBorders>
        <w:shd w:val="clear" w:color="auto" w:fill="FFFFFF"/>
      </w:tcPr>
    </w:tblStylePr>
    <w:tblStylePr w:type="lastCol">
      <w:pPr>
        <w:snapToGrid/>
      </w:pPr>
      <w:rPr>
        <w:i/>
        <w:color w:val="404040"/>
      </w:rPr>
      <w:tblPr/>
      <w:tcPr>
        <w:tcBorders>
          <w:top w:val="nil"/>
          <w:left w:val="nil"/>
          <w:bottom w:val="nil"/>
          <w:right w:val="nil"/>
        </w:tcBorders>
        <w:shd w:val="clear" w:color="auto" w:fill="FFFFFF"/>
      </w:tcPr>
    </w:tblStylePr>
    <w:tblStylePr w:type="band1Vert">
      <w:pPr>
        <w:snapToGrid/>
      </w:pPr>
      <w:rPr>
        <w:rFonts w:ascii="Arial" w:hAnsi="Arial"/>
        <w:color w:val="404040"/>
        <w:sz w:val="22"/>
      </w:rPr>
      <w:tblPr/>
      <w:tcPr>
        <w:shd w:val="clear" w:color="auto" w:fill="CBCBCB" w:themeFill="text1" w:themeFillTint="34"/>
      </w:tcPr>
    </w:tblStylePr>
    <w:tblStylePr w:type="band2Vert">
      <w:pPr>
        <w:snapToGrid/>
      </w:pPr>
    </w:tblStylePr>
    <w:tblStylePr w:type="band1Horz">
      <w:pPr>
        <w:snapToGrid/>
      </w:pPr>
      <w:rPr>
        <w:rFonts w:ascii="Arial" w:hAnsi="Arial"/>
        <w:color w:val="404040"/>
        <w:sz w:val="22"/>
      </w:rPr>
      <w:tblPr/>
      <w:tcPr>
        <w:shd w:val="clear" w:color="auto"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1">
    <w:name w:val="网格表 41"/>
    <w:basedOn w:val="a1"/>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left w:w="0" w:type="dxa"/>
        <w:right w:w="0" w:type="dxa"/>
      </w:tblCellMar>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CBCBCB" w:themeFill="text1" w:themeFillTint="34"/>
      </w:tcPr>
    </w:tblStylePr>
    <w:tblStylePr w:type="band2Vert">
      <w:pPr>
        <w:snapToGrid/>
      </w:pPr>
    </w:tblStylePr>
    <w:tblStylePr w:type="band1Horz">
      <w:pPr>
        <w:snapToGrid/>
      </w:pPr>
      <w:rPr>
        <w:rFonts w:ascii="Arial" w:hAnsi="Arial"/>
        <w:color w:val="404040"/>
        <w:sz w:val="22"/>
      </w:rPr>
      <w:tblPr/>
      <w:tcPr>
        <w:shd w:val="clear" w:color="auto"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1">
    <w:name w:val="网格表 5 深色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left w:w="0" w:type="dxa"/>
        <w:right w:w="0" w:type="dxa"/>
      </w:tblCellMar>
    </w:tblPr>
    <w:tblStylePr w:type="firstRow">
      <w:pPr>
        <w:snapToGrid/>
      </w:pPr>
      <w:rPr>
        <w:rFonts w:ascii="Arial" w:hAnsi="Arial"/>
        <w:b/>
        <w:color w:val="FFFFFF"/>
        <w:sz w:val="22"/>
      </w:rPr>
      <w:tblPr/>
      <w:tcPr>
        <w:shd w:val="clear" w:color="auto" w:fill="000000" w:themeFill="text1"/>
      </w:tcPr>
    </w:tblStylePr>
    <w:tblStylePr w:type="lastRow">
      <w:pPr>
        <w:snapToGrid/>
      </w:pPr>
      <w:rPr>
        <w:rFonts w:ascii="Arial" w:hAnsi="Arial"/>
        <w:b/>
        <w:color w:val="FFFFFF"/>
        <w:sz w:val="22"/>
      </w:rPr>
      <w:tblPr/>
      <w:tcPr>
        <w:tcBorders>
          <w:top w:val="single" w:sz="4" w:space="0" w:color="FFFFFF" w:themeColor="light1"/>
        </w:tcBorders>
        <w:shd w:val="clear" w:color="auto" w:fill="000000" w:themeFill="text1"/>
      </w:tcPr>
    </w:tblStylePr>
    <w:tblStylePr w:type="firstCol">
      <w:pPr>
        <w:snapToGrid/>
      </w:pPr>
      <w:rPr>
        <w:rFonts w:ascii="Arial" w:hAnsi="Arial"/>
        <w:b/>
        <w:color w:val="FFFFFF"/>
        <w:sz w:val="22"/>
      </w:rPr>
      <w:tblPr/>
      <w:tcPr>
        <w:shd w:val="clear" w:color="auto" w:fill="000000" w:themeFill="text1"/>
      </w:tcPr>
    </w:tblStylePr>
    <w:tblStylePr w:type="lastCol">
      <w:pPr>
        <w:snapToGrid/>
      </w:pPr>
      <w:rPr>
        <w:rFonts w:ascii="Arial" w:hAnsi="Arial"/>
        <w:b/>
        <w:color w:val="FFFFFF"/>
        <w:sz w:val="22"/>
      </w:rPr>
      <w:tblPr/>
      <w:tcPr>
        <w:shd w:val="clear" w:color="auto" w:fill="000000" w:themeFill="text1"/>
      </w:tcPr>
    </w:tblStylePr>
    <w:tblStylePr w:type="band1Vert">
      <w:pPr>
        <w:snapToGrid/>
      </w:pPr>
      <w:tblPr/>
      <w:tcPr>
        <w:shd w:val="clear" w:color="auto" w:fill="8A8A8A" w:themeFill="text1" w:themeFillTint="75"/>
      </w:tcPr>
    </w:tblStylePr>
    <w:tblStylePr w:type="band2Vert">
      <w:pPr>
        <w:snapToGrid/>
      </w:pPr>
    </w:tblStylePr>
    <w:tblStylePr w:type="band1Horz">
      <w:pPr>
        <w:snapToGrid/>
      </w:pPr>
      <w:tblPr/>
      <w:tcPr>
        <w:shd w:val="clear" w:color="auto" w:fill="8A8A8A"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0">
    <w:name w:val="网格表 6 彩色1"/>
    <w:basedOn w:val="a1"/>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blStylePr w:type="firstRow">
      <w:pPr>
        <w:snapToGrid/>
      </w:pPr>
      <w:rPr>
        <w:b/>
        <w:color w:val="7F7F7F" w:themeColor="text1" w:themeTint="80"/>
      </w:rPr>
      <w:tblPr/>
      <w:tcPr>
        <w:tcBorders>
          <w:bottom w:val="single" w:sz="12" w:space="0" w:color="7F7F7F" w:themeColor="text1" w:themeTint="80"/>
        </w:tcBorders>
      </w:tcPr>
    </w:tblStylePr>
    <w:tblStylePr w:type="lastRow">
      <w:pPr>
        <w:snapToGrid/>
      </w:pPr>
      <w:rPr>
        <w:b/>
        <w:color w:val="7F7F7F" w:themeColor="text1" w:themeTint="80"/>
      </w:rPr>
    </w:tblStylePr>
    <w:tblStylePr w:type="firstCol">
      <w:pPr>
        <w:snapToGrid/>
      </w:pPr>
      <w:rPr>
        <w:b/>
        <w:color w:val="7F7F7F" w:themeColor="text1" w:themeTint="80"/>
      </w:rPr>
    </w:tblStylePr>
    <w:tblStylePr w:type="lastCol">
      <w:pPr>
        <w:snapToGrid/>
      </w:pPr>
      <w:rPr>
        <w:b/>
        <w:color w:val="7F7F7F" w:themeColor="text1" w:themeTint="80"/>
      </w:rPr>
    </w:tblStylePr>
    <w:tblStylePr w:type="band1Vert">
      <w:pPr>
        <w:snapToGrid/>
      </w:pPr>
      <w:tblPr/>
      <w:tcPr>
        <w:shd w:val="clear" w:color="auto" w:fill="CBCBCB" w:themeFill="text1" w:themeFillTint="34"/>
      </w:tcPr>
    </w:tblStylePr>
    <w:tblStylePr w:type="band2Vert">
      <w:pPr>
        <w:snapToGrid/>
      </w:pPr>
    </w:tblStylePr>
    <w:tblStylePr w:type="band1Horz">
      <w:pPr>
        <w:snapToGrid/>
      </w:pPr>
      <w:rPr>
        <w:rFonts w:ascii="Arial" w:hAnsi="Arial"/>
        <w:color w:val="7F7F7F" w:themeColor="text1" w:themeTint="80"/>
        <w:sz w:val="22"/>
      </w:rPr>
      <w:tblPr/>
      <w:tcPr>
        <w:shd w:val="clear" w:color="auto" w:fill="CBCBCB" w:themeFill="text1" w:themeFillTint="34"/>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0">
    <w:name w:val="网格表 7 彩色1"/>
    <w:basedOn w:val="a1"/>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blStylePr w:type="firstRow">
      <w:pPr>
        <w:snapToGrid/>
      </w:pPr>
      <w:rPr>
        <w:rFonts w:ascii="Arial" w:hAnsi="Arial"/>
        <w:b/>
        <w:color w:val="7F7F7F" w:themeColor="text1" w:themeTint="80"/>
        <w:sz w:val="22"/>
      </w:rPr>
      <w:tblPr/>
      <w:tcPr>
        <w:tcBorders>
          <w:top w:val="nil"/>
          <w:left w:val="nil"/>
          <w:bottom w:val="single" w:sz="4" w:space="0" w:color="7F7F7F" w:themeColor="text1" w:themeTint="80"/>
          <w:right w:val="nil"/>
        </w:tcBorders>
        <w:shd w:val="clear" w:color="auto" w:fill="FFFFFF" w:themeFill="light1"/>
      </w:tcPr>
    </w:tblStylePr>
    <w:tblStylePr w:type="lastRow">
      <w:pPr>
        <w:snapToGrid/>
      </w:pPr>
      <w:rPr>
        <w:rFonts w:ascii="Arial" w:hAnsi="Arial"/>
        <w:b/>
        <w:color w:val="7F7F7F" w:themeColor="text1" w:themeTint="80"/>
        <w:sz w:val="22"/>
      </w:rPr>
      <w:tblPr/>
      <w:tcPr>
        <w:tcBorders>
          <w:top w:val="single" w:sz="4" w:space="0" w:color="7F7F7F" w:themeColor="text1" w:themeTint="80"/>
          <w:left w:val="nil"/>
          <w:bottom w:val="nil"/>
          <w:right w:val="nil"/>
        </w:tcBorders>
        <w:shd w:val="clear" w:color="auto" w:fill="FFFFFF" w:themeFill="light1"/>
      </w:tcPr>
    </w:tblStylePr>
    <w:tblStylePr w:type="firstCol">
      <w:pPr>
        <w:snapToGrid/>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auto" w:fill="FFFFFF"/>
      </w:tcPr>
    </w:tblStylePr>
    <w:tblStylePr w:type="lastCol">
      <w:pPr>
        <w:snapToGrid/>
      </w:pPr>
      <w:rPr>
        <w:rFonts w:ascii="Arial" w:hAnsi="Arial"/>
        <w:i/>
        <w:color w:val="7F7F7F" w:themeColor="text1" w:themeTint="80"/>
        <w:sz w:val="22"/>
      </w:rPr>
      <w:tblPr/>
      <w:tcPr>
        <w:tcBorders>
          <w:top w:val="nil"/>
          <w:left w:val="single" w:sz="4" w:space="0" w:color="7F7F7F" w:themeColor="text1" w:themeTint="80"/>
          <w:bottom w:val="nil"/>
          <w:right w:val="nil"/>
        </w:tcBorders>
        <w:shd w:val="clear" w:color="auto" w:fill="FFFFFF"/>
      </w:tcPr>
    </w:tblStylePr>
    <w:tblStylePr w:type="band1Vert">
      <w:pPr>
        <w:snapToGrid/>
      </w:pPr>
      <w:tblPr/>
      <w:tcPr>
        <w:shd w:val="clear" w:color="auto" w:fill="FFFFFF" w:themeFill="text1" w:themeFillTint="00"/>
      </w:tcPr>
    </w:tblStylePr>
    <w:tblStylePr w:type="band2Vert">
      <w:pPr>
        <w:snapToGrid/>
      </w:pPr>
    </w:tblStylePr>
    <w:tblStylePr w:type="band1Horz">
      <w:pPr>
        <w:snapToGrid/>
      </w:pPr>
      <w:rPr>
        <w:rFonts w:ascii="Arial" w:hAnsi="Arial"/>
        <w:color w:val="7F7F7F" w:themeColor="text1" w:themeTint="80"/>
        <w:sz w:val="22"/>
      </w:rPr>
      <w:tblPr/>
      <w:tcPr>
        <w:shd w:val="clear" w:color="auto" w:fill="FFFFFF" w:themeFill="text1" w:themeFillTint="00"/>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1">
    <w:name w:val="清单表 1 浅色1"/>
    <w:basedOn w:val="a1"/>
    <w:uiPriority w:val="99"/>
    <w:qFormat/>
    <w:tblPr>
      <w:tblCellMar>
        <w:left w:w="0" w:type="dxa"/>
        <w:right w:w="0" w:type="dxa"/>
      </w:tblCellMar>
    </w:tblPr>
    <w:tblStylePr w:type="firstRow">
      <w:pPr>
        <w:snapToGrid/>
      </w:pPr>
      <w:rPr>
        <w:b/>
        <w:color w:val="404040"/>
      </w:rPr>
      <w:tblPr/>
      <w:tcPr>
        <w:tcBorders>
          <w:top w:val="nil"/>
          <w:left w:val="nil"/>
          <w:bottom w:val="single" w:sz="4" w:space="0" w:color="000000" w:themeColor="text1"/>
          <w:right w:val="nil"/>
        </w:tcBorders>
      </w:tcPr>
    </w:tblStylePr>
    <w:tblStylePr w:type="lastRow">
      <w:pPr>
        <w:snapToGrid/>
      </w:pPr>
      <w:rPr>
        <w:b/>
        <w:color w:val="404040"/>
      </w:rPr>
      <w:tblPr/>
      <w:tcPr>
        <w:tcBorders>
          <w:top w:val="single" w:sz="4" w:space="0" w:color="000000" w:themeColor="tex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auto" w:fill="BFBFBF" w:themeFill="text1" w:themeFillTint="40"/>
      </w:tcPr>
    </w:tblStylePr>
    <w:tblStylePr w:type="band2Vert">
      <w:pPr>
        <w:snapToGrid/>
      </w:pPr>
    </w:tblStylePr>
    <w:tblStylePr w:type="band1Horz">
      <w:pPr>
        <w:snapToGrid/>
      </w:pPr>
      <w:tblPr/>
      <w:tcPr>
        <w:shd w:val="clear" w:color="auto"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2">
    <w:name w:val="清单表 21"/>
    <w:basedOn w:val="a1"/>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CellMar>
        <w:left w:w="0" w:type="dxa"/>
        <w:right w:w="0" w:type="dxa"/>
      </w:tblCellMar>
    </w:tblPr>
    <w:tblStylePr w:type="fir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auto" w:fill="BFBFBF" w:themeFill="text1" w:themeFillTint="40"/>
      </w:tcPr>
    </w:tblStylePr>
    <w:tblStylePr w:type="band2Vert">
      <w:pPr>
        <w:snapToGrid/>
      </w:pPr>
    </w:tblStylePr>
    <w:tblStylePr w:type="band1Horz">
      <w:pPr>
        <w:snapToGrid/>
      </w:pPr>
      <w:rPr>
        <w:rFonts w:ascii="Arial" w:hAnsi="Arial"/>
        <w:color w:val="404040"/>
        <w:sz w:val="22"/>
      </w:rPr>
      <w:tblPr/>
      <w:tcPr>
        <w:shd w:val="clear" w:color="auto"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2">
    <w:name w:val="清单表 3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left w:w="0" w:type="dxa"/>
        <w:right w:w="0" w:type="dxa"/>
      </w:tblCellMar>
    </w:tblPr>
    <w:tblStylePr w:type="firstRow">
      <w:pPr>
        <w:snapToGrid/>
      </w:pPr>
      <w:rPr>
        <w:rFonts w:ascii="Arial" w:hAnsi="Arial"/>
        <w:b/>
        <w:color w:val="FFFFFF"/>
        <w:sz w:val="22"/>
      </w:rPr>
      <w:tblPr/>
      <w:tcPr>
        <w:shd w:val="clear" w:color="auto"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000000" w:themeColor="text1"/>
          <w:right w:val="single" w:sz="4" w:space="0" w:color="000000" w:themeColor="text1"/>
        </w:tcBorders>
      </w:tcPr>
    </w:tblStylePr>
    <w:tblStylePr w:type="band2Vert">
      <w:pPr>
        <w:snapToGrid/>
      </w:pPr>
    </w:tblStylePr>
    <w:tblStylePr w:type="band1Horz">
      <w:pPr>
        <w:snapToGrid/>
      </w:pPr>
      <w:rPr>
        <w:rFonts w:ascii="Arial" w:hAnsi="Arial"/>
        <w:color w:val="404040"/>
        <w:sz w:val="22"/>
      </w:r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2">
    <w:name w:val="清单表 4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left w:w="0" w:type="dxa"/>
        <w:right w:w="0" w:type="dxa"/>
      </w:tblCellMar>
    </w:tblPr>
    <w:tblStylePr w:type="firstRow">
      <w:pPr>
        <w:snapToGrid/>
      </w:pPr>
      <w:rPr>
        <w:rFonts w:ascii="Arial" w:hAnsi="Arial"/>
        <w:b/>
        <w:color w:val="FFFFFF"/>
        <w:sz w:val="22"/>
      </w:rPr>
      <w:tblPr/>
      <w:tcPr>
        <w:shd w:val="clear" w:color="auto"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BFBFBF" w:themeFill="text1" w:themeFillTint="40"/>
      </w:tcPr>
    </w:tblStylePr>
    <w:tblStylePr w:type="band2Vert">
      <w:pPr>
        <w:snapToGrid/>
      </w:pPr>
    </w:tblStylePr>
    <w:tblStylePr w:type="band1Horz">
      <w:pPr>
        <w:snapToGrid/>
      </w:pPr>
      <w:rPr>
        <w:rFonts w:ascii="Arial" w:hAnsi="Arial"/>
        <w:color w:val="404040"/>
        <w:sz w:val="22"/>
      </w:rPr>
      <w:tblPr/>
      <w:tcPr>
        <w:shd w:val="clear" w:color="auto"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2">
    <w:name w:val="清单表 5 深色1"/>
    <w:basedOn w:val="a1"/>
    <w:uiPriority w:val="99"/>
    <w:qFormat/>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left w:w="0" w:type="dxa"/>
        <w:right w:w="0" w:type="dxa"/>
      </w:tblCellMar>
    </w:tblPr>
    <w:tblStylePr w:type="firstRow">
      <w:pPr>
        <w:snapToGrid/>
      </w:pPr>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pPr>
        <w:snapToGrid/>
      </w:pPr>
      <w:tblPr/>
      <w:tcPr>
        <w:tcBorders>
          <w:left w:val="single" w:sz="4" w:space="0" w:color="FFFFFF" w:themeColor="light1"/>
          <w:right w:val="single" w:sz="32" w:space="0" w:color="7F7F7F" w:themeColor="text1" w:themeTint="80"/>
        </w:tcBorders>
      </w:tcPr>
    </w:tblStylePr>
    <w:tblStylePr w:type="band1Vert">
      <w:pPr>
        <w:snapToGrid/>
      </w:pPr>
      <w:tblPr/>
      <w:tcPr>
        <w:tcBorders>
          <w:left w:val="single" w:sz="4" w:space="0" w:color="FFFFFF" w:themeColor="light1"/>
          <w:right w:val="single" w:sz="4" w:space="0" w:color="FFFFFF" w:themeColor="light1"/>
        </w:tcBorders>
        <w:shd w:val="clear" w:color="auto" w:fill="7F7F7F" w:themeFill="text1" w:themeFillTint="80"/>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auto" w:fill="7F7F7F" w:themeFill="text1" w:themeFillTint="80"/>
      </w:tcPr>
    </w:tblStylePr>
    <w:tblStylePr w:type="band2Horz">
      <w:pPr>
        <w:snapToGrid/>
      </w:pPr>
      <w:tblPr/>
      <w:tcPr>
        <w:tcBorders>
          <w:top w:val="single" w:sz="4" w:space="0" w:color="FFFFFF" w:themeColor="light1"/>
          <w:bottom w:val="single" w:sz="4" w:space="0" w:color="FFFFFF" w:themeColor="light1"/>
        </w:tcBorders>
        <w:shd w:val="clear" w:color="auto" w:fill="7F7F7F"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1">
    <w:name w:val="清单表 6 彩色1"/>
    <w:basedOn w:val="a1"/>
    <w:uiPriority w:val="99"/>
    <w:qFormat/>
    <w:tblPr>
      <w:tblBorders>
        <w:top w:val="single" w:sz="4" w:space="0" w:color="7F7F7F" w:themeColor="text1" w:themeTint="80"/>
        <w:bottom w:val="single" w:sz="4" w:space="0" w:color="7F7F7F" w:themeColor="text1" w:themeTint="80"/>
      </w:tblBorders>
      <w:tblCellMar>
        <w:left w:w="0" w:type="dxa"/>
        <w:right w:w="0" w:type="dxa"/>
      </w:tblCellMar>
    </w:tblPr>
    <w:tblStylePr w:type="firstRow">
      <w:pPr>
        <w:snapToGrid/>
      </w:pPr>
      <w:rPr>
        <w:b/>
        <w:color w:val="000000" w:themeColor="text1"/>
      </w:rPr>
      <w:tblPr/>
      <w:tcPr>
        <w:tcBorders>
          <w:bottom w:val="single" w:sz="4" w:space="0" w:color="7F7F7F" w:themeColor="text1" w:themeTint="80"/>
        </w:tcBorders>
      </w:tcPr>
    </w:tblStylePr>
    <w:tblStylePr w:type="lastRow">
      <w:pPr>
        <w:snapToGrid/>
      </w:pPr>
      <w:rPr>
        <w:b/>
        <w:color w:val="000000" w:themeColor="text1"/>
      </w:rPr>
      <w:tblPr/>
      <w:tcPr>
        <w:tcBorders>
          <w:top w:val="single" w:sz="4" w:space="0" w:color="7F7F7F" w:themeColor="text1" w:themeTint="8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blPr/>
      <w:tcPr>
        <w:shd w:val="clear" w:color="auto" w:fill="BFBFBF" w:themeFill="text1" w:themeFillTint="40"/>
      </w:tcPr>
    </w:tblStylePr>
    <w:tblStylePr w:type="band2Vert">
      <w:pPr>
        <w:snapToGrid/>
      </w:pPr>
    </w:tblStylePr>
    <w:tblStylePr w:type="band1Horz">
      <w:pPr>
        <w:snapToGrid/>
      </w:pPr>
      <w:rPr>
        <w:rFonts w:ascii="Arial" w:hAnsi="Arial"/>
        <w:color w:val="000000" w:themeColor="text1"/>
        <w:sz w:val="22"/>
      </w:rPr>
      <w:tblPr/>
      <w:tcPr>
        <w:shd w:val="clear" w:color="auto" w:fill="BFBFBF"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1">
    <w:name w:val="清单表 7 彩色1"/>
    <w:basedOn w:val="a1"/>
    <w:uiPriority w:val="99"/>
    <w:qFormat/>
    <w:tblPr>
      <w:tblBorders>
        <w:right w:val="single" w:sz="4" w:space="0" w:color="7F7F7F" w:themeColor="text1" w:themeTint="80"/>
      </w:tblBorders>
      <w:tblCellMar>
        <w:left w:w="0" w:type="dxa"/>
        <w:right w:w="0" w:type="dxa"/>
      </w:tblCellMar>
    </w:tblPr>
    <w:tblStylePr w:type="firstRow">
      <w:pPr>
        <w:snapToGrid/>
      </w:pPr>
      <w:rPr>
        <w:rFonts w:ascii="Arial" w:hAnsi="Arial"/>
        <w:i/>
        <w:color w:val="7F7F7F" w:themeColor="text1" w:themeTint="80"/>
        <w:sz w:val="22"/>
      </w:rPr>
      <w:tblPr/>
      <w:tcPr>
        <w:tcBorders>
          <w:top w:val="nil"/>
          <w:left w:val="nil"/>
          <w:bottom w:val="single" w:sz="4" w:space="0" w:color="7F7F7F" w:themeColor="text1" w:themeTint="80"/>
          <w:right w:val="nil"/>
        </w:tcBorders>
        <w:shd w:val="clear" w:color="auto" w:fill="FFFFFF" w:themeFill="light1"/>
      </w:tcPr>
    </w:tblStylePr>
    <w:tblStylePr w:type="lastRow">
      <w:pPr>
        <w:snapToGrid/>
      </w:pPr>
      <w:rPr>
        <w:rFonts w:ascii="Arial" w:hAnsi="Arial"/>
        <w:i/>
        <w:color w:val="7F7F7F" w:themeColor="text1" w:themeTint="80"/>
        <w:sz w:val="22"/>
      </w:rPr>
      <w:tblPr/>
      <w:tcPr>
        <w:tcBorders>
          <w:top w:val="single" w:sz="4" w:space="0" w:color="7F7F7F" w:themeColor="text1" w:themeTint="80"/>
          <w:left w:val="nil"/>
          <w:bottom w:val="nil"/>
          <w:right w:val="nil"/>
        </w:tcBorders>
        <w:shd w:val="clear" w:color="auto" w:fill="FFFFFF" w:themeFill="light1"/>
      </w:tcPr>
    </w:tblStylePr>
    <w:tblStylePr w:type="firstCol">
      <w:pPr>
        <w:snapToGrid/>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auto" w:fill="FFFFFF"/>
      </w:tcPr>
    </w:tblStylePr>
    <w:tblStylePr w:type="lastCol">
      <w:pPr>
        <w:snapToGrid/>
      </w:pPr>
      <w:rPr>
        <w:rFonts w:ascii="Arial" w:hAnsi="Arial"/>
        <w:i/>
        <w:color w:val="7F7F7F" w:themeColor="text1" w:themeTint="80"/>
        <w:sz w:val="22"/>
      </w:rPr>
      <w:tblPr/>
      <w:tcPr>
        <w:tcBorders>
          <w:top w:val="nil"/>
          <w:left w:val="single" w:sz="4" w:space="0" w:color="7F7F7F" w:themeColor="text1" w:themeTint="80"/>
          <w:bottom w:val="nil"/>
          <w:right w:val="nil"/>
        </w:tcBorders>
        <w:shd w:val="clear" w:color="auto" w:fill="FFFFFF"/>
      </w:tcPr>
    </w:tblStylePr>
    <w:tblStylePr w:type="band1Vert">
      <w:pPr>
        <w:snapToGrid/>
      </w:pPr>
      <w:tblPr/>
      <w:tcPr>
        <w:shd w:val="clear" w:color="auto" w:fill="BFBFBF" w:themeFill="text1" w:themeFillTint="40"/>
      </w:tcPr>
    </w:tblStylePr>
    <w:tblStylePr w:type="band2Vert">
      <w:pPr>
        <w:snapToGrid/>
      </w:pPr>
    </w:tblStylePr>
    <w:tblStylePr w:type="band1Horz">
      <w:pPr>
        <w:snapToGrid/>
      </w:pPr>
      <w:rPr>
        <w:rFonts w:ascii="Arial" w:hAnsi="Arial"/>
        <w:color w:val="7F7F7F" w:themeColor="text1" w:themeTint="80"/>
        <w:sz w:val="22"/>
      </w:rPr>
      <w:tblPr/>
      <w:tcPr>
        <w:shd w:val="clear" w:color="auto" w:fill="BFBFBF" w:themeFill="text1" w:themeFillTint="40"/>
      </w:tcPr>
    </w:tblStylePr>
    <w:tblStylePr w:type="band2Horz">
      <w:pPr>
        <w:snapToGrid/>
      </w:pPr>
      <w:rPr>
        <w:rFonts w:ascii="Arial" w:hAnsi="Arial"/>
        <w:color w:val="7F7F7F" w:themeColor="tex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paragraph" w:customStyle="1" w:styleId="112">
    <w:name w:val="标题 11"/>
    <w:basedOn w:val="a"/>
    <w:next w:val="a"/>
    <w:link w:val="1Char"/>
    <w:qFormat/>
    <w:pPr>
      <w:keepNext/>
      <w:keepLines/>
      <w:spacing w:before="120" w:after="120" w:line="360" w:lineRule="auto"/>
      <w:outlineLvl w:val="0"/>
    </w:pPr>
    <w:rPr>
      <w:rFonts w:ascii="宋体"/>
      <w:b/>
      <w:color w:val="000000"/>
      <w:sz w:val="24"/>
    </w:rPr>
  </w:style>
  <w:style w:type="paragraph" w:customStyle="1" w:styleId="213">
    <w:name w:val="标题 21"/>
    <w:basedOn w:val="a"/>
    <w:next w:val="a"/>
    <w:link w:val="2Char"/>
    <w:qFormat/>
    <w:pPr>
      <w:keepNext/>
      <w:keepLines/>
      <w:spacing w:before="260" w:after="260" w:line="413" w:lineRule="auto"/>
      <w:outlineLvl w:val="1"/>
    </w:pPr>
    <w:rPr>
      <w:rFonts w:ascii="Arial" w:eastAsia="黑体" w:hAnsi="Arial"/>
      <w:b/>
      <w:sz w:val="32"/>
    </w:rPr>
  </w:style>
  <w:style w:type="paragraph" w:customStyle="1" w:styleId="313">
    <w:name w:val="标题 31"/>
    <w:basedOn w:val="a"/>
    <w:next w:val="a"/>
    <w:link w:val="3Char"/>
    <w:qFormat/>
    <w:pPr>
      <w:keepNext/>
      <w:keepLines/>
      <w:spacing w:before="260" w:after="260" w:line="413" w:lineRule="auto"/>
      <w:outlineLvl w:val="2"/>
    </w:pPr>
    <w:rPr>
      <w:b/>
      <w:sz w:val="32"/>
    </w:rPr>
  </w:style>
  <w:style w:type="paragraph" w:customStyle="1" w:styleId="1110">
    <w:name w:val="标题 111"/>
    <w:link w:val="Heading1Char"/>
    <w:uiPriority w:val="9"/>
    <w:qFormat/>
    <w:pPr>
      <w:keepNext/>
      <w:keepLines/>
      <w:pBdr>
        <w:top w:val="none" w:sz="0" w:space="0" w:color="000000"/>
        <w:left w:val="none" w:sz="0" w:space="0" w:color="000000"/>
        <w:bottom w:val="none" w:sz="0" w:space="0" w:color="000000"/>
        <w:right w:val="none" w:sz="0" w:space="0" w:color="000000"/>
        <w:between w:val="none" w:sz="0" w:space="0" w:color="000000"/>
      </w:pBdr>
      <w:spacing w:before="480" w:after="200"/>
      <w:outlineLvl w:val="0"/>
    </w:pPr>
    <w:rPr>
      <w:rFonts w:ascii="Arial" w:eastAsia="Arial" w:hAnsi="Arial" w:cs="Arial"/>
      <w:sz w:val="28"/>
      <w:szCs w:val="40"/>
      <w:lang w:eastAsia="en-US" w:bidi="en-US"/>
    </w:rPr>
  </w:style>
  <w:style w:type="character" w:customStyle="1" w:styleId="Heading1Char">
    <w:name w:val="Heading 1 Char"/>
    <w:link w:val="1110"/>
    <w:uiPriority w:val="9"/>
    <w:qFormat/>
    <w:rPr>
      <w:rFonts w:ascii="Arial" w:eastAsia="Arial" w:hAnsi="Arial" w:cs="Arial"/>
      <w:sz w:val="40"/>
      <w:szCs w:val="40"/>
    </w:rPr>
  </w:style>
  <w:style w:type="paragraph" w:customStyle="1" w:styleId="2110">
    <w:name w:val="标题 211"/>
    <w:link w:val="Heading2Char"/>
    <w:uiPriority w:val="9"/>
    <w:unhideWhenUsed/>
    <w:qFormat/>
    <w:pPr>
      <w:keepNext/>
      <w:keepLines/>
      <w:pBdr>
        <w:top w:val="none" w:sz="0" w:space="0" w:color="000000"/>
        <w:left w:val="none" w:sz="0" w:space="0" w:color="000000"/>
        <w:bottom w:val="none" w:sz="0" w:space="0" w:color="000000"/>
        <w:right w:val="none" w:sz="0" w:space="0" w:color="000000"/>
        <w:between w:val="none" w:sz="0" w:space="0" w:color="000000"/>
      </w:pBdr>
      <w:spacing w:before="360" w:after="200"/>
      <w:outlineLvl w:val="1"/>
    </w:pPr>
    <w:rPr>
      <w:rFonts w:ascii="Arial" w:eastAsia="Arial" w:hAnsi="Arial" w:cs="Arial"/>
      <w:sz w:val="28"/>
      <w:szCs w:val="22"/>
      <w:lang w:eastAsia="en-US" w:bidi="en-US"/>
    </w:rPr>
  </w:style>
  <w:style w:type="character" w:customStyle="1" w:styleId="Heading2Char">
    <w:name w:val="Heading 2 Char"/>
    <w:link w:val="2110"/>
    <w:uiPriority w:val="9"/>
    <w:qFormat/>
    <w:rPr>
      <w:rFonts w:ascii="Arial" w:eastAsia="Arial" w:hAnsi="Arial" w:cs="Arial"/>
      <w:sz w:val="34"/>
    </w:rPr>
  </w:style>
  <w:style w:type="paragraph" w:customStyle="1" w:styleId="3110">
    <w:name w:val="标题 311"/>
    <w:link w:val="Heading3Char"/>
    <w:uiPriority w:val="9"/>
    <w:unhideWhenUsed/>
    <w:qFormat/>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outlineLvl w:val="2"/>
    </w:pPr>
    <w:rPr>
      <w:rFonts w:ascii="Arial" w:eastAsia="Arial" w:hAnsi="Arial" w:cs="Arial"/>
      <w:sz w:val="28"/>
      <w:szCs w:val="30"/>
      <w:lang w:eastAsia="en-US" w:bidi="en-US"/>
    </w:rPr>
  </w:style>
  <w:style w:type="character" w:customStyle="1" w:styleId="Heading3Char">
    <w:name w:val="Heading 3 Char"/>
    <w:link w:val="3110"/>
    <w:uiPriority w:val="9"/>
    <w:qFormat/>
    <w:rPr>
      <w:rFonts w:ascii="Arial" w:eastAsia="Arial" w:hAnsi="Arial" w:cs="Arial"/>
      <w:sz w:val="30"/>
      <w:szCs w:val="30"/>
    </w:rPr>
  </w:style>
  <w:style w:type="paragraph" w:customStyle="1" w:styleId="4110">
    <w:name w:val="标题 411"/>
    <w:link w:val="Heading4Char"/>
    <w:uiPriority w:val="9"/>
    <w:unhideWhenUsed/>
    <w:qFormat/>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outlineLvl w:val="3"/>
    </w:pPr>
    <w:rPr>
      <w:rFonts w:ascii="Arial" w:eastAsia="Arial" w:hAnsi="Arial" w:cs="Arial"/>
      <w:b/>
      <w:bCs/>
      <w:sz w:val="26"/>
      <w:szCs w:val="26"/>
      <w:lang w:eastAsia="en-US" w:bidi="en-US"/>
    </w:rPr>
  </w:style>
  <w:style w:type="character" w:customStyle="1" w:styleId="Heading4Char">
    <w:name w:val="Heading 4 Char"/>
    <w:link w:val="4110"/>
    <w:uiPriority w:val="9"/>
    <w:qFormat/>
    <w:rPr>
      <w:rFonts w:ascii="Arial" w:eastAsia="Arial" w:hAnsi="Arial" w:cs="Arial"/>
      <w:b/>
      <w:bCs/>
      <w:sz w:val="26"/>
      <w:szCs w:val="26"/>
    </w:rPr>
  </w:style>
  <w:style w:type="paragraph" w:customStyle="1" w:styleId="5110">
    <w:name w:val="标题 511"/>
    <w:link w:val="Heading5Char"/>
    <w:uiPriority w:val="9"/>
    <w:unhideWhenUsed/>
    <w:qFormat/>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outlineLvl w:val="4"/>
    </w:pPr>
    <w:rPr>
      <w:rFonts w:ascii="Arial" w:eastAsia="Arial" w:hAnsi="Arial" w:cs="Arial"/>
      <w:b/>
      <w:bCs/>
      <w:sz w:val="24"/>
      <w:szCs w:val="24"/>
      <w:lang w:eastAsia="en-US" w:bidi="en-US"/>
    </w:rPr>
  </w:style>
  <w:style w:type="character" w:customStyle="1" w:styleId="Heading5Char">
    <w:name w:val="Heading 5 Char"/>
    <w:link w:val="5110"/>
    <w:uiPriority w:val="9"/>
    <w:qFormat/>
    <w:rPr>
      <w:rFonts w:ascii="Arial" w:eastAsia="Arial" w:hAnsi="Arial" w:cs="Arial"/>
      <w:b/>
      <w:bCs/>
      <w:sz w:val="24"/>
      <w:szCs w:val="24"/>
    </w:rPr>
  </w:style>
  <w:style w:type="paragraph" w:customStyle="1" w:styleId="6110">
    <w:name w:val="标题 611"/>
    <w:link w:val="Heading6Char"/>
    <w:uiPriority w:val="9"/>
    <w:unhideWhenUsed/>
    <w:qFormat/>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outlineLvl w:val="5"/>
    </w:pPr>
    <w:rPr>
      <w:rFonts w:ascii="Arial" w:eastAsia="Arial" w:hAnsi="Arial" w:cs="Arial"/>
      <w:b/>
      <w:bCs/>
      <w:sz w:val="22"/>
      <w:szCs w:val="22"/>
      <w:lang w:eastAsia="en-US" w:bidi="en-US"/>
    </w:rPr>
  </w:style>
  <w:style w:type="character" w:customStyle="1" w:styleId="Heading6Char">
    <w:name w:val="Heading 6 Char"/>
    <w:link w:val="6110"/>
    <w:uiPriority w:val="9"/>
    <w:qFormat/>
    <w:rPr>
      <w:rFonts w:ascii="Arial" w:eastAsia="Arial" w:hAnsi="Arial" w:cs="Arial"/>
      <w:b/>
      <w:bCs/>
      <w:sz w:val="22"/>
      <w:szCs w:val="22"/>
    </w:rPr>
  </w:style>
  <w:style w:type="paragraph" w:customStyle="1" w:styleId="7110">
    <w:name w:val="标题 711"/>
    <w:link w:val="Heading7Char"/>
    <w:uiPriority w:val="9"/>
    <w:unhideWhenUsed/>
    <w:qFormat/>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outlineLvl w:val="6"/>
    </w:pPr>
    <w:rPr>
      <w:rFonts w:ascii="Arial" w:eastAsia="Arial" w:hAnsi="Arial" w:cs="Arial"/>
      <w:b/>
      <w:bCs/>
      <w:i/>
      <w:iCs/>
      <w:sz w:val="22"/>
      <w:szCs w:val="22"/>
      <w:lang w:eastAsia="en-US" w:bidi="en-US"/>
    </w:rPr>
  </w:style>
  <w:style w:type="character" w:customStyle="1" w:styleId="Heading7Char">
    <w:name w:val="Heading 7 Char"/>
    <w:link w:val="7110"/>
    <w:uiPriority w:val="9"/>
    <w:qFormat/>
    <w:rPr>
      <w:rFonts w:ascii="Arial" w:eastAsia="Arial" w:hAnsi="Arial" w:cs="Arial"/>
      <w:b/>
      <w:bCs/>
      <w:i/>
      <w:iCs/>
      <w:sz w:val="22"/>
      <w:szCs w:val="22"/>
    </w:rPr>
  </w:style>
  <w:style w:type="paragraph" w:customStyle="1" w:styleId="811">
    <w:name w:val="标题 811"/>
    <w:link w:val="Heading8Char"/>
    <w:uiPriority w:val="9"/>
    <w:unhideWhenUsed/>
    <w:qFormat/>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outlineLvl w:val="7"/>
    </w:pPr>
    <w:rPr>
      <w:rFonts w:ascii="Arial" w:eastAsia="Arial" w:hAnsi="Arial" w:cs="Arial"/>
      <w:i/>
      <w:iCs/>
      <w:sz w:val="22"/>
      <w:szCs w:val="22"/>
      <w:lang w:eastAsia="en-US" w:bidi="en-US"/>
    </w:rPr>
  </w:style>
  <w:style w:type="character" w:customStyle="1" w:styleId="Heading8Char">
    <w:name w:val="Heading 8 Char"/>
    <w:link w:val="811"/>
    <w:uiPriority w:val="9"/>
    <w:qFormat/>
    <w:rPr>
      <w:rFonts w:ascii="Arial" w:eastAsia="Arial" w:hAnsi="Arial" w:cs="Arial"/>
      <w:i/>
      <w:iCs/>
      <w:sz w:val="22"/>
      <w:szCs w:val="22"/>
    </w:rPr>
  </w:style>
  <w:style w:type="paragraph" w:customStyle="1" w:styleId="911">
    <w:name w:val="标题 911"/>
    <w:link w:val="Heading9Char"/>
    <w:uiPriority w:val="9"/>
    <w:unhideWhenUsed/>
    <w:qFormat/>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outlineLvl w:val="8"/>
    </w:pPr>
    <w:rPr>
      <w:rFonts w:ascii="Arial" w:eastAsia="Arial" w:hAnsi="Arial" w:cs="Arial"/>
      <w:i/>
      <w:iCs/>
      <w:sz w:val="21"/>
      <w:szCs w:val="21"/>
      <w:lang w:eastAsia="en-US" w:bidi="en-US"/>
    </w:rPr>
  </w:style>
  <w:style w:type="character" w:customStyle="1" w:styleId="Heading9Char">
    <w:name w:val="Heading 9 Char"/>
    <w:link w:val="911"/>
    <w:uiPriority w:val="9"/>
    <w:qFormat/>
    <w:rPr>
      <w:rFonts w:ascii="Arial" w:eastAsia="Arial" w:hAnsi="Arial" w:cs="Arial"/>
      <w:i/>
      <w:iCs/>
      <w:sz w:val="21"/>
      <w:szCs w:val="21"/>
    </w:rPr>
  </w:style>
  <w:style w:type="paragraph" w:styleId="aff2">
    <w:name w:val="List Paragraph"/>
    <w:uiPriority w:val="34"/>
    <w:qFormat/>
    <w:pPr>
      <w:pBdr>
        <w:top w:val="none" w:sz="0" w:space="0" w:color="000000"/>
        <w:left w:val="none" w:sz="0" w:space="0" w:color="000000"/>
        <w:bottom w:val="none" w:sz="0" w:space="0" w:color="000000"/>
        <w:right w:val="none" w:sz="0" w:space="0" w:color="000000"/>
        <w:between w:val="none" w:sz="0" w:space="0" w:color="000000"/>
      </w:pBdr>
      <w:ind w:left="720"/>
      <w:contextualSpacing/>
    </w:pPr>
    <w:rPr>
      <w:rFonts w:ascii="Calibri" w:hAnsi="Calibri"/>
      <w:szCs w:val="22"/>
      <w:lang w:eastAsia="en-US" w:bidi="en-US"/>
    </w:rPr>
  </w:style>
  <w:style w:type="paragraph" w:styleId="aff3">
    <w:name w:val="No Spacing"/>
    <w:uiPriority w:val="1"/>
    <w:qFormat/>
    <w:pPr>
      <w:pBdr>
        <w:top w:val="none" w:sz="0" w:space="0" w:color="000000"/>
        <w:left w:val="none" w:sz="0" w:space="0" w:color="000000"/>
        <w:bottom w:val="none" w:sz="0" w:space="0" w:color="000000"/>
        <w:right w:val="none" w:sz="0" w:space="0" w:color="000000"/>
        <w:between w:val="none" w:sz="0" w:space="0" w:color="000000"/>
      </w:pBdr>
    </w:pPr>
    <w:rPr>
      <w:rFonts w:ascii="Calibri" w:hAnsi="Calibri"/>
      <w:szCs w:val="22"/>
      <w:lang w:eastAsia="en-US" w:bidi="en-US"/>
    </w:rPr>
  </w:style>
  <w:style w:type="character" w:customStyle="1" w:styleId="TitleChar">
    <w:name w:val="Title Char"/>
    <w:uiPriority w:val="10"/>
    <w:qFormat/>
    <w:rPr>
      <w:sz w:val="48"/>
      <w:szCs w:val="48"/>
    </w:rPr>
  </w:style>
  <w:style w:type="character" w:customStyle="1" w:styleId="af5">
    <w:name w:val="副标题 字符"/>
    <w:link w:val="af4"/>
    <w:uiPriority w:val="11"/>
    <w:qFormat/>
    <w:rPr>
      <w:sz w:val="24"/>
      <w:szCs w:val="24"/>
    </w:rPr>
  </w:style>
  <w:style w:type="paragraph" w:styleId="aff4">
    <w:name w:val="Quote"/>
    <w:link w:val="aff5"/>
    <w:uiPriority w:val="29"/>
    <w:qFormat/>
    <w:pPr>
      <w:pBdr>
        <w:top w:val="none" w:sz="0" w:space="0" w:color="000000"/>
        <w:left w:val="none" w:sz="0" w:space="0" w:color="000000"/>
        <w:bottom w:val="none" w:sz="0" w:space="0" w:color="000000"/>
        <w:right w:val="none" w:sz="0" w:space="0" w:color="000000"/>
        <w:between w:val="none" w:sz="0" w:space="0" w:color="000000"/>
      </w:pBdr>
      <w:ind w:left="720" w:right="720"/>
    </w:pPr>
    <w:rPr>
      <w:rFonts w:ascii="Calibri" w:hAnsi="Calibri"/>
      <w:i/>
      <w:szCs w:val="22"/>
      <w:lang w:eastAsia="en-US" w:bidi="en-US"/>
    </w:rPr>
  </w:style>
  <w:style w:type="character" w:customStyle="1" w:styleId="aff5">
    <w:name w:val="引用 字符"/>
    <w:link w:val="aff4"/>
    <w:uiPriority w:val="29"/>
    <w:qFormat/>
    <w:rPr>
      <w:i/>
    </w:rPr>
  </w:style>
  <w:style w:type="paragraph" w:styleId="aff6">
    <w:name w:val="Intense Quote"/>
    <w:link w:val="aff7"/>
    <w:uiPriority w:val="30"/>
    <w:qFormat/>
    <w:pPr>
      <w:pBdr>
        <w:top w:val="single" w:sz="4" w:space="5" w:color="FFFFFF"/>
        <w:left w:val="single" w:sz="4" w:space="10" w:color="FFFFFF"/>
        <w:bottom w:val="single" w:sz="4" w:space="5" w:color="FFFFFF"/>
        <w:right w:val="single" w:sz="4" w:space="10" w:color="FFFFFF"/>
        <w:between w:val="none" w:sz="0" w:space="0" w:color="000000"/>
      </w:pBdr>
      <w:shd w:val="clear" w:color="auto" w:fill="F2F2F2"/>
      <w:ind w:left="720" w:right="720"/>
    </w:pPr>
    <w:rPr>
      <w:rFonts w:ascii="Calibri" w:hAnsi="Calibri"/>
      <w:i/>
      <w:szCs w:val="22"/>
      <w:lang w:eastAsia="en-US" w:bidi="en-US"/>
    </w:rPr>
  </w:style>
  <w:style w:type="character" w:customStyle="1" w:styleId="aff7">
    <w:name w:val="明显引用 字符"/>
    <w:link w:val="aff6"/>
    <w:uiPriority w:val="30"/>
    <w:qFormat/>
    <w:rPr>
      <w:i/>
    </w:rPr>
  </w:style>
  <w:style w:type="paragraph" w:customStyle="1" w:styleId="10">
    <w:name w:val="页眉1"/>
    <w:link w:val="HeaderChar"/>
    <w:uiPriority w:val="99"/>
    <w:unhideWhenUsed/>
    <w:qFormat/>
    <w:pPr>
      <w:pBdr>
        <w:top w:val="none" w:sz="0" w:space="0" w:color="000000"/>
        <w:left w:val="none" w:sz="0" w:space="0" w:color="000000"/>
        <w:bottom w:val="none" w:sz="0" w:space="0" w:color="000000"/>
        <w:right w:val="none" w:sz="0" w:space="0" w:color="000000"/>
        <w:between w:val="none" w:sz="0" w:space="0" w:color="000000"/>
      </w:pBdr>
      <w:tabs>
        <w:tab w:val="center" w:pos="7143"/>
        <w:tab w:val="right" w:pos="14287"/>
      </w:tabs>
    </w:pPr>
    <w:rPr>
      <w:rFonts w:ascii="Calibri" w:hAnsi="Calibri"/>
      <w:szCs w:val="22"/>
      <w:lang w:eastAsia="en-US" w:bidi="en-US"/>
    </w:rPr>
  </w:style>
  <w:style w:type="character" w:customStyle="1" w:styleId="HeaderChar">
    <w:name w:val="Header Char"/>
    <w:link w:val="10"/>
    <w:uiPriority w:val="99"/>
    <w:qFormat/>
  </w:style>
  <w:style w:type="paragraph" w:customStyle="1" w:styleId="12">
    <w:name w:val="页脚1"/>
    <w:link w:val="FooterChar"/>
    <w:uiPriority w:val="99"/>
    <w:unhideWhenUsed/>
    <w:qFormat/>
    <w:pPr>
      <w:pBdr>
        <w:top w:val="none" w:sz="0" w:space="0" w:color="000000"/>
        <w:left w:val="none" w:sz="0" w:space="0" w:color="000000"/>
        <w:bottom w:val="none" w:sz="0" w:space="0" w:color="000000"/>
        <w:right w:val="none" w:sz="0" w:space="0" w:color="000000"/>
        <w:between w:val="none" w:sz="0" w:space="0" w:color="000000"/>
      </w:pBdr>
      <w:tabs>
        <w:tab w:val="center" w:pos="7143"/>
        <w:tab w:val="right" w:pos="14287"/>
      </w:tabs>
    </w:pPr>
    <w:rPr>
      <w:rFonts w:ascii="Calibri" w:hAnsi="Calibri"/>
      <w:szCs w:val="22"/>
      <w:lang w:eastAsia="en-US" w:bidi="en-US"/>
    </w:rPr>
  </w:style>
  <w:style w:type="character" w:customStyle="1" w:styleId="FooterChar">
    <w:name w:val="Footer Char"/>
    <w:link w:val="12"/>
    <w:uiPriority w:val="99"/>
    <w:qFormat/>
  </w:style>
  <w:style w:type="table" w:customStyle="1" w:styleId="TableGridLight">
    <w:name w:val="Table Grid Light"/>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1">
    <w:name w:val="Grid Table 1 Light - Accent 1"/>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pPr>
        <w:snapToGrid/>
      </w:pPr>
      <w:rPr>
        <w:b/>
        <w:color w:val="404040"/>
      </w:rPr>
      <w:tblPr/>
      <w:tcPr>
        <w:tcBorders>
          <w:bottom w:val="single" w:sz="12" w:space="0" w:color="97B4D8" w:themeColor="accen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2">
    <w:name w:val="Grid Table 1 Light - Accent 2"/>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pPr>
        <w:snapToGrid/>
      </w:pPr>
      <w:rPr>
        <w:b/>
        <w:color w:val="404040"/>
      </w:rPr>
      <w:tblPr/>
      <w:tcPr>
        <w:tcBorders>
          <w:bottom w:val="single" w:sz="12" w:space="0" w:color="DA9896" w:themeColor="accent2"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3">
    <w:name w:val="Grid Table 1 Light - Accent 3"/>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pPr>
        <w:snapToGrid/>
      </w:pPr>
      <w:rPr>
        <w:b/>
        <w:color w:val="404040"/>
      </w:rPr>
      <w:tblPr/>
      <w:tcPr>
        <w:tcBorders>
          <w:bottom w:val="single" w:sz="12" w:space="0" w:color="C4D79D" w:themeColor="accent3"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4">
    <w:name w:val="Grid Table 1 Light - Accent 4"/>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pPr>
        <w:snapToGrid/>
      </w:pPr>
      <w:rPr>
        <w:b/>
        <w:color w:val="404040"/>
      </w:rPr>
      <w:tblPr/>
      <w:tcPr>
        <w:tcBorders>
          <w:bottom w:val="single" w:sz="12" w:space="0" w:color="B4A4C8" w:themeColor="accent4"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5">
    <w:name w:val="Grid Table 1 Light - Accent 5"/>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pPr>
        <w:snapToGrid/>
      </w:pPr>
      <w:rPr>
        <w:b/>
        <w:color w:val="404040"/>
      </w:rPr>
      <w:tblPr/>
      <w:tcPr>
        <w:tcBorders>
          <w:bottom w:val="single" w:sz="12" w:space="0" w:color="95CEDD" w:themeColor="accent5"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6">
    <w:name w:val="Grid Table 1 Light - Accent 6"/>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pPr>
        <w:snapToGrid/>
      </w:pPr>
      <w:rPr>
        <w:b/>
        <w:color w:val="404040"/>
      </w:rPr>
      <w:tblPr/>
      <w:tcPr>
        <w:tcBorders>
          <w:bottom w:val="single" w:sz="12" w:space="0" w:color="FAC192" w:themeColor="accent6"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1">
    <w:name w:val="Grid Table 2 - Accent 1"/>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pPr>
        <w:snapToGrid/>
      </w:pPr>
      <w:rPr>
        <w:b/>
        <w:color w:val="404040"/>
      </w:rPr>
      <w:tblPr/>
      <w:tcPr>
        <w:tcBorders>
          <w:top w:val="nil"/>
          <w:left w:val="nil"/>
          <w:bottom w:val="single" w:sz="12" w:space="0" w:color="5D8AC2" w:themeColor="accent1" w:themeTint="EA"/>
          <w:right w:val="nil"/>
        </w:tcBorders>
        <w:shd w:val="clear" w:color="auto" w:fill="FFFFFF"/>
      </w:tcPr>
    </w:tblStylePr>
    <w:tblStylePr w:type="lastRow">
      <w:pPr>
        <w:snapToGrid/>
      </w:pPr>
      <w:rPr>
        <w:b/>
        <w:color w:val="404040"/>
      </w:rPr>
      <w:tblPr/>
      <w:tcPr>
        <w:tcBorders>
          <w:top w:val="single" w:sz="4" w:space="0" w:color="5D8AC2" w:themeColor="accent1" w:themeTint="EA"/>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DAE5F1" w:themeFill="accent1" w:themeFillTint="34"/>
      </w:tcPr>
    </w:tblStylePr>
    <w:tblStylePr w:type="band2Vert">
      <w:pPr>
        <w:snapToGrid/>
      </w:pPr>
    </w:tblStylePr>
    <w:tblStylePr w:type="band1Horz">
      <w:pPr>
        <w:snapToGrid/>
      </w:pPr>
      <w:rPr>
        <w:rFonts w:ascii="Arial" w:hAnsi="Arial"/>
        <w:color w:val="404040"/>
        <w:sz w:val="22"/>
      </w:rPr>
      <w:tblPr/>
      <w:tcPr>
        <w:shd w:val="clear" w:color="auto" w:fill="DAE5F1"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2">
    <w:name w:val="Grid Table 2 - Accent 2"/>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pPr>
        <w:snapToGrid/>
      </w:pPr>
      <w:rPr>
        <w:b/>
        <w:color w:val="404040"/>
      </w:rPr>
      <w:tblPr/>
      <w:tcPr>
        <w:tcBorders>
          <w:top w:val="nil"/>
          <w:left w:val="nil"/>
          <w:bottom w:val="single" w:sz="12" w:space="0" w:color="D99695" w:themeColor="accent2" w:themeTint="97"/>
          <w:right w:val="nil"/>
        </w:tcBorders>
        <w:shd w:val="clear" w:color="auto" w:fill="FFFFFF"/>
      </w:tcPr>
    </w:tblStylePr>
    <w:tblStylePr w:type="lastRow">
      <w:pPr>
        <w:snapToGrid/>
      </w:pPr>
      <w:rPr>
        <w:b/>
        <w:color w:val="404040"/>
      </w:rPr>
      <w:tblPr/>
      <w:tcPr>
        <w:tcBorders>
          <w:top w:val="single" w:sz="4" w:space="0" w:color="D99695" w:themeColor="accent2" w:themeTint="97"/>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auto"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3">
    <w:name w:val="Grid Table 2 - Accent 3"/>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pPr>
        <w:snapToGrid/>
      </w:pPr>
      <w:rPr>
        <w:b/>
        <w:color w:val="404040"/>
      </w:rPr>
      <w:tblPr/>
      <w:tcPr>
        <w:tcBorders>
          <w:top w:val="nil"/>
          <w:left w:val="nil"/>
          <w:bottom w:val="single" w:sz="12" w:space="0" w:color="9ABB59" w:themeColor="accent3" w:themeTint="FE"/>
          <w:right w:val="nil"/>
        </w:tcBorders>
        <w:shd w:val="clear" w:color="auto" w:fill="FFFFFF"/>
      </w:tcPr>
    </w:tblStylePr>
    <w:tblStylePr w:type="lastRow">
      <w:pPr>
        <w:snapToGrid/>
      </w:pPr>
      <w:rPr>
        <w:b/>
        <w:color w:val="404040"/>
      </w:rPr>
      <w:tblPr/>
      <w:tcPr>
        <w:tcBorders>
          <w:top w:val="single" w:sz="4" w:space="0" w:color="9ABB59" w:themeColor="accent3" w:themeTint="FE"/>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auto"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4">
    <w:name w:val="Grid Table 2 - Accent 4"/>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pPr>
        <w:snapToGrid/>
      </w:pPr>
      <w:rPr>
        <w:b/>
        <w:color w:val="404040"/>
      </w:rPr>
      <w:tblPr/>
      <w:tcPr>
        <w:tcBorders>
          <w:top w:val="nil"/>
          <w:left w:val="nil"/>
          <w:bottom w:val="single" w:sz="12" w:space="0" w:color="B2A1C6" w:themeColor="accent4" w:themeTint="9A"/>
          <w:right w:val="nil"/>
        </w:tcBorders>
        <w:shd w:val="clear" w:color="auto" w:fill="FFFFFF"/>
      </w:tcPr>
    </w:tblStylePr>
    <w:tblStylePr w:type="lastRow">
      <w:pPr>
        <w:snapToGrid/>
      </w:pPr>
      <w:rPr>
        <w:b/>
        <w:color w:val="404040"/>
      </w:rPr>
      <w:tblPr/>
      <w:tcPr>
        <w:tcBorders>
          <w:top w:val="single" w:sz="4" w:space="0" w:color="B2A1C6" w:themeColor="accent4" w:themeTint="9A"/>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auto"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5">
    <w:name w:val="Grid Table 2 - Accent 5"/>
    <w:uiPriority w:val="99"/>
    <w:qFormat/>
    <w:tblPr>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pPr>
        <w:snapToGrid/>
      </w:pPr>
      <w:rPr>
        <w:b/>
        <w:color w:val="404040"/>
      </w:rPr>
      <w:tblPr/>
      <w:tcPr>
        <w:tcBorders>
          <w:top w:val="nil"/>
          <w:left w:val="nil"/>
          <w:bottom w:val="single" w:sz="12" w:space="0" w:color="4BACC6" w:themeColor="accent5"/>
          <w:right w:val="nil"/>
        </w:tcBorders>
        <w:shd w:val="clear" w:color="auto" w:fill="FFFFFF"/>
      </w:tcPr>
    </w:tblStylePr>
    <w:tblStylePr w:type="lastRow">
      <w:pPr>
        <w:snapToGrid/>
      </w:pPr>
      <w:rPr>
        <w:b/>
        <w:color w:val="404040"/>
      </w:rPr>
      <w:tblPr/>
      <w:tcPr>
        <w:tcBorders>
          <w:top w:val="single" w:sz="4" w:space="0" w:color="4BACC6" w:themeColor="accent5"/>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auto"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6">
    <w:name w:val="Grid Table 2 - Accent 6"/>
    <w:uiPriority w:val="99"/>
    <w:qFormat/>
    <w:tblPr>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pPr>
        <w:snapToGrid/>
      </w:pPr>
      <w:rPr>
        <w:b/>
        <w:color w:val="404040"/>
      </w:rPr>
      <w:tblPr/>
      <w:tcPr>
        <w:tcBorders>
          <w:top w:val="nil"/>
          <w:left w:val="nil"/>
          <w:bottom w:val="single" w:sz="12" w:space="0" w:color="F79646" w:themeColor="accent6"/>
          <w:right w:val="nil"/>
        </w:tcBorders>
        <w:shd w:val="clear" w:color="auto" w:fill="FFFFFF"/>
      </w:tcPr>
    </w:tblStylePr>
    <w:tblStylePr w:type="lastRow">
      <w:pPr>
        <w:snapToGrid/>
      </w:pPr>
      <w:rPr>
        <w:b/>
        <w:color w:val="404040"/>
      </w:rPr>
      <w:tblPr/>
      <w:tcPr>
        <w:tcBorders>
          <w:top w:val="single" w:sz="4" w:space="0" w:color="F79646" w:themeColor="accent6"/>
          <w:left w:val="nil"/>
          <w:bottom w:val="nil"/>
          <w:right w:val="nil"/>
        </w:tcBorders>
        <w:shd w:val="clear" w:color="auto"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auto"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1">
    <w:name w:val="Grid Table 3 - Accent 1"/>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pPr>
        <w:snapToGrid/>
      </w:pPr>
      <w:rPr>
        <w:b/>
        <w:color w:val="404040"/>
      </w:rPr>
      <w:tblPr/>
      <w:tcPr>
        <w:tcBorders>
          <w:top w:val="nil"/>
          <w:left w:val="nil"/>
          <w:bottom w:val="nil"/>
          <w:right w:val="nil"/>
        </w:tcBorders>
        <w:shd w:val="clear" w:color="auto" w:fill="FFFFFF"/>
      </w:tcPr>
    </w:tblStylePr>
    <w:tblStylePr w:type="lastRow">
      <w:pPr>
        <w:snapToGrid/>
      </w:pPr>
      <w:rPr>
        <w:b/>
        <w:color w:val="404040"/>
      </w:rPr>
      <w:tblPr/>
      <w:tcPr>
        <w:tcBorders>
          <w:top w:val="nil"/>
          <w:left w:val="nil"/>
          <w:bottom w:val="nil"/>
          <w:right w:val="nil"/>
        </w:tcBorders>
        <w:shd w:val="clear" w:color="auto" w:fill="FFFFFF"/>
      </w:tcPr>
    </w:tblStylePr>
    <w:tblStylePr w:type="firstCol">
      <w:pPr>
        <w:snapToGrid/>
        <w:jc w:val="right"/>
      </w:pPr>
      <w:rPr>
        <w:i/>
        <w:color w:val="404040"/>
      </w:rPr>
      <w:tblPr/>
      <w:tcPr>
        <w:tcBorders>
          <w:top w:val="nil"/>
          <w:left w:val="nil"/>
          <w:bottom w:val="nil"/>
          <w:right w:val="nil"/>
        </w:tcBorders>
        <w:shd w:val="clear" w:color="auto" w:fill="FFFFFF"/>
      </w:tcPr>
    </w:tblStylePr>
    <w:tblStylePr w:type="lastCol">
      <w:pPr>
        <w:snapToGrid/>
      </w:pPr>
      <w:rPr>
        <w:i/>
        <w:color w:val="404040"/>
      </w:rPr>
      <w:tblPr/>
      <w:tcPr>
        <w:tcBorders>
          <w:top w:val="nil"/>
          <w:left w:val="nil"/>
          <w:bottom w:val="nil"/>
          <w:right w:val="nil"/>
        </w:tcBorders>
        <w:shd w:val="clear" w:color="auto" w:fill="FFFFFF"/>
      </w:tcPr>
    </w:tblStylePr>
    <w:tblStylePr w:type="band1Vert">
      <w:pPr>
        <w:snapToGrid/>
      </w:pPr>
      <w:rPr>
        <w:rFonts w:ascii="Arial" w:hAnsi="Arial"/>
        <w:color w:val="404040"/>
        <w:sz w:val="22"/>
      </w:rPr>
      <w:tblPr/>
      <w:tcPr>
        <w:shd w:val="clear" w:color="auto" w:fill="DAE5F1" w:themeFill="accent1" w:themeFillTint="34"/>
      </w:tcPr>
    </w:tblStylePr>
    <w:tblStylePr w:type="band2Vert">
      <w:pPr>
        <w:snapToGrid/>
      </w:pPr>
    </w:tblStylePr>
    <w:tblStylePr w:type="band1Horz">
      <w:pPr>
        <w:snapToGrid/>
      </w:pPr>
      <w:rPr>
        <w:rFonts w:ascii="Arial" w:hAnsi="Arial"/>
        <w:color w:val="404040"/>
        <w:sz w:val="22"/>
      </w:rPr>
      <w:tblPr/>
      <w:tcPr>
        <w:shd w:val="clear" w:color="auto" w:fill="DAE5F1"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2">
    <w:name w:val="Grid Table 3 - Accent 2"/>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pPr>
        <w:snapToGrid/>
      </w:pPr>
      <w:rPr>
        <w:b/>
        <w:color w:val="404040"/>
      </w:rPr>
      <w:tblPr/>
      <w:tcPr>
        <w:tcBorders>
          <w:top w:val="nil"/>
          <w:left w:val="nil"/>
          <w:bottom w:val="nil"/>
          <w:right w:val="nil"/>
        </w:tcBorders>
        <w:shd w:val="clear" w:color="auto" w:fill="FFFFFF"/>
      </w:tcPr>
    </w:tblStylePr>
    <w:tblStylePr w:type="lastRow">
      <w:pPr>
        <w:snapToGrid/>
      </w:pPr>
      <w:rPr>
        <w:b/>
        <w:color w:val="404040"/>
      </w:rPr>
      <w:tblPr/>
      <w:tcPr>
        <w:tcBorders>
          <w:top w:val="nil"/>
          <w:left w:val="nil"/>
          <w:bottom w:val="nil"/>
          <w:right w:val="nil"/>
        </w:tcBorders>
        <w:shd w:val="clear" w:color="auto" w:fill="FFFFFF"/>
      </w:tcPr>
    </w:tblStylePr>
    <w:tblStylePr w:type="firstCol">
      <w:pPr>
        <w:snapToGrid/>
        <w:jc w:val="right"/>
      </w:pPr>
      <w:rPr>
        <w:i/>
        <w:color w:val="404040"/>
      </w:rPr>
      <w:tblPr/>
      <w:tcPr>
        <w:tcBorders>
          <w:top w:val="nil"/>
          <w:left w:val="nil"/>
          <w:bottom w:val="nil"/>
          <w:right w:val="nil"/>
        </w:tcBorders>
        <w:shd w:val="clear" w:color="auto" w:fill="FFFFFF"/>
      </w:tcPr>
    </w:tblStylePr>
    <w:tblStylePr w:type="lastCol">
      <w:pPr>
        <w:snapToGrid/>
      </w:pPr>
      <w:rPr>
        <w:i/>
        <w:color w:val="404040"/>
      </w:rPr>
      <w:tblPr/>
      <w:tcPr>
        <w:tcBorders>
          <w:top w:val="nil"/>
          <w:left w:val="nil"/>
          <w:bottom w:val="nil"/>
          <w:right w:val="nil"/>
        </w:tcBorders>
        <w:shd w:val="clear" w:color="auto" w:fill="FFFFFF"/>
      </w:tcPr>
    </w:tblStylePr>
    <w:tblStylePr w:type="band1Vert">
      <w:pPr>
        <w:snapToGrid/>
      </w:pPr>
      <w:rPr>
        <w:rFonts w:ascii="Arial" w:hAnsi="Arial"/>
        <w:color w:val="404040"/>
        <w:sz w:val="22"/>
      </w:rPr>
      <w:tblPr/>
      <w:tcPr>
        <w:shd w:val="clear" w:color="auto"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auto"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3">
    <w:name w:val="Grid Table 3 - Accent 3"/>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pPr>
        <w:snapToGrid/>
      </w:pPr>
      <w:rPr>
        <w:b/>
        <w:color w:val="404040"/>
      </w:rPr>
      <w:tblPr/>
      <w:tcPr>
        <w:tcBorders>
          <w:top w:val="nil"/>
          <w:left w:val="nil"/>
          <w:bottom w:val="nil"/>
          <w:right w:val="nil"/>
        </w:tcBorders>
        <w:shd w:val="clear" w:color="auto" w:fill="FFFFFF"/>
      </w:tcPr>
    </w:tblStylePr>
    <w:tblStylePr w:type="lastRow">
      <w:pPr>
        <w:snapToGrid/>
      </w:pPr>
      <w:rPr>
        <w:b/>
        <w:color w:val="404040"/>
      </w:rPr>
      <w:tblPr/>
      <w:tcPr>
        <w:tcBorders>
          <w:top w:val="nil"/>
          <w:left w:val="nil"/>
          <w:bottom w:val="nil"/>
          <w:right w:val="nil"/>
        </w:tcBorders>
        <w:shd w:val="clear" w:color="auto" w:fill="FFFFFF"/>
      </w:tcPr>
    </w:tblStylePr>
    <w:tblStylePr w:type="firstCol">
      <w:pPr>
        <w:snapToGrid/>
        <w:jc w:val="right"/>
      </w:pPr>
      <w:rPr>
        <w:i/>
        <w:color w:val="404040"/>
      </w:rPr>
      <w:tblPr/>
      <w:tcPr>
        <w:tcBorders>
          <w:top w:val="nil"/>
          <w:left w:val="nil"/>
          <w:bottom w:val="nil"/>
          <w:right w:val="nil"/>
        </w:tcBorders>
        <w:shd w:val="clear" w:color="auto" w:fill="FFFFFF"/>
      </w:tcPr>
    </w:tblStylePr>
    <w:tblStylePr w:type="lastCol">
      <w:pPr>
        <w:snapToGrid/>
      </w:pPr>
      <w:rPr>
        <w:i/>
        <w:color w:val="404040"/>
      </w:rPr>
      <w:tblPr/>
      <w:tcPr>
        <w:tcBorders>
          <w:top w:val="nil"/>
          <w:left w:val="nil"/>
          <w:bottom w:val="nil"/>
          <w:right w:val="nil"/>
        </w:tcBorders>
        <w:shd w:val="clear" w:color="auto" w:fill="FFFFFF"/>
      </w:tcPr>
    </w:tblStylePr>
    <w:tblStylePr w:type="band1Vert">
      <w:pPr>
        <w:snapToGrid/>
      </w:pPr>
      <w:rPr>
        <w:rFonts w:ascii="Arial" w:hAnsi="Arial"/>
        <w:color w:val="404040"/>
        <w:sz w:val="22"/>
      </w:rPr>
      <w:tblPr/>
      <w:tcPr>
        <w:shd w:val="clear" w:color="auto"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auto"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4">
    <w:name w:val="Grid Table 3 - Accent 4"/>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pPr>
        <w:snapToGrid/>
      </w:pPr>
      <w:rPr>
        <w:b/>
        <w:color w:val="404040"/>
      </w:rPr>
      <w:tblPr/>
      <w:tcPr>
        <w:tcBorders>
          <w:top w:val="nil"/>
          <w:left w:val="nil"/>
          <w:bottom w:val="nil"/>
          <w:right w:val="nil"/>
        </w:tcBorders>
        <w:shd w:val="clear" w:color="auto" w:fill="FFFFFF"/>
      </w:tcPr>
    </w:tblStylePr>
    <w:tblStylePr w:type="lastRow">
      <w:pPr>
        <w:snapToGrid/>
      </w:pPr>
      <w:rPr>
        <w:b/>
        <w:color w:val="404040"/>
      </w:rPr>
      <w:tblPr/>
      <w:tcPr>
        <w:tcBorders>
          <w:top w:val="nil"/>
          <w:left w:val="nil"/>
          <w:bottom w:val="nil"/>
          <w:right w:val="nil"/>
        </w:tcBorders>
        <w:shd w:val="clear" w:color="auto" w:fill="FFFFFF"/>
      </w:tcPr>
    </w:tblStylePr>
    <w:tblStylePr w:type="firstCol">
      <w:pPr>
        <w:snapToGrid/>
        <w:jc w:val="right"/>
      </w:pPr>
      <w:rPr>
        <w:i/>
        <w:color w:val="404040"/>
      </w:rPr>
      <w:tblPr/>
      <w:tcPr>
        <w:tcBorders>
          <w:top w:val="nil"/>
          <w:left w:val="nil"/>
          <w:bottom w:val="nil"/>
          <w:right w:val="nil"/>
        </w:tcBorders>
        <w:shd w:val="clear" w:color="auto" w:fill="FFFFFF"/>
      </w:tcPr>
    </w:tblStylePr>
    <w:tblStylePr w:type="lastCol">
      <w:pPr>
        <w:snapToGrid/>
      </w:pPr>
      <w:rPr>
        <w:i/>
        <w:color w:val="404040"/>
      </w:rPr>
      <w:tblPr/>
      <w:tcPr>
        <w:tcBorders>
          <w:top w:val="nil"/>
          <w:left w:val="nil"/>
          <w:bottom w:val="nil"/>
          <w:right w:val="nil"/>
        </w:tcBorders>
        <w:shd w:val="clear" w:color="auto" w:fill="FFFFFF"/>
      </w:tcPr>
    </w:tblStylePr>
    <w:tblStylePr w:type="band1Vert">
      <w:pPr>
        <w:snapToGrid/>
      </w:pPr>
      <w:rPr>
        <w:rFonts w:ascii="Arial" w:hAnsi="Arial"/>
        <w:color w:val="404040"/>
        <w:sz w:val="22"/>
      </w:rPr>
      <w:tblPr/>
      <w:tcPr>
        <w:shd w:val="clear" w:color="auto"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auto"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5">
    <w:name w:val="Grid Table 3 - Accent 5"/>
    <w:uiPriority w:val="99"/>
    <w:qFormat/>
    <w:tblPr>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pPr>
        <w:snapToGrid/>
      </w:pPr>
      <w:rPr>
        <w:b/>
        <w:color w:val="404040"/>
      </w:rPr>
      <w:tblPr/>
      <w:tcPr>
        <w:tcBorders>
          <w:top w:val="nil"/>
          <w:left w:val="nil"/>
          <w:bottom w:val="nil"/>
          <w:right w:val="nil"/>
        </w:tcBorders>
        <w:shd w:val="clear" w:color="auto" w:fill="FFFFFF"/>
      </w:tcPr>
    </w:tblStylePr>
    <w:tblStylePr w:type="lastRow">
      <w:pPr>
        <w:snapToGrid/>
      </w:pPr>
      <w:rPr>
        <w:b/>
        <w:color w:val="404040"/>
      </w:rPr>
      <w:tblPr/>
      <w:tcPr>
        <w:tcBorders>
          <w:top w:val="nil"/>
          <w:left w:val="nil"/>
          <w:bottom w:val="nil"/>
          <w:right w:val="nil"/>
        </w:tcBorders>
        <w:shd w:val="clear" w:color="auto" w:fill="FFFFFF"/>
      </w:tcPr>
    </w:tblStylePr>
    <w:tblStylePr w:type="firstCol">
      <w:pPr>
        <w:snapToGrid/>
        <w:jc w:val="right"/>
      </w:pPr>
      <w:rPr>
        <w:i/>
        <w:color w:val="404040"/>
      </w:rPr>
      <w:tblPr/>
      <w:tcPr>
        <w:tcBorders>
          <w:top w:val="nil"/>
          <w:left w:val="nil"/>
          <w:bottom w:val="nil"/>
          <w:right w:val="nil"/>
        </w:tcBorders>
        <w:shd w:val="clear" w:color="auto" w:fill="FFFFFF"/>
      </w:tcPr>
    </w:tblStylePr>
    <w:tblStylePr w:type="lastCol">
      <w:pPr>
        <w:snapToGrid/>
      </w:pPr>
      <w:rPr>
        <w:i/>
        <w:color w:val="404040"/>
      </w:rPr>
      <w:tblPr/>
      <w:tcPr>
        <w:tcBorders>
          <w:top w:val="nil"/>
          <w:left w:val="nil"/>
          <w:bottom w:val="nil"/>
          <w:right w:val="nil"/>
        </w:tcBorders>
        <w:shd w:val="clear" w:color="auto" w:fill="FFFFFF"/>
      </w:tcPr>
    </w:tblStylePr>
    <w:tblStylePr w:type="band1Vert">
      <w:pPr>
        <w:snapToGrid/>
      </w:pPr>
      <w:rPr>
        <w:rFonts w:ascii="Arial" w:hAnsi="Arial"/>
        <w:color w:val="404040"/>
        <w:sz w:val="22"/>
      </w:rPr>
      <w:tblPr/>
      <w:tcPr>
        <w:shd w:val="clear" w:color="auto"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auto"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6">
    <w:name w:val="Grid Table 3 - Accent 6"/>
    <w:uiPriority w:val="99"/>
    <w:qFormat/>
    <w:tblPr>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pPr>
        <w:snapToGrid/>
      </w:pPr>
      <w:rPr>
        <w:b/>
        <w:color w:val="404040"/>
      </w:rPr>
      <w:tblPr/>
      <w:tcPr>
        <w:tcBorders>
          <w:top w:val="nil"/>
          <w:left w:val="nil"/>
          <w:bottom w:val="nil"/>
          <w:right w:val="nil"/>
        </w:tcBorders>
        <w:shd w:val="clear" w:color="auto" w:fill="FFFFFF"/>
      </w:tcPr>
    </w:tblStylePr>
    <w:tblStylePr w:type="lastRow">
      <w:pPr>
        <w:snapToGrid/>
      </w:pPr>
      <w:rPr>
        <w:b/>
        <w:color w:val="404040"/>
      </w:rPr>
      <w:tblPr/>
      <w:tcPr>
        <w:tcBorders>
          <w:top w:val="nil"/>
          <w:left w:val="nil"/>
          <w:bottom w:val="nil"/>
          <w:right w:val="nil"/>
        </w:tcBorders>
        <w:shd w:val="clear" w:color="auto" w:fill="FFFFFF"/>
      </w:tcPr>
    </w:tblStylePr>
    <w:tblStylePr w:type="firstCol">
      <w:pPr>
        <w:snapToGrid/>
        <w:jc w:val="right"/>
      </w:pPr>
      <w:rPr>
        <w:i/>
        <w:color w:val="404040"/>
      </w:rPr>
      <w:tblPr/>
      <w:tcPr>
        <w:tcBorders>
          <w:top w:val="nil"/>
          <w:left w:val="nil"/>
          <w:bottom w:val="nil"/>
          <w:right w:val="nil"/>
        </w:tcBorders>
        <w:shd w:val="clear" w:color="auto" w:fill="FFFFFF"/>
      </w:tcPr>
    </w:tblStylePr>
    <w:tblStylePr w:type="lastCol">
      <w:pPr>
        <w:snapToGrid/>
      </w:pPr>
      <w:rPr>
        <w:i/>
        <w:color w:val="404040"/>
      </w:rPr>
      <w:tblPr/>
      <w:tcPr>
        <w:tcBorders>
          <w:top w:val="nil"/>
          <w:left w:val="nil"/>
          <w:bottom w:val="nil"/>
          <w:right w:val="nil"/>
        </w:tcBorders>
        <w:shd w:val="clear" w:color="auto" w:fill="FFFFFF"/>
      </w:tcPr>
    </w:tblStylePr>
    <w:tblStylePr w:type="band1Vert">
      <w:pPr>
        <w:snapToGrid/>
      </w:pPr>
      <w:rPr>
        <w:rFonts w:ascii="Arial" w:hAnsi="Arial"/>
        <w:color w:val="404040"/>
        <w:sz w:val="22"/>
      </w:rPr>
      <w:tblPr/>
      <w:tcPr>
        <w:shd w:val="clear" w:color="auto"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auto"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1">
    <w:name w:val="Grid Table 4 - Accent 1"/>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pPr>
        <w:snapToGrid/>
      </w:pPr>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auto" w:fill="5D8AC2" w:themeFill="accent1" w:themeFillTint="EA"/>
      </w:tcPr>
    </w:tblStylePr>
    <w:tblStylePr w:type="lastRow">
      <w:pPr>
        <w:snapToGrid/>
      </w:pPr>
      <w:rPr>
        <w:b/>
        <w:color w:val="404040"/>
      </w:rPr>
      <w:tblPr/>
      <w:tcPr>
        <w:tcBorders>
          <w:top w:val="single" w:sz="4" w:space="0" w:color="5D8AC2" w:themeColor="accent1" w:themeTint="E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DCE6F2" w:themeFill="accent1" w:themeFillTint="32"/>
      </w:tcPr>
    </w:tblStylePr>
    <w:tblStylePr w:type="band2Vert">
      <w:pPr>
        <w:snapToGrid/>
      </w:pPr>
    </w:tblStylePr>
    <w:tblStylePr w:type="band1Horz">
      <w:pPr>
        <w:snapToGrid/>
      </w:pPr>
      <w:rPr>
        <w:rFonts w:ascii="Arial" w:hAnsi="Arial"/>
        <w:color w:val="404040"/>
        <w:sz w:val="22"/>
      </w:rPr>
      <w:tblPr/>
      <w:tcPr>
        <w:shd w:val="clear" w:color="auto" w:fill="DCE6F2" w:themeFill="accent1"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2">
    <w:name w:val="Grid Table 4 - Accent 2"/>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pPr>
        <w:snapToGrid/>
      </w:pPr>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auto" w:fill="D99695" w:themeFill="accent2" w:themeFillTint="97"/>
      </w:tcPr>
    </w:tblStylePr>
    <w:tblStylePr w:type="lastRow">
      <w:pPr>
        <w:snapToGrid/>
      </w:pPr>
      <w:rPr>
        <w:b/>
        <w:color w:val="404040"/>
      </w:rPr>
      <w:tblPr/>
      <w:tcPr>
        <w:tcBorders>
          <w:top w:val="single" w:sz="4" w:space="0" w:color="D99695" w:themeColor="accent2" w:themeTint="97"/>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auto"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3">
    <w:name w:val="Grid Table 4 - Accent 3"/>
    <w:uiPriority w:val="5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pPr>
        <w:snapToGrid/>
      </w:pPr>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uto" w:fill="9ABB59" w:themeFill="accent3" w:themeFillTint="FE"/>
      </w:tcPr>
    </w:tblStylePr>
    <w:tblStylePr w:type="lastRow">
      <w:pPr>
        <w:snapToGrid/>
      </w:pPr>
      <w:rPr>
        <w:b/>
        <w:color w:val="404040"/>
      </w:rPr>
      <w:tblPr/>
      <w:tcPr>
        <w:tcBorders>
          <w:top w:val="single" w:sz="4" w:space="0" w:color="9ABB59" w:themeColor="accent3" w:themeTint="FE"/>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auto"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4">
    <w:name w:val="Grid Table 4 - Accent 4"/>
    <w:uiPriority w:val="5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pPr>
        <w:snapToGrid/>
      </w:pPr>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auto" w:fill="B2A1C6" w:themeFill="accent4" w:themeFillTint="9A"/>
      </w:tcPr>
    </w:tblStylePr>
    <w:tblStylePr w:type="lastRow">
      <w:pPr>
        <w:snapToGrid/>
      </w:pPr>
      <w:rPr>
        <w:b/>
        <w:color w:val="404040"/>
      </w:rPr>
      <w:tblPr/>
      <w:tcPr>
        <w:tcBorders>
          <w:top w:val="single" w:sz="4" w:space="0" w:color="B2A1C6" w:themeColor="accent4" w:themeTint="9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auto"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5">
    <w:name w:val="Grid Table 4 - Accent 5"/>
    <w:uiPriority w:val="5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pPr>
        <w:snapToGrid/>
      </w:pPr>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4BACC6" w:themeFill="accent5"/>
      </w:tcPr>
    </w:tblStylePr>
    <w:tblStylePr w:type="lastRow">
      <w:pPr>
        <w:snapToGrid/>
      </w:pPr>
      <w:rPr>
        <w:b/>
        <w:color w:val="404040"/>
      </w:rPr>
      <w:tblPr/>
      <w:tcPr>
        <w:tcBorders>
          <w:top w:val="single" w:sz="4" w:space="0" w:color="4BACC6" w:themeColor="accent5"/>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auto"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6">
    <w:name w:val="Grid Table 4 - Accent 6"/>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pPr>
        <w:snapToGrid/>
      </w:pPr>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79646" w:themeFill="accent6"/>
      </w:tcPr>
    </w:tblStylePr>
    <w:tblStylePr w:type="lastRow">
      <w:pPr>
        <w:snapToGrid/>
      </w:pPr>
      <w:rPr>
        <w:b/>
        <w:color w:val="404040"/>
      </w:rPr>
      <w:tblPr/>
      <w:tcPr>
        <w:tcBorders>
          <w:top w:val="single" w:sz="4" w:space="0" w:color="F79646" w:themeColor="accent6"/>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auto"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1">
    <w:name w:val="Grid Table 5 Dark- Accent 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pPr>
        <w:snapToGrid/>
      </w:pPr>
      <w:rPr>
        <w:rFonts w:ascii="Arial" w:hAnsi="Arial"/>
        <w:b/>
        <w:color w:val="FFFFFF"/>
        <w:sz w:val="22"/>
      </w:rPr>
      <w:tblPr/>
      <w:tcPr>
        <w:shd w:val="clear" w:color="auto" w:fill="4F81BD" w:themeFill="accent1"/>
      </w:tcPr>
    </w:tblStylePr>
    <w:tblStylePr w:type="lastRow">
      <w:pPr>
        <w:snapToGrid/>
      </w:pPr>
      <w:rPr>
        <w:rFonts w:ascii="Arial" w:hAnsi="Arial"/>
        <w:b/>
        <w:color w:val="FFFFFF"/>
        <w:sz w:val="22"/>
      </w:rPr>
      <w:tblPr/>
      <w:tcPr>
        <w:tcBorders>
          <w:top w:val="single" w:sz="4" w:space="0" w:color="FFFFFF" w:themeColor="light1"/>
        </w:tcBorders>
        <w:shd w:val="clear" w:color="auto" w:fill="4F81BD" w:themeFill="accent1"/>
      </w:tcPr>
    </w:tblStylePr>
    <w:tblStylePr w:type="firstCol">
      <w:pPr>
        <w:snapToGrid/>
      </w:pPr>
      <w:rPr>
        <w:rFonts w:ascii="Arial" w:hAnsi="Arial"/>
        <w:b/>
        <w:color w:val="FFFFFF"/>
        <w:sz w:val="22"/>
      </w:rPr>
      <w:tblPr/>
      <w:tcPr>
        <w:shd w:val="clear" w:color="auto" w:fill="4F81BD" w:themeFill="accent1"/>
      </w:tcPr>
    </w:tblStylePr>
    <w:tblStylePr w:type="lastCol">
      <w:pPr>
        <w:snapToGrid/>
      </w:pPr>
      <w:rPr>
        <w:rFonts w:ascii="Arial" w:hAnsi="Arial"/>
        <w:b/>
        <w:color w:val="FFFFFF"/>
        <w:sz w:val="22"/>
      </w:rPr>
      <w:tblPr/>
      <w:tcPr>
        <w:shd w:val="clear" w:color="auto" w:fill="4F81BD" w:themeFill="accent1"/>
      </w:tcPr>
    </w:tblStylePr>
    <w:tblStylePr w:type="band1Vert">
      <w:pPr>
        <w:snapToGrid/>
      </w:pPr>
      <w:tblPr/>
      <w:tcPr>
        <w:shd w:val="clear" w:color="auto" w:fill="AEC4E0" w:themeFill="accent1" w:themeFillTint="75"/>
      </w:tcPr>
    </w:tblStylePr>
    <w:tblStylePr w:type="band2Vert">
      <w:pPr>
        <w:snapToGrid/>
      </w:pPr>
    </w:tblStylePr>
    <w:tblStylePr w:type="band1Horz">
      <w:pPr>
        <w:snapToGrid/>
      </w:pPr>
      <w:tblPr/>
      <w:tcPr>
        <w:shd w:val="clear" w:color="auto" w:fill="AEC4E0" w:themeFill="accen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2">
    <w:name w:val="Grid Table 5 Dark - Accent 2"/>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pPr>
        <w:snapToGrid/>
      </w:pPr>
      <w:rPr>
        <w:rFonts w:ascii="Arial" w:hAnsi="Arial"/>
        <w:b/>
        <w:color w:val="FFFFFF"/>
        <w:sz w:val="22"/>
      </w:rPr>
      <w:tblPr/>
      <w:tcPr>
        <w:shd w:val="clear" w:color="auto" w:fill="C0504D" w:themeFill="accent2"/>
      </w:tcPr>
    </w:tblStylePr>
    <w:tblStylePr w:type="lastRow">
      <w:pPr>
        <w:snapToGrid/>
      </w:pPr>
      <w:rPr>
        <w:rFonts w:ascii="Arial" w:hAnsi="Arial"/>
        <w:b/>
        <w:color w:val="FFFFFF"/>
        <w:sz w:val="22"/>
      </w:rPr>
      <w:tblPr/>
      <w:tcPr>
        <w:tcBorders>
          <w:top w:val="single" w:sz="4" w:space="0" w:color="FFFFFF" w:themeColor="light1"/>
        </w:tcBorders>
        <w:shd w:val="clear" w:color="auto" w:fill="C0504D" w:themeFill="accent2"/>
      </w:tcPr>
    </w:tblStylePr>
    <w:tblStylePr w:type="firstCol">
      <w:pPr>
        <w:snapToGrid/>
      </w:pPr>
      <w:rPr>
        <w:rFonts w:ascii="Arial" w:hAnsi="Arial"/>
        <w:b/>
        <w:color w:val="FFFFFF"/>
        <w:sz w:val="22"/>
      </w:rPr>
      <w:tblPr/>
      <w:tcPr>
        <w:shd w:val="clear" w:color="auto" w:fill="C0504D" w:themeFill="accent2"/>
      </w:tcPr>
    </w:tblStylePr>
    <w:tblStylePr w:type="lastCol">
      <w:pPr>
        <w:snapToGrid/>
      </w:pPr>
      <w:rPr>
        <w:rFonts w:ascii="Arial" w:hAnsi="Arial"/>
        <w:b/>
        <w:color w:val="FFFFFF"/>
        <w:sz w:val="22"/>
      </w:rPr>
      <w:tblPr/>
      <w:tcPr>
        <w:shd w:val="clear" w:color="auto" w:fill="C0504D" w:themeFill="accent2"/>
      </w:tcPr>
    </w:tblStylePr>
    <w:tblStylePr w:type="band1Vert">
      <w:pPr>
        <w:snapToGrid/>
      </w:pPr>
      <w:tblPr/>
      <w:tcPr>
        <w:shd w:val="clear" w:color="auto" w:fill="E2AEAD" w:themeFill="accent2" w:themeFillTint="75"/>
      </w:tcPr>
    </w:tblStylePr>
    <w:tblStylePr w:type="band2Vert">
      <w:pPr>
        <w:snapToGrid/>
      </w:pPr>
    </w:tblStylePr>
    <w:tblStylePr w:type="band1Horz">
      <w:pPr>
        <w:snapToGrid/>
      </w:pPr>
      <w:tblPr/>
      <w:tcPr>
        <w:shd w:val="clear" w:color="auto" w:fill="E2AEAD" w:themeFill="accent2"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3">
    <w:name w:val="Grid Table 5 Dark - Accent 3"/>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pPr>
        <w:snapToGrid/>
      </w:pPr>
      <w:rPr>
        <w:rFonts w:ascii="Arial" w:hAnsi="Arial"/>
        <w:b/>
        <w:color w:val="FFFFFF"/>
        <w:sz w:val="22"/>
      </w:rPr>
      <w:tblPr/>
      <w:tcPr>
        <w:shd w:val="clear" w:color="auto" w:fill="9BBB59" w:themeFill="accent3"/>
      </w:tcPr>
    </w:tblStylePr>
    <w:tblStylePr w:type="lastRow">
      <w:pPr>
        <w:snapToGrid/>
      </w:pPr>
      <w:rPr>
        <w:rFonts w:ascii="Arial" w:hAnsi="Arial"/>
        <w:b/>
        <w:color w:val="FFFFFF"/>
        <w:sz w:val="22"/>
      </w:rPr>
      <w:tblPr/>
      <w:tcPr>
        <w:tcBorders>
          <w:top w:val="single" w:sz="4" w:space="0" w:color="FFFFFF" w:themeColor="light1"/>
        </w:tcBorders>
        <w:shd w:val="clear" w:color="auto" w:fill="9BBB59" w:themeFill="accent3"/>
      </w:tcPr>
    </w:tblStylePr>
    <w:tblStylePr w:type="firstCol">
      <w:pPr>
        <w:snapToGrid/>
      </w:pPr>
      <w:rPr>
        <w:rFonts w:ascii="Arial" w:hAnsi="Arial"/>
        <w:b/>
        <w:color w:val="FFFFFF"/>
        <w:sz w:val="22"/>
      </w:rPr>
      <w:tblPr/>
      <w:tcPr>
        <w:shd w:val="clear" w:color="auto" w:fill="9BBB59" w:themeFill="accent3"/>
      </w:tcPr>
    </w:tblStylePr>
    <w:tblStylePr w:type="lastCol">
      <w:pPr>
        <w:snapToGrid/>
      </w:pPr>
      <w:rPr>
        <w:rFonts w:ascii="Arial" w:hAnsi="Arial"/>
        <w:b/>
        <w:color w:val="FFFFFF"/>
        <w:sz w:val="22"/>
      </w:rPr>
      <w:tblPr/>
      <w:tcPr>
        <w:shd w:val="clear" w:color="auto" w:fill="9BBB59" w:themeFill="accent3"/>
      </w:tcPr>
    </w:tblStylePr>
    <w:tblStylePr w:type="band1Vert">
      <w:pPr>
        <w:snapToGrid/>
      </w:pPr>
      <w:tblPr/>
      <w:tcPr>
        <w:shd w:val="clear" w:color="auto" w:fill="D0DFB2" w:themeFill="accent3" w:themeFillTint="75"/>
      </w:tcPr>
    </w:tblStylePr>
    <w:tblStylePr w:type="band2Vert">
      <w:pPr>
        <w:snapToGrid/>
      </w:pPr>
    </w:tblStylePr>
    <w:tblStylePr w:type="band1Horz">
      <w:pPr>
        <w:snapToGrid/>
      </w:pPr>
      <w:tblPr/>
      <w:tcPr>
        <w:shd w:val="clear" w:color="auto" w:fill="D0DFB2" w:themeFill="accent3"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4">
    <w:name w:val="Grid Table 5 Dark- Accent 4"/>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pPr>
        <w:snapToGrid/>
      </w:pPr>
      <w:rPr>
        <w:rFonts w:ascii="Arial" w:hAnsi="Arial"/>
        <w:b/>
        <w:color w:val="FFFFFF"/>
        <w:sz w:val="22"/>
      </w:rPr>
      <w:tblPr/>
      <w:tcPr>
        <w:shd w:val="clear" w:color="auto" w:fill="8064A2" w:themeFill="accent4"/>
      </w:tcPr>
    </w:tblStylePr>
    <w:tblStylePr w:type="lastRow">
      <w:pPr>
        <w:snapToGrid/>
      </w:pPr>
      <w:rPr>
        <w:rFonts w:ascii="Arial" w:hAnsi="Arial"/>
        <w:b/>
        <w:color w:val="FFFFFF"/>
        <w:sz w:val="22"/>
      </w:rPr>
      <w:tblPr/>
      <w:tcPr>
        <w:tcBorders>
          <w:top w:val="single" w:sz="4" w:space="0" w:color="FFFFFF" w:themeColor="light1"/>
        </w:tcBorders>
        <w:shd w:val="clear" w:color="auto" w:fill="8064A2" w:themeFill="accent4"/>
      </w:tcPr>
    </w:tblStylePr>
    <w:tblStylePr w:type="firstCol">
      <w:pPr>
        <w:snapToGrid/>
      </w:pPr>
      <w:rPr>
        <w:rFonts w:ascii="Arial" w:hAnsi="Arial"/>
        <w:b/>
        <w:color w:val="FFFFFF"/>
        <w:sz w:val="22"/>
      </w:rPr>
      <w:tblPr/>
      <w:tcPr>
        <w:shd w:val="clear" w:color="auto" w:fill="8064A2" w:themeFill="accent4"/>
      </w:tcPr>
    </w:tblStylePr>
    <w:tblStylePr w:type="lastCol">
      <w:pPr>
        <w:snapToGrid/>
      </w:pPr>
      <w:rPr>
        <w:rFonts w:ascii="Arial" w:hAnsi="Arial"/>
        <w:b/>
        <w:color w:val="FFFFFF"/>
        <w:sz w:val="22"/>
      </w:rPr>
      <w:tblPr/>
      <w:tcPr>
        <w:shd w:val="clear" w:color="auto" w:fill="8064A2" w:themeFill="accent4"/>
      </w:tcPr>
    </w:tblStylePr>
    <w:tblStylePr w:type="band1Vert">
      <w:pPr>
        <w:snapToGrid/>
      </w:pPr>
      <w:tblPr/>
      <w:tcPr>
        <w:shd w:val="clear" w:color="auto" w:fill="C4B7D4" w:themeFill="accent4" w:themeFillTint="75"/>
      </w:tcPr>
    </w:tblStylePr>
    <w:tblStylePr w:type="band2Vert">
      <w:pPr>
        <w:snapToGrid/>
      </w:pPr>
    </w:tblStylePr>
    <w:tblStylePr w:type="band1Horz">
      <w:pPr>
        <w:snapToGrid/>
      </w:pPr>
      <w:tblPr/>
      <w:tcPr>
        <w:shd w:val="clear" w:color="auto" w:fill="C4B7D4" w:themeFill="accent4"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5">
    <w:name w:val="Grid Table 5 Dark - Accent 5"/>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pPr>
        <w:snapToGrid/>
      </w:pPr>
      <w:rPr>
        <w:rFonts w:ascii="Arial" w:hAnsi="Arial"/>
        <w:b/>
        <w:color w:val="FFFFFF"/>
        <w:sz w:val="22"/>
      </w:rPr>
      <w:tblPr/>
      <w:tcPr>
        <w:shd w:val="clear" w:color="auto" w:fill="4BACC6" w:themeFill="accent5"/>
      </w:tcPr>
    </w:tblStylePr>
    <w:tblStylePr w:type="lastRow">
      <w:pPr>
        <w:snapToGrid/>
      </w:pPr>
      <w:rPr>
        <w:rFonts w:ascii="Arial" w:hAnsi="Arial"/>
        <w:b/>
        <w:color w:val="FFFFFF"/>
        <w:sz w:val="22"/>
      </w:rPr>
      <w:tblPr/>
      <w:tcPr>
        <w:tcBorders>
          <w:top w:val="single" w:sz="4" w:space="0" w:color="FFFFFF" w:themeColor="light1"/>
        </w:tcBorders>
        <w:shd w:val="clear" w:color="auto" w:fill="4BACC6" w:themeFill="accent5"/>
      </w:tcPr>
    </w:tblStylePr>
    <w:tblStylePr w:type="firstCol">
      <w:pPr>
        <w:snapToGrid/>
      </w:pPr>
      <w:rPr>
        <w:rFonts w:ascii="Arial" w:hAnsi="Arial"/>
        <w:b/>
        <w:color w:val="FFFFFF"/>
        <w:sz w:val="22"/>
      </w:rPr>
      <w:tblPr/>
      <w:tcPr>
        <w:shd w:val="clear" w:color="auto" w:fill="4BACC6" w:themeFill="accent5"/>
      </w:tcPr>
    </w:tblStylePr>
    <w:tblStylePr w:type="lastCol">
      <w:pPr>
        <w:snapToGrid/>
      </w:pPr>
      <w:rPr>
        <w:rFonts w:ascii="Arial" w:hAnsi="Arial"/>
        <w:b/>
        <w:color w:val="FFFFFF"/>
        <w:sz w:val="22"/>
      </w:rPr>
      <w:tblPr/>
      <w:tcPr>
        <w:shd w:val="clear" w:color="auto" w:fill="4BACC6" w:themeFill="accent5"/>
      </w:tcPr>
    </w:tblStylePr>
    <w:tblStylePr w:type="band1Vert">
      <w:pPr>
        <w:snapToGrid/>
      </w:pPr>
      <w:tblPr/>
      <w:tcPr>
        <w:shd w:val="clear" w:color="auto" w:fill="ACD8E4" w:themeFill="accent5" w:themeFillTint="75"/>
      </w:tcPr>
    </w:tblStylePr>
    <w:tblStylePr w:type="band2Vert">
      <w:pPr>
        <w:snapToGrid/>
      </w:pPr>
    </w:tblStylePr>
    <w:tblStylePr w:type="band1Horz">
      <w:pPr>
        <w:snapToGrid/>
      </w:pPr>
      <w:tblPr/>
      <w:tcPr>
        <w:shd w:val="clear" w:color="auto" w:fill="ACD8E4" w:themeFill="accent5"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6">
    <w:name w:val="Grid Table 5 Dark - Accent 6"/>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pPr>
        <w:snapToGrid/>
      </w:pPr>
      <w:rPr>
        <w:rFonts w:ascii="Arial" w:hAnsi="Arial"/>
        <w:b/>
        <w:color w:val="FFFFFF"/>
        <w:sz w:val="22"/>
      </w:rPr>
      <w:tblPr/>
      <w:tcPr>
        <w:shd w:val="clear" w:color="auto" w:fill="F79646" w:themeFill="accent6"/>
      </w:tcPr>
    </w:tblStylePr>
    <w:tblStylePr w:type="lastRow">
      <w:pPr>
        <w:snapToGrid/>
      </w:pPr>
      <w:rPr>
        <w:rFonts w:ascii="Arial" w:hAnsi="Arial"/>
        <w:b/>
        <w:color w:val="FFFFFF"/>
        <w:sz w:val="22"/>
      </w:rPr>
      <w:tblPr/>
      <w:tcPr>
        <w:tcBorders>
          <w:top w:val="single" w:sz="4" w:space="0" w:color="FFFFFF" w:themeColor="light1"/>
        </w:tcBorders>
        <w:shd w:val="clear" w:color="auto" w:fill="F79646" w:themeFill="accent6"/>
      </w:tcPr>
    </w:tblStylePr>
    <w:tblStylePr w:type="firstCol">
      <w:pPr>
        <w:snapToGrid/>
      </w:pPr>
      <w:rPr>
        <w:rFonts w:ascii="Arial" w:hAnsi="Arial"/>
        <w:b/>
        <w:color w:val="FFFFFF"/>
        <w:sz w:val="22"/>
      </w:rPr>
      <w:tblPr/>
      <w:tcPr>
        <w:shd w:val="clear" w:color="auto" w:fill="F79646" w:themeFill="accent6"/>
      </w:tcPr>
    </w:tblStylePr>
    <w:tblStylePr w:type="lastCol">
      <w:pPr>
        <w:snapToGrid/>
      </w:pPr>
      <w:rPr>
        <w:rFonts w:ascii="Arial" w:hAnsi="Arial"/>
        <w:b/>
        <w:color w:val="FFFFFF"/>
        <w:sz w:val="22"/>
      </w:rPr>
      <w:tblPr/>
      <w:tcPr>
        <w:shd w:val="clear" w:color="auto" w:fill="F79646" w:themeFill="accent6"/>
      </w:tcPr>
    </w:tblStylePr>
    <w:tblStylePr w:type="band1Vert">
      <w:pPr>
        <w:snapToGrid/>
      </w:pPr>
      <w:tblPr/>
      <w:tcPr>
        <w:shd w:val="clear" w:color="auto" w:fill="FBCEAA" w:themeFill="accent6" w:themeFillTint="75"/>
      </w:tcPr>
    </w:tblStylePr>
    <w:tblStylePr w:type="band2Vert">
      <w:pPr>
        <w:snapToGrid/>
      </w:pPr>
    </w:tblStylePr>
    <w:tblStylePr w:type="band1Horz">
      <w:pPr>
        <w:snapToGrid/>
      </w:pPr>
      <w:tblPr/>
      <w:tcPr>
        <w:shd w:val="clear" w:color="auto" w:fill="FBCEAA" w:themeFill="accent6"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1">
    <w:name w:val="Grid Table 6 Colorful - Accent 1"/>
    <w:uiPriority w:val="99"/>
    <w:qFormat/>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pPr>
        <w:snapToGrid/>
      </w:pPr>
      <w:rPr>
        <w:b/>
        <w:color w:val="A6BFDD" w:themeColor="accent1" w:themeTint="80"/>
      </w:rPr>
      <w:tblPr/>
      <w:tcPr>
        <w:tcBorders>
          <w:bottom w:val="single" w:sz="12" w:space="0" w:color="A6BFDD" w:themeColor="accent1" w:themeTint="80"/>
        </w:tcBorders>
      </w:tcPr>
    </w:tblStylePr>
    <w:tblStylePr w:type="lastRow">
      <w:pPr>
        <w:snapToGrid/>
      </w:pPr>
      <w:rPr>
        <w:b/>
        <w:color w:val="A6BFDD" w:themeColor="accent1" w:themeTint="80"/>
      </w:rPr>
    </w:tblStylePr>
    <w:tblStylePr w:type="firstCol">
      <w:pPr>
        <w:snapToGrid/>
      </w:pPr>
      <w:rPr>
        <w:b/>
        <w:color w:val="A6BFDD" w:themeColor="accent1" w:themeTint="80"/>
      </w:rPr>
    </w:tblStylePr>
    <w:tblStylePr w:type="lastCol">
      <w:pPr>
        <w:snapToGrid/>
      </w:pPr>
      <w:rPr>
        <w:b/>
        <w:color w:val="A6BFDD" w:themeColor="accent1" w:themeTint="80"/>
      </w:rPr>
    </w:tblStylePr>
    <w:tblStylePr w:type="band1Vert">
      <w:pPr>
        <w:snapToGrid/>
      </w:pPr>
      <w:tblPr/>
      <w:tcPr>
        <w:shd w:val="clear" w:color="auto" w:fill="DAE5F1" w:themeFill="accent1" w:themeFillTint="34"/>
      </w:tcPr>
    </w:tblStylePr>
    <w:tblStylePr w:type="band2Vert">
      <w:pPr>
        <w:snapToGrid/>
      </w:pPr>
    </w:tblStylePr>
    <w:tblStylePr w:type="band1Horz">
      <w:pPr>
        <w:snapToGrid/>
      </w:pPr>
      <w:rPr>
        <w:rFonts w:ascii="Arial" w:hAnsi="Arial"/>
        <w:color w:val="A6BFDD" w:themeColor="accent1" w:themeTint="80"/>
        <w:sz w:val="22"/>
      </w:rPr>
      <w:tblPr/>
      <w:tcPr>
        <w:shd w:val="clear" w:color="auto" w:fill="DAE5F1" w:themeFill="accent1" w:themeFillTint="34"/>
      </w:tcPr>
    </w:tblStylePr>
    <w:tblStylePr w:type="band2Horz">
      <w:pPr>
        <w:snapToGrid/>
      </w:pPr>
      <w:rPr>
        <w:rFonts w:ascii="Arial" w:hAnsi="Arial"/>
        <w:color w:val="A6BFDD" w:themeColor="accen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2">
    <w:name w:val="Grid Table 6 Colorful - Accent 2"/>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pPr>
        <w:snapToGrid/>
      </w:pPr>
      <w:rPr>
        <w:b/>
        <w:color w:val="DA9796" w:themeColor="accent2" w:themeTint="96"/>
      </w:rPr>
      <w:tblPr/>
      <w:tcPr>
        <w:tcBorders>
          <w:bottom w:val="single" w:sz="12" w:space="0" w:color="D99695" w:themeColor="accent2" w:themeTint="97"/>
        </w:tcBorders>
      </w:tcPr>
    </w:tblStylePr>
    <w:tblStylePr w:type="lastRow">
      <w:pPr>
        <w:snapToGrid/>
      </w:pPr>
      <w:rPr>
        <w:b/>
        <w:color w:val="DA9796" w:themeColor="accent2" w:themeTint="96"/>
      </w:rPr>
    </w:tblStylePr>
    <w:tblStylePr w:type="firstCol">
      <w:pPr>
        <w:snapToGrid/>
      </w:pPr>
      <w:rPr>
        <w:b/>
        <w:color w:val="DA9796" w:themeColor="accent2" w:themeTint="96"/>
      </w:rPr>
    </w:tblStylePr>
    <w:tblStylePr w:type="lastCol">
      <w:pPr>
        <w:snapToGrid/>
      </w:pPr>
      <w:rPr>
        <w:b/>
        <w:color w:val="DA9796" w:themeColor="accent2" w:themeTint="96"/>
      </w:rPr>
    </w:tblStylePr>
    <w:tblStylePr w:type="band1Vert">
      <w:pPr>
        <w:snapToGrid/>
      </w:pPr>
      <w:tblPr/>
      <w:tcPr>
        <w:shd w:val="clear" w:color="auto" w:fill="F2DCDC" w:themeFill="accent2" w:themeFillTint="32"/>
      </w:tcPr>
    </w:tblStylePr>
    <w:tblStylePr w:type="band2Vert">
      <w:pPr>
        <w:snapToGrid/>
      </w:pPr>
    </w:tblStylePr>
    <w:tblStylePr w:type="band1Horz">
      <w:pPr>
        <w:snapToGrid/>
      </w:pPr>
      <w:rPr>
        <w:rFonts w:ascii="Arial" w:hAnsi="Arial"/>
        <w:color w:val="DA9796" w:themeColor="accent2" w:themeTint="96"/>
        <w:sz w:val="22"/>
      </w:rPr>
      <w:tblPr/>
      <w:tcPr>
        <w:shd w:val="clear" w:color="auto" w:fill="F2DCDC" w:themeFill="accent2" w:themeFillTint="32"/>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3">
    <w:name w:val="Grid Table 6 Colorful - Accent 3"/>
    <w:uiPriority w:val="99"/>
    <w:qFormat/>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pPr>
        <w:snapToGrid/>
      </w:pPr>
      <w:rPr>
        <w:b/>
        <w:color w:val="9BBB59" w:themeColor="accent3"/>
      </w:rPr>
      <w:tblPr/>
      <w:tcPr>
        <w:tcBorders>
          <w:bottom w:val="single" w:sz="12" w:space="0" w:color="9ABB59" w:themeColor="accent3" w:themeTint="FE"/>
        </w:tcBorders>
      </w:tcPr>
    </w:tblStylePr>
    <w:tblStylePr w:type="lastRow">
      <w:pPr>
        <w:snapToGrid/>
      </w:pPr>
      <w:rPr>
        <w:b/>
        <w:color w:val="9BBB59" w:themeColor="accent3"/>
      </w:rPr>
    </w:tblStylePr>
    <w:tblStylePr w:type="firstCol">
      <w:pPr>
        <w:snapToGrid/>
      </w:pPr>
      <w:rPr>
        <w:b/>
        <w:color w:val="9BBB59" w:themeColor="accent3"/>
      </w:rPr>
    </w:tblStylePr>
    <w:tblStylePr w:type="lastCol">
      <w:pPr>
        <w:snapToGrid/>
      </w:pPr>
      <w:rPr>
        <w:b/>
        <w:color w:val="9BBB59" w:themeColor="accent3"/>
      </w:rPr>
    </w:tblStylePr>
    <w:tblStylePr w:type="band1Vert">
      <w:pPr>
        <w:snapToGrid/>
      </w:pPr>
      <w:tblPr/>
      <w:tcPr>
        <w:shd w:val="clear" w:color="auto" w:fill="EAF1DC" w:themeFill="accent3" w:themeFillTint="34"/>
      </w:tcPr>
    </w:tblStylePr>
    <w:tblStylePr w:type="band2Vert">
      <w:pPr>
        <w:snapToGrid/>
      </w:pPr>
    </w:tblStylePr>
    <w:tblStylePr w:type="band1Horz">
      <w:pPr>
        <w:snapToGrid/>
      </w:pPr>
      <w:rPr>
        <w:rFonts w:ascii="Arial" w:hAnsi="Arial"/>
        <w:color w:val="9BBB59" w:themeColor="accent3"/>
        <w:sz w:val="22"/>
      </w:rPr>
      <w:tblPr/>
      <w:tcPr>
        <w:shd w:val="clear" w:color="auto" w:fill="EAF1DC" w:themeFill="accent3" w:themeFillTint="34"/>
      </w:tcPr>
    </w:tblStylePr>
    <w:tblStylePr w:type="band2Horz">
      <w:pPr>
        <w:snapToGrid/>
      </w:pPr>
      <w:rPr>
        <w:rFonts w:ascii="Arial" w:hAnsi="Arial"/>
        <w:color w:val="9BBB59" w:themeColor="accent3"/>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4">
    <w:name w:val="Grid Table 6 Colorful - Accent 4"/>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pPr>
        <w:snapToGrid/>
      </w:pPr>
      <w:rPr>
        <w:b/>
        <w:color w:val="B2A1C7" w:themeColor="accent4" w:themeTint="99"/>
      </w:rPr>
      <w:tblPr/>
      <w:tcPr>
        <w:tcBorders>
          <w:bottom w:val="single" w:sz="12" w:space="0" w:color="B2A1C6" w:themeColor="accent4" w:themeTint="9A"/>
        </w:tcBorders>
      </w:tcPr>
    </w:tblStylePr>
    <w:tblStylePr w:type="lastRow">
      <w:pPr>
        <w:snapToGrid/>
      </w:pPr>
      <w:rPr>
        <w:b/>
        <w:color w:val="B2A1C7" w:themeColor="accent4" w:themeTint="99"/>
      </w:rPr>
    </w:tblStylePr>
    <w:tblStylePr w:type="firstCol">
      <w:pPr>
        <w:snapToGrid/>
      </w:pPr>
      <w:rPr>
        <w:b/>
        <w:color w:val="B2A1C7" w:themeColor="accent4" w:themeTint="99"/>
      </w:rPr>
    </w:tblStylePr>
    <w:tblStylePr w:type="lastCol">
      <w:pPr>
        <w:snapToGrid/>
      </w:pPr>
      <w:rPr>
        <w:b/>
        <w:color w:val="B2A1C7" w:themeColor="accent4" w:themeTint="99"/>
      </w:rPr>
    </w:tblStylePr>
    <w:tblStylePr w:type="band1Vert">
      <w:pPr>
        <w:snapToGrid/>
      </w:pPr>
      <w:tblPr/>
      <w:tcPr>
        <w:shd w:val="clear" w:color="auto" w:fill="E5DFEC" w:themeFill="accent4" w:themeFillTint="34"/>
      </w:tcPr>
    </w:tblStylePr>
    <w:tblStylePr w:type="band2Vert">
      <w:pPr>
        <w:snapToGrid/>
      </w:pPr>
    </w:tblStylePr>
    <w:tblStylePr w:type="band1Horz">
      <w:pPr>
        <w:snapToGrid/>
      </w:pPr>
      <w:rPr>
        <w:rFonts w:ascii="Arial" w:hAnsi="Arial"/>
        <w:color w:val="B2A1C7" w:themeColor="accent4" w:themeTint="99"/>
        <w:sz w:val="22"/>
      </w:rPr>
      <w:tblPr/>
      <w:tcPr>
        <w:shd w:val="clear" w:color="auto" w:fill="E5DFEC" w:themeFill="accent4" w:themeFillTint="34"/>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5">
    <w:name w:val="Grid Table 6 Colorful - Accent 5"/>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pPr>
        <w:snapToGrid/>
      </w:pPr>
      <w:rPr>
        <w:b/>
        <w:color w:val="266678" w:themeColor="accent5" w:themeShade="94"/>
      </w:rPr>
      <w:tblPr/>
      <w:tcPr>
        <w:tcBorders>
          <w:bottom w:val="single" w:sz="12" w:space="0" w:color="4BACC6" w:themeColor="accent5"/>
        </w:tcBorders>
      </w:tcPr>
    </w:tblStylePr>
    <w:tblStylePr w:type="lastRow">
      <w:pPr>
        <w:snapToGrid/>
      </w:pPr>
      <w:rPr>
        <w:b/>
        <w:color w:val="266678" w:themeColor="accent5" w:themeShade="94"/>
      </w:rPr>
    </w:tblStylePr>
    <w:tblStylePr w:type="firstCol">
      <w:pPr>
        <w:snapToGrid/>
      </w:pPr>
      <w:rPr>
        <w:b/>
        <w:color w:val="266678" w:themeColor="accent5" w:themeShade="94"/>
      </w:rPr>
    </w:tblStylePr>
    <w:tblStylePr w:type="lastCol">
      <w:pPr>
        <w:snapToGrid/>
      </w:pPr>
      <w:rPr>
        <w:b/>
        <w:color w:val="266678" w:themeColor="accent5" w:themeShade="94"/>
      </w:rPr>
    </w:tblStylePr>
    <w:tblStylePr w:type="band1Vert">
      <w:pPr>
        <w:snapToGrid/>
      </w:pPr>
      <w:tblPr/>
      <w:tcPr>
        <w:shd w:val="clear" w:color="auto" w:fill="DAEEF3" w:themeFill="accent5" w:themeFillTint="34"/>
      </w:tcPr>
    </w:tblStylePr>
    <w:tblStylePr w:type="band2Vert">
      <w:pPr>
        <w:snapToGrid/>
      </w:pPr>
    </w:tblStylePr>
    <w:tblStylePr w:type="band1Horz">
      <w:pPr>
        <w:snapToGrid/>
      </w:pPr>
      <w:rPr>
        <w:rFonts w:ascii="Arial" w:hAnsi="Arial"/>
        <w:color w:val="266678" w:themeColor="accent5" w:themeShade="94"/>
        <w:sz w:val="22"/>
      </w:rPr>
      <w:tblPr/>
      <w:tcPr>
        <w:shd w:val="clear" w:color="auto" w:fill="DAEEF3" w:themeFill="accent5" w:themeFillTint="34"/>
      </w:tcPr>
    </w:tblStylePr>
    <w:tblStylePr w:type="band2Horz">
      <w:pPr>
        <w:snapToGrid/>
      </w:pPr>
      <w:rPr>
        <w:rFonts w:ascii="Arial" w:hAnsi="Arial"/>
        <w:color w:val="266678"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6">
    <w:name w:val="Grid Table 6 Colorful - Accent 6"/>
    <w:uiPriority w:val="99"/>
    <w:qFormat/>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pPr>
        <w:snapToGrid/>
      </w:pPr>
      <w:rPr>
        <w:b/>
        <w:color w:val="266678" w:themeColor="accent5" w:themeShade="94"/>
      </w:rPr>
      <w:tblPr/>
      <w:tcPr>
        <w:tcBorders>
          <w:bottom w:val="single" w:sz="12" w:space="0" w:color="F79646" w:themeColor="accent6"/>
        </w:tcBorders>
      </w:tcPr>
    </w:tblStylePr>
    <w:tblStylePr w:type="lastRow">
      <w:pPr>
        <w:snapToGrid/>
      </w:pPr>
      <w:rPr>
        <w:b/>
        <w:color w:val="266678" w:themeColor="accent5" w:themeShade="94"/>
      </w:rPr>
    </w:tblStylePr>
    <w:tblStylePr w:type="firstCol">
      <w:pPr>
        <w:snapToGrid/>
      </w:pPr>
      <w:rPr>
        <w:b/>
        <w:color w:val="266678" w:themeColor="accent5" w:themeShade="94"/>
      </w:rPr>
    </w:tblStylePr>
    <w:tblStylePr w:type="lastCol">
      <w:pPr>
        <w:snapToGrid/>
      </w:pPr>
      <w:rPr>
        <w:b/>
        <w:color w:val="266678" w:themeColor="accent5" w:themeShade="94"/>
      </w:rPr>
    </w:tblStylePr>
    <w:tblStylePr w:type="band1Vert">
      <w:pPr>
        <w:snapToGrid/>
      </w:pPr>
      <w:tblPr/>
      <w:tcPr>
        <w:shd w:val="clear" w:color="auto" w:fill="FDE9D8" w:themeFill="accent6" w:themeFillTint="34"/>
      </w:tcPr>
    </w:tblStylePr>
    <w:tblStylePr w:type="band2Vert">
      <w:pPr>
        <w:snapToGrid/>
      </w:pPr>
    </w:tblStylePr>
    <w:tblStylePr w:type="band1Horz">
      <w:pPr>
        <w:snapToGrid/>
      </w:pPr>
      <w:rPr>
        <w:rFonts w:ascii="Arial" w:hAnsi="Arial"/>
        <w:color w:val="266678" w:themeColor="accent5" w:themeShade="94"/>
        <w:sz w:val="22"/>
      </w:rPr>
      <w:tblPr/>
      <w:tcPr>
        <w:shd w:val="clear" w:color="auto" w:fill="FDE9D8" w:themeFill="accent6" w:themeFillTint="34"/>
      </w:tcPr>
    </w:tblStylePr>
    <w:tblStylePr w:type="band2Horz">
      <w:pPr>
        <w:snapToGrid/>
      </w:pPr>
      <w:rPr>
        <w:rFonts w:ascii="Arial" w:hAnsi="Arial"/>
        <w:color w:val="266678"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1">
    <w:name w:val="Grid Table 7 Colorful - Accent 1"/>
    <w:uiPriority w:val="99"/>
    <w:qFormat/>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pPr>
        <w:snapToGrid/>
      </w:pPr>
      <w:rPr>
        <w:rFonts w:ascii="Arial" w:hAnsi="Arial"/>
        <w:b/>
        <w:color w:val="A6BFDD" w:themeColor="accent1" w:themeTint="80"/>
        <w:sz w:val="22"/>
      </w:rPr>
      <w:tblPr/>
      <w:tcPr>
        <w:tcBorders>
          <w:top w:val="nil"/>
          <w:left w:val="nil"/>
          <w:bottom w:val="single" w:sz="4" w:space="0" w:color="A6BFDD" w:themeColor="accent1" w:themeTint="80"/>
          <w:right w:val="nil"/>
        </w:tcBorders>
        <w:shd w:val="clear" w:color="auto" w:fill="FFFFFF" w:themeFill="light1"/>
      </w:tcPr>
    </w:tblStylePr>
    <w:tblStylePr w:type="lastRow">
      <w:pPr>
        <w:snapToGrid/>
      </w:pPr>
      <w:rPr>
        <w:rFonts w:ascii="Arial" w:hAnsi="Arial"/>
        <w:b/>
        <w:color w:val="A6BFDD" w:themeColor="accent1" w:themeTint="80"/>
        <w:sz w:val="22"/>
      </w:rPr>
      <w:tblPr/>
      <w:tcPr>
        <w:tcBorders>
          <w:top w:val="single" w:sz="4" w:space="0" w:color="A6BFDD" w:themeColor="accent1" w:themeTint="80"/>
          <w:left w:val="nil"/>
          <w:bottom w:val="nil"/>
          <w:right w:val="nil"/>
        </w:tcBorders>
        <w:shd w:val="clear" w:color="auto" w:fill="FFFFFF" w:themeFill="light1"/>
      </w:tcPr>
    </w:tblStylePr>
    <w:tblStylePr w:type="firstCol">
      <w:pPr>
        <w:snapToGrid/>
        <w:jc w:val="right"/>
      </w:pPr>
      <w:rPr>
        <w:rFonts w:ascii="Arial" w:hAnsi="Arial"/>
        <w:i/>
        <w:color w:val="A6BFDD" w:themeColor="accent1" w:themeTint="80"/>
        <w:sz w:val="22"/>
      </w:rPr>
      <w:tblPr/>
      <w:tcPr>
        <w:tcBorders>
          <w:top w:val="nil"/>
          <w:left w:val="nil"/>
          <w:bottom w:val="nil"/>
          <w:right w:val="single" w:sz="4" w:space="0" w:color="A6BFDD" w:themeColor="accent1" w:themeTint="80"/>
        </w:tcBorders>
        <w:shd w:val="clear" w:color="auto" w:fill="FFFFFF"/>
      </w:tcPr>
    </w:tblStylePr>
    <w:tblStylePr w:type="lastCol">
      <w:pPr>
        <w:snapToGrid/>
      </w:pPr>
      <w:rPr>
        <w:rFonts w:ascii="Arial" w:hAnsi="Arial"/>
        <w:i/>
        <w:color w:val="A6BFDD" w:themeColor="accent1" w:themeTint="80"/>
        <w:sz w:val="22"/>
      </w:rPr>
      <w:tblPr/>
      <w:tcPr>
        <w:tcBorders>
          <w:top w:val="nil"/>
          <w:left w:val="single" w:sz="4" w:space="0" w:color="A6BFDD" w:themeColor="accent1" w:themeTint="80"/>
          <w:bottom w:val="nil"/>
          <w:right w:val="nil"/>
        </w:tcBorders>
        <w:shd w:val="clear" w:color="auto" w:fill="FFFFFF"/>
      </w:tcPr>
    </w:tblStylePr>
    <w:tblStylePr w:type="band1Vert">
      <w:pPr>
        <w:snapToGrid/>
      </w:pPr>
      <w:tblPr/>
      <w:tcPr>
        <w:shd w:val="clear" w:color="auto" w:fill="DAE5F1" w:themeFill="accent1" w:themeFillTint="34"/>
      </w:tcPr>
    </w:tblStylePr>
    <w:tblStylePr w:type="band2Vert">
      <w:pPr>
        <w:snapToGrid/>
      </w:pPr>
    </w:tblStylePr>
    <w:tblStylePr w:type="band1Horz">
      <w:pPr>
        <w:snapToGrid/>
      </w:pPr>
      <w:rPr>
        <w:rFonts w:ascii="Arial" w:hAnsi="Arial"/>
        <w:color w:val="A6BFDD" w:themeColor="accent1" w:themeTint="80"/>
        <w:sz w:val="22"/>
      </w:rPr>
      <w:tblPr/>
      <w:tcPr>
        <w:shd w:val="clear" w:color="auto" w:fill="DAE5F1" w:themeFill="accent1" w:themeFillTint="34"/>
      </w:tcPr>
    </w:tblStylePr>
    <w:tblStylePr w:type="band2Horz">
      <w:pPr>
        <w:snapToGrid/>
      </w:pPr>
      <w:rPr>
        <w:rFonts w:ascii="Arial" w:hAnsi="Arial"/>
        <w:color w:val="A6BFDD" w:themeColor="accent1"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2">
    <w:name w:val="Grid Table 7 Colorful - Accent 2"/>
    <w:uiPriority w:val="99"/>
    <w:qFormat/>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pPr>
        <w:snapToGrid/>
      </w:pPr>
      <w:rPr>
        <w:rFonts w:ascii="Arial" w:hAnsi="Arial"/>
        <w:b/>
        <w:color w:val="DA9796" w:themeColor="accent2" w:themeTint="96"/>
        <w:sz w:val="22"/>
      </w:rPr>
      <w:tblPr/>
      <w:tcPr>
        <w:tcBorders>
          <w:top w:val="nil"/>
          <w:left w:val="nil"/>
          <w:bottom w:val="single" w:sz="4" w:space="0" w:color="D99695" w:themeColor="accent2" w:themeTint="97"/>
          <w:right w:val="nil"/>
        </w:tcBorders>
        <w:shd w:val="clear" w:color="auto" w:fill="FFFFFF" w:themeFill="light1"/>
      </w:tcPr>
    </w:tblStylePr>
    <w:tblStylePr w:type="lastRow">
      <w:pPr>
        <w:snapToGrid/>
      </w:pPr>
      <w:rPr>
        <w:rFonts w:ascii="Arial" w:hAnsi="Arial"/>
        <w:b/>
        <w:color w:val="DA9796" w:themeColor="accent2" w:themeTint="96"/>
        <w:sz w:val="22"/>
      </w:rPr>
      <w:tblPr/>
      <w:tcPr>
        <w:tcBorders>
          <w:top w:val="single" w:sz="4" w:space="0" w:color="D99695" w:themeColor="accent2" w:themeTint="97"/>
          <w:left w:val="nil"/>
          <w:bottom w:val="nil"/>
          <w:right w:val="nil"/>
        </w:tcBorders>
        <w:shd w:val="clear" w:color="auto" w:fill="FFFFFF" w:themeFill="light1"/>
      </w:tcPr>
    </w:tblStylePr>
    <w:tblStylePr w:type="firstCol">
      <w:pPr>
        <w:snapToGrid/>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auto" w:fill="FFFFFF"/>
      </w:tcPr>
    </w:tblStylePr>
    <w:tblStylePr w:type="lastCol">
      <w:pPr>
        <w:snapToGrid/>
      </w:pPr>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auto" w:fill="FFFFFF"/>
      </w:tcPr>
    </w:tblStylePr>
    <w:tblStylePr w:type="band1Vert">
      <w:pPr>
        <w:snapToGrid/>
      </w:pPr>
      <w:tblPr/>
      <w:tcPr>
        <w:shd w:val="clear" w:color="auto" w:fill="F2DCDC" w:themeFill="accent2" w:themeFillTint="32"/>
      </w:tcPr>
    </w:tblStylePr>
    <w:tblStylePr w:type="band2Vert">
      <w:pPr>
        <w:snapToGrid/>
      </w:pPr>
    </w:tblStylePr>
    <w:tblStylePr w:type="band1Horz">
      <w:pPr>
        <w:snapToGrid/>
      </w:pPr>
      <w:rPr>
        <w:rFonts w:ascii="Arial" w:hAnsi="Arial"/>
        <w:color w:val="DA9796" w:themeColor="accent2" w:themeTint="96"/>
        <w:sz w:val="22"/>
      </w:rPr>
      <w:tblPr/>
      <w:tcPr>
        <w:shd w:val="clear" w:color="auto" w:fill="F2DCDC" w:themeFill="accent2" w:themeFillTint="32"/>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3">
    <w:name w:val="Grid Table 7 Colorful - Accent 3"/>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pPr>
        <w:snapToGrid/>
      </w:pPr>
      <w:rPr>
        <w:rFonts w:ascii="Arial" w:hAnsi="Arial"/>
        <w:b/>
        <w:color w:val="9BBB59" w:themeColor="accent3"/>
        <w:sz w:val="22"/>
      </w:rPr>
      <w:tblPr/>
      <w:tcPr>
        <w:tcBorders>
          <w:top w:val="nil"/>
          <w:left w:val="nil"/>
          <w:bottom w:val="single" w:sz="4" w:space="0" w:color="9ABB59" w:themeColor="accent3" w:themeTint="FE"/>
          <w:right w:val="nil"/>
        </w:tcBorders>
        <w:shd w:val="clear" w:color="auto" w:fill="FFFFFF" w:themeFill="light1"/>
      </w:tcPr>
    </w:tblStylePr>
    <w:tblStylePr w:type="lastRow">
      <w:pPr>
        <w:snapToGrid/>
      </w:pPr>
      <w:rPr>
        <w:rFonts w:ascii="Arial" w:hAnsi="Arial"/>
        <w:b/>
        <w:color w:val="9BBB59" w:themeColor="accent3"/>
        <w:sz w:val="22"/>
      </w:rPr>
      <w:tblPr/>
      <w:tcPr>
        <w:tcBorders>
          <w:top w:val="single" w:sz="4" w:space="0" w:color="9ABB59" w:themeColor="accent3" w:themeTint="FE"/>
          <w:left w:val="nil"/>
          <w:bottom w:val="nil"/>
          <w:right w:val="nil"/>
        </w:tcBorders>
        <w:shd w:val="clear" w:color="auto" w:fill="FFFFFF" w:themeFill="light1"/>
      </w:tcPr>
    </w:tblStylePr>
    <w:tblStylePr w:type="firstCol">
      <w:pPr>
        <w:snapToGrid/>
        <w:jc w:val="right"/>
      </w:pPr>
      <w:rPr>
        <w:rFonts w:ascii="Arial" w:hAnsi="Arial"/>
        <w:i/>
        <w:color w:val="9BBB59" w:themeColor="accent3"/>
        <w:sz w:val="22"/>
      </w:rPr>
      <w:tblPr/>
      <w:tcPr>
        <w:tcBorders>
          <w:top w:val="nil"/>
          <w:left w:val="nil"/>
          <w:bottom w:val="nil"/>
          <w:right w:val="single" w:sz="4" w:space="0" w:color="9ABB59" w:themeColor="accent3" w:themeTint="FE"/>
        </w:tcBorders>
        <w:shd w:val="clear" w:color="auto" w:fill="FFFFFF"/>
      </w:tcPr>
    </w:tblStylePr>
    <w:tblStylePr w:type="lastCol">
      <w:pPr>
        <w:snapToGrid/>
      </w:pPr>
      <w:rPr>
        <w:rFonts w:ascii="Arial" w:hAnsi="Arial"/>
        <w:i/>
        <w:color w:val="9BBB59" w:themeColor="accent3"/>
        <w:sz w:val="22"/>
      </w:rPr>
      <w:tblPr/>
      <w:tcPr>
        <w:tcBorders>
          <w:top w:val="nil"/>
          <w:left w:val="single" w:sz="4" w:space="0" w:color="9ABB59" w:themeColor="accent3" w:themeTint="FE"/>
          <w:bottom w:val="nil"/>
          <w:right w:val="nil"/>
        </w:tcBorders>
        <w:shd w:val="clear" w:color="auto" w:fill="FFFFFF"/>
      </w:tcPr>
    </w:tblStylePr>
    <w:tblStylePr w:type="band1Vert">
      <w:pPr>
        <w:snapToGrid/>
      </w:pPr>
      <w:tblPr/>
      <w:tcPr>
        <w:shd w:val="clear" w:color="auto" w:fill="EAF1DC" w:themeFill="accent3" w:themeFillTint="34"/>
      </w:tcPr>
    </w:tblStylePr>
    <w:tblStylePr w:type="band2Vert">
      <w:pPr>
        <w:snapToGrid/>
      </w:pPr>
    </w:tblStylePr>
    <w:tblStylePr w:type="band1Horz">
      <w:pPr>
        <w:snapToGrid/>
      </w:pPr>
      <w:rPr>
        <w:rFonts w:ascii="Arial" w:hAnsi="Arial"/>
        <w:color w:val="9BBB59" w:themeColor="accent3"/>
        <w:sz w:val="22"/>
      </w:rPr>
      <w:tblPr/>
      <w:tcPr>
        <w:shd w:val="clear" w:color="auto" w:fill="EAF1DC" w:themeFill="accent3" w:themeFillTint="34"/>
      </w:tcPr>
    </w:tblStylePr>
    <w:tblStylePr w:type="band2Horz">
      <w:pPr>
        <w:snapToGrid/>
      </w:pPr>
      <w:rPr>
        <w:rFonts w:ascii="Arial" w:hAnsi="Arial"/>
        <w:color w:val="9BBB59" w:themeColor="accent3"/>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4">
    <w:name w:val="Grid Table 7 Colorful - Accent 4"/>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pPr>
        <w:snapToGrid/>
      </w:pPr>
      <w:rPr>
        <w:rFonts w:ascii="Arial" w:hAnsi="Arial"/>
        <w:b/>
        <w:color w:val="B2A1C7" w:themeColor="accent4" w:themeTint="99"/>
        <w:sz w:val="22"/>
      </w:rPr>
      <w:tblPr/>
      <w:tcPr>
        <w:tcBorders>
          <w:top w:val="nil"/>
          <w:left w:val="nil"/>
          <w:bottom w:val="single" w:sz="4" w:space="0" w:color="B2A1C6" w:themeColor="accent4" w:themeTint="9A"/>
          <w:right w:val="nil"/>
        </w:tcBorders>
        <w:shd w:val="clear" w:color="auto" w:fill="FFFFFF" w:themeFill="light1"/>
      </w:tcPr>
    </w:tblStylePr>
    <w:tblStylePr w:type="lastRow">
      <w:pPr>
        <w:snapToGrid/>
      </w:pPr>
      <w:rPr>
        <w:rFonts w:ascii="Arial" w:hAnsi="Arial"/>
        <w:b/>
        <w:color w:val="B2A1C7" w:themeColor="accent4" w:themeTint="99"/>
        <w:sz w:val="22"/>
      </w:rPr>
      <w:tblPr/>
      <w:tcPr>
        <w:tcBorders>
          <w:top w:val="single" w:sz="4" w:space="0" w:color="B2A1C6" w:themeColor="accent4" w:themeTint="9A"/>
          <w:left w:val="nil"/>
          <w:bottom w:val="nil"/>
          <w:right w:val="nil"/>
        </w:tcBorders>
        <w:shd w:val="clear" w:color="auto" w:fill="FFFFFF" w:themeFill="light1"/>
      </w:tcPr>
    </w:tblStylePr>
    <w:tblStylePr w:type="firstCol">
      <w:pPr>
        <w:snapToGrid/>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auto" w:fill="FFFFFF"/>
      </w:tcPr>
    </w:tblStylePr>
    <w:tblStylePr w:type="lastCol">
      <w:pPr>
        <w:snapToGrid/>
      </w:pPr>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auto" w:fill="FFFFFF"/>
      </w:tcPr>
    </w:tblStylePr>
    <w:tblStylePr w:type="band1Vert">
      <w:pPr>
        <w:snapToGrid/>
      </w:pPr>
      <w:tblPr/>
      <w:tcPr>
        <w:shd w:val="clear" w:color="auto" w:fill="E5DFEC" w:themeFill="accent4" w:themeFillTint="34"/>
      </w:tcPr>
    </w:tblStylePr>
    <w:tblStylePr w:type="band2Vert">
      <w:pPr>
        <w:snapToGrid/>
      </w:pPr>
    </w:tblStylePr>
    <w:tblStylePr w:type="band1Horz">
      <w:pPr>
        <w:snapToGrid/>
      </w:pPr>
      <w:rPr>
        <w:rFonts w:ascii="Arial" w:hAnsi="Arial"/>
        <w:color w:val="B2A1C7" w:themeColor="accent4" w:themeTint="99"/>
        <w:sz w:val="22"/>
      </w:rPr>
      <w:tblPr/>
      <w:tcPr>
        <w:shd w:val="clear" w:color="auto" w:fill="E5DFEC" w:themeFill="accent4" w:themeFillTint="34"/>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5">
    <w:name w:val="Grid Table 7 Colorful - Accent 5"/>
    <w:uiPriority w:val="99"/>
    <w:qFormat/>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pPr>
        <w:snapToGrid/>
      </w:pPr>
      <w:rPr>
        <w:rFonts w:ascii="Arial" w:hAnsi="Arial"/>
        <w:b/>
        <w:color w:val="266678" w:themeColor="accent5" w:themeShade="94"/>
        <w:sz w:val="22"/>
      </w:rPr>
      <w:tblPr/>
      <w:tcPr>
        <w:tcBorders>
          <w:top w:val="nil"/>
          <w:left w:val="nil"/>
          <w:bottom w:val="single" w:sz="4" w:space="0" w:color="99D0DE" w:themeColor="accent5" w:themeTint="90"/>
          <w:right w:val="nil"/>
        </w:tcBorders>
        <w:shd w:val="clear" w:color="auto" w:fill="FFFFFF" w:themeFill="light1"/>
      </w:tcPr>
    </w:tblStylePr>
    <w:tblStylePr w:type="lastRow">
      <w:pPr>
        <w:snapToGrid/>
      </w:pPr>
      <w:rPr>
        <w:rFonts w:ascii="Arial" w:hAnsi="Arial"/>
        <w:b/>
        <w:color w:val="266678" w:themeColor="accent5" w:themeShade="94"/>
        <w:sz w:val="22"/>
      </w:rPr>
      <w:tblPr/>
      <w:tcPr>
        <w:tcBorders>
          <w:top w:val="single" w:sz="4" w:space="0" w:color="99D0DE" w:themeColor="accent5" w:themeTint="90"/>
          <w:left w:val="nil"/>
          <w:bottom w:val="nil"/>
          <w:right w:val="nil"/>
        </w:tcBorders>
        <w:shd w:val="clear" w:color="auto" w:fill="FFFFFF" w:themeFill="light1"/>
      </w:tcPr>
    </w:tblStylePr>
    <w:tblStylePr w:type="firstCol">
      <w:pPr>
        <w:snapToGrid/>
        <w:jc w:val="right"/>
      </w:pPr>
      <w:rPr>
        <w:rFonts w:ascii="Arial" w:hAnsi="Arial"/>
        <w:i/>
        <w:color w:val="266678" w:themeColor="accent5" w:themeShade="94"/>
        <w:sz w:val="22"/>
      </w:rPr>
      <w:tblPr/>
      <w:tcPr>
        <w:tcBorders>
          <w:top w:val="nil"/>
          <w:left w:val="nil"/>
          <w:bottom w:val="nil"/>
          <w:right w:val="single" w:sz="4" w:space="0" w:color="99D0DE" w:themeColor="accent5" w:themeTint="90"/>
        </w:tcBorders>
        <w:shd w:val="clear" w:color="auto" w:fill="FFFFFF"/>
      </w:tcPr>
    </w:tblStylePr>
    <w:tblStylePr w:type="lastCol">
      <w:pPr>
        <w:snapToGrid/>
      </w:pPr>
      <w:rPr>
        <w:rFonts w:ascii="Arial" w:hAnsi="Arial"/>
        <w:i/>
        <w:color w:val="266678" w:themeColor="accent5" w:themeShade="94"/>
        <w:sz w:val="22"/>
      </w:rPr>
      <w:tblPr/>
      <w:tcPr>
        <w:tcBorders>
          <w:top w:val="nil"/>
          <w:left w:val="single" w:sz="4" w:space="0" w:color="99D0DE" w:themeColor="accent5" w:themeTint="90"/>
          <w:bottom w:val="nil"/>
          <w:right w:val="nil"/>
        </w:tcBorders>
        <w:shd w:val="clear" w:color="auto" w:fill="FFFFFF"/>
      </w:tcPr>
    </w:tblStylePr>
    <w:tblStylePr w:type="band1Vert">
      <w:pPr>
        <w:snapToGrid/>
      </w:pPr>
      <w:tblPr/>
      <w:tcPr>
        <w:shd w:val="clear" w:color="auto" w:fill="DAEEF3" w:themeFill="accent5" w:themeFillTint="34"/>
      </w:tcPr>
    </w:tblStylePr>
    <w:tblStylePr w:type="band2Vert">
      <w:pPr>
        <w:snapToGrid/>
      </w:pPr>
    </w:tblStylePr>
    <w:tblStylePr w:type="band1Horz">
      <w:pPr>
        <w:snapToGrid/>
      </w:pPr>
      <w:rPr>
        <w:rFonts w:ascii="Arial" w:hAnsi="Arial"/>
        <w:color w:val="266678" w:themeColor="accent5" w:themeShade="94"/>
        <w:sz w:val="22"/>
      </w:rPr>
      <w:tblPr/>
      <w:tcPr>
        <w:shd w:val="clear" w:color="auto" w:fill="DAEEF3" w:themeFill="accent5" w:themeFillTint="34"/>
      </w:tcPr>
    </w:tblStylePr>
    <w:tblStylePr w:type="band2Horz">
      <w:pPr>
        <w:snapToGrid/>
      </w:pPr>
      <w:rPr>
        <w:rFonts w:ascii="Arial" w:hAnsi="Arial"/>
        <w:color w:val="266678" w:themeColor="accent5"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6">
    <w:name w:val="Grid Table 7 Colorful - Accent 6"/>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pPr>
        <w:snapToGrid/>
      </w:pPr>
      <w:rPr>
        <w:rFonts w:ascii="Arial" w:hAnsi="Arial"/>
        <w:b/>
        <w:color w:val="B05307" w:themeColor="accent6" w:themeShade="94"/>
        <w:sz w:val="22"/>
      </w:rPr>
      <w:tblPr/>
      <w:tcPr>
        <w:tcBorders>
          <w:top w:val="nil"/>
          <w:left w:val="nil"/>
          <w:bottom w:val="single" w:sz="4" w:space="0" w:color="FAC396" w:themeColor="accent6" w:themeTint="90"/>
          <w:right w:val="nil"/>
        </w:tcBorders>
        <w:shd w:val="clear" w:color="auto" w:fill="FFFFFF" w:themeFill="light1"/>
      </w:tcPr>
    </w:tblStylePr>
    <w:tblStylePr w:type="lastRow">
      <w:pPr>
        <w:snapToGrid/>
      </w:pPr>
      <w:rPr>
        <w:rFonts w:ascii="Arial" w:hAnsi="Arial"/>
        <w:b/>
        <w:color w:val="B05307" w:themeColor="accent6" w:themeShade="94"/>
        <w:sz w:val="22"/>
      </w:rPr>
      <w:tblPr/>
      <w:tcPr>
        <w:tcBorders>
          <w:top w:val="single" w:sz="4" w:space="0" w:color="FAC396" w:themeColor="accent6" w:themeTint="90"/>
          <w:left w:val="nil"/>
          <w:bottom w:val="nil"/>
          <w:right w:val="nil"/>
        </w:tcBorders>
        <w:shd w:val="clear" w:color="auto" w:fill="FFFFFF" w:themeFill="light1"/>
      </w:tcPr>
    </w:tblStylePr>
    <w:tblStylePr w:type="firstCol">
      <w:pPr>
        <w:snapToGrid/>
        <w:jc w:val="right"/>
      </w:pPr>
      <w:rPr>
        <w:rFonts w:ascii="Arial" w:hAnsi="Arial"/>
        <w:i/>
        <w:color w:val="B05307" w:themeColor="accent6" w:themeShade="94"/>
        <w:sz w:val="22"/>
      </w:rPr>
      <w:tblPr/>
      <w:tcPr>
        <w:tcBorders>
          <w:top w:val="nil"/>
          <w:left w:val="nil"/>
          <w:bottom w:val="nil"/>
          <w:right w:val="single" w:sz="4" w:space="0" w:color="FAC396" w:themeColor="accent6" w:themeTint="90"/>
        </w:tcBorders>
        <w:shd w:val="clear" w:color="auto" w:fill="FFFFFF"/>
      </w:tcPr>
    </w:tblStylePr>
    <w:tblStylePr w:type="lastCol">
      <w:pPr>
        <w:snapToGrid/>
      </w:pPr>
      <w:rPr>
        <w:rFonts w:ascii="Arial" w:hAnsi="Arial"/>
        <w:i/>
        <w:color w:val="B05307" w:themeColor="accent6" w:themeShade="94"/>
        <w:sz w:val="22"/>
      </w:rPr>
      <w:tblPr/>
      <w:tcPr>
        <w:tcBorders>
          <w:top w:val="nil"/>
          <w:left w:val="single" w:sz="4" w:space="0" w:color="FAC396" w:themeColor="accent6" w:themeTint="90"/>
          <w:bottom w:val="nil"/>
          <w:right w:val="nil"/>
        </w:tcBorders>
        <w:shd w:val="clear" w:color="auto" w:fill="FFFFFF"/>
      </w:tcPr>
    </w:tblStylePr>
    <w:tblStylePr w:type="band1Vert">
      <w:pPr>
        <w:snapToGrid/>
      </w:pPr>
      <w:tblPr/>
      <w:tcPr>
        <w:shd w:val="clear" w:color="auto" w:fill="FDE9D8" w:themeFill="accent6" w:themeFillTint="34"/>
      </w:tcPr>
    </w:tblStylePr>
    <w:tblStylePr w:type="band2Vert">
      <w:pPr>
        <w:snapToGrid/>
      </w:pPr>
    </w:tblStylePr>
    <w:tblStylePr w:type="band1Horz">
      <w:pPr>
        <w:snapToGrid/>
      </w:pPr>
      <w:rPr>
        <w:rFonts w:ascii="Arial" w:hAnsi="Arial"/>
        <w:color w:val="B05307" w:themeColor="accent6" w:themeShade="94"/>
        <w:sz w:val="22"/>
      </w:rPr>
      <w:tblPr/>
      <w:tcPr>
        <w:shd w:val="clear" w:color="auto" w:fill="FDE9D8" w:themeFill="accent6" w:themeFillTint="34"/>
      </w:tcPr>
    </w:tblStylePr>
    <w:tblStylePr w:type="band2Horz">
      <w:pPr>
        <w:snapToGrid/>
      </w:pPr>
      <w:rPr>
        <w:rFonts w:ascii="Arial" w:hAnsi="Arial"/>
        <w:color w:val="B05307" w:themeColor="accent6"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1">
    <w:name w:val="List Table 1 Light - Accent 1"/>
    <w:uiPriority w:val="99"/>
    <w:qFormat/>
    <w:tblPr>
      <w:tblCellMar>
        <w:top w:w="0" w:type="dxa"/>
        <w:left w:w="0" w:type="dxa"/>
        <w:bottom w:w="0" w:type="dxa"/>
        <w:right w:w="0" w:type="dxa"/>
      </w:tblCellMar>
    </w:tblPr>
    <w:tblStylePr w:type="firstRow">
      <w:pPr>
        <w:snapToGrid/>
      </w:pPr>
      <w:rPr>
        <w:b/>
        <w:color w:val="404040"/>
      </w:rPr>
      <w:tblPr/>
      <w:tcPr>
        <w:tcBorders>
          <w:top w:val="nil"/>
          <w:left w:val="nil"/>
          <w:bottom w:val="single" w:sz="4" w:space="0" w:color="4F81BD" w:themeColor="accent1"/>
          <w:right w:val="nil"/>
        </w:tcBorders>
      </w:tcPr>
    </w:tblStylePr>
    <w:tblStylePr w:type="lastRow">
      <w:pPr>
        <w:snapToGrid/>
      </w:pPr>
      <w:rPr>
        <w:b/>
        <w:color w:val="404040"/>
      </w:rPr>
      <w:tblPr/>
      <w:tcPr>
        <w:tcBorders>
          <w:top w:val="single" w:sz="4" w:space="0" w:color="4F81BD" w:themeColor="accen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auto" w:fill="D2DFEE" w:themeFill="accent1" w:themeFillTint="40"/>
      </w:tcPr>
    </w:tblStylePr>
    <w:tblStylePr w:type="band2Vert">
      <w:pPr>
        <w:snapToGrid/>
      </w:pPr>
    </w:tblStylePr>
    <w:tblStylePr w:type="band1Horz">
      <w:pPr>
        <w:snapToGrid/>
      </w:pPr>
      <w:tblPr/>
      <w:tcPr>
        <w:shd w:val="clear" w:color="auto"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2">
    <w:name w:val="List Table 1 Light - Accent 2"/>
    <w:uiPriority w:val="99"/>
    <w:qFormat/>
    <w:tblPr>
      <w:tblCellMar>
        <w:top w:w="0" w:type="dxa"/>
        <w:left w:w="0" w:type="dxa"/>
        <w:bottom w:w="0" w:type="dxa"/>
        <w:right w:w="0" w:type="dxa"/>
      </w:tblCellMar>
    </w:tblPr>
    <w:tblStylePr w:type="firstRow">
      <w:pPr>
        <w:snapToGrid/>
      </w:pPr>
      <w:rPr>
        <w:b/>
        <w:color w:val="404040"/>
      </w:rPr>
      <w:tblPr/>
      <w:tcPr>
        <w:tcBorders>
          <w:top w:val="nil"/>
          <w:left w:val="nil"/>
          <w:bottom w:val="single" w:sz="4" w:space="0" w:color="C0504D" w:themeColor="accent2"/>
          <w:right w:val="nil"/>
        </w:tcBorders>
      </w:tcPr>
    </w:tblStylePr>
    <w:tblStylePr w:type="lastRow">
      <w:pPr>
        <w:snapToGrid/>
      </w:pPr>
      <w:rPr>
        <w:b/>
        <w:color w:val="404040"/>
      </w:rPr>
      <w:tblPr/>
      <w:tcPr>
        <w:tcBorders>
          <w:top w:val="single" w:sz="4" w:space="0" w:color="C0504D" w:themeColor="accent2"/>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auto" w:fill="EFD2D2" w:themeFill="accent2" w:themeFillTint="40"/>
      </w:tcPr>
    </w:tblStylePr>
    <w:tblStylePr w:type="band2Vert">
      <w:pPr>
        <w:snapToGrid/>
      </w:pPr>
    </w:tblStylePr>
    <w:tblStylePr w:type="band1Horz">
      <w:pPr>
        <w:snapToGrid/>
      </w:pPr>
      <w:tblPr/>
      <w:tcPr>
        <w:shd w:val="clear" w:color="auto"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3">
    <w:name w:val="List Table 1 Light - Accent 3"/>
    <w:uiPriority w:val="99"/>
    <w:qFormat/>
    <w:tblPr>
      <w:tblCellMar>
        <w:top w:w="0" w:type="dxa"/>
        <w:left w:w="0" w:type="dxa"/>
        <w:bottom w:w="0" w:type="dxa"/>
        <w:right w:w="0" w:type="dxa"/>
      </w:tblCellMar>
    </w:tblPr>
    <w:tblStylePr w:type="firstRow">
      <w:pPr>
        <w:snapToGrid/>
      </w:pPr>
      <w:rPr>
        <w:b/>
        <w:color w:val="404040"/>
      </w:rPr>
      <w:tblPr/>
      <w:tcPr>
        <w:tcBorders>
          <w:top w:val="nil"/>
          <w:left w:val="nil"/>
          <w:bottom w:val="single" w:sz="4" w:space="0" w:color="9BBB59" w:themeColor="accent3"/>
          <w:right w:val="nil"/>
        </w:tcBorders>
      </w:tcPr>
    </w:tblStylePr>
    <w:tblStylePr w:type="lastRow">
      <w:pPr>
        <w:snapToGrid/>
      </w:pPr>
      <w:rPr>
        <w:b/>
        <w:color w:val="404040"/>
      </w:rPr>
      <w:tblPr/>
      <w:tcPr>
        <w:tcBorders>
          <w:top w:val="single" w:sz="4" w:space="0" w:color="9BBB59" w:themeColor="accent3"/>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auto" w:fill="E5EED5" w:themeFill="accent3" w:themeFillTint="40"/>
      </w:tcPr>
    </w:tblStylePr>
    <w:tblStylePr w:type="band2Vert">
      <w:pPr>
        <w:snapToGrid/>
      </w:pPr>
    </w:tblStylePr>
    <w:tblStylePr w:type="band1Horz">
      <w:pPr>
        <w:snapToGrid/>
      </w:pPr>
      <w:tblPr/>
      <w:tcPr>
        <w:shd w:val="clear" w:color="auto"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4">
    <w:name w:val="List Table 1 Light - Accent 4"/>
    <w:uiPriority w:val="99"/>
    <w:qFormat/>
    <w:tblPr>
      <w:tblCellMar>
        <w:top w:w="0" w:type="dxa"/>
        <w:left w:w="0" w:type="dxa"/>
        <w:bottom w:w="0" w:type="dxa"/>
        <w:right w:w="0" w:type="dxa"/>
      </w:tblCellMar>
    </w:tblPr>
    <w:tblStylePr w:type="firstRow">
      <w:pPr>
        <w:snapToGrid/>
      </w:pPr>
      <w:rPr>
        <w:b/>
        <w:color w:val="404040"/>
      </w:rPr>
      <w:tblPr/>
      <w:tcPr>
        <w:tcBorders>
          <w:top w:val="nil"/>
          <w:left w:val="nil"/>
          <w:bottom w:val="single" w:sz="4" w:space="0" w:color="8064A2" w:themeColor="accent4"/>
          <w:right w:val="nil"/>
        </w:tcBorders>
      </w:tcPr>
    </w:tblStylePr>
    <w:tblStylePr w:type="lastRow">
      <w:pPr>
        <w:snapToGrid/>
      </w:pPr>
      <w:rPr>
        <w:b/>
        <w:color w:val="404040"/>
      </w:rPr>
      <w:tblPr/>
      <w:tcPr>
        <w:tcBorders>
          <w:top w:val="single" w:sz="4" w:space="0" w:color="8064A2" w:themeColor="accent4"/>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auto" w:fill="DFD8E7" w:themeFill="accent4" w:themeFillTint="40"/>
      </w:tcPr>
    </w:tblStylePr>
    <w:tblStylePr w:type="band2Vert">
      <w:pPr>
        <w:snapToGrid/>
      </w:pPr>
    </w:tblStylePr>
    <w:tblStylePr w:type="band1Horz">
      <w:pPr>
        <w:snapToGrid/>
      </w:pPr>
      <w:tblPr/>
      <w:tcPr>
        <w:shd w:val="clear" w:color="auto"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5">
    <w:name w:val="List Table 1 Light - Accent 5"/>
    <w:uiPriority w:val="99"/>
    <w:qFormat/>
    <w:tblPr>
      <w:tblCellMar>
        <w:top w:w="0" w:type="dxa"/>
        <w:left w:w="0" w:type="dxa"/>
        <w:bottom w:w="0" w:type="dxa"/>
        <w:right w:w="0" w:type="dxa"/>
      </w:tblCellMar>
    </w:tblPr>
    <w:tblStylePr w:type="firstRow">
      <w:pPr>
        <w:snapToGrid/>
      </w:pPr>
      <w:rPr>
        <w:b/>
        <w:color w:val="404040"/>
      </w:rPr>
      <w:tblPr/>
      <w:tcPr>
        <w:tcBorders>
          <w:top w:val="nil"/>
          <w:left w:val="nil"/>
          <w:bottom w:val="single" w:sz="4" w:space="0" w:color="4BACC6" w:themeColor="accent5"/>
          <w:right w:val="nil"/>
        </w:tcBorders>
      </w:tcPr>
    </w:tblStylePr>
    <w:tblStylePr w:type="lastRow">
      <w:pPr>
        <w:snapToGrid/>
      </w:pPr>
      <w:rPr>
        <w:b/>
        <w:color w:val="404040"/>
      </w:rPr>
      <w:tblPr/>
      <w:tcPr>
        <w:tcBorders>
          <w:top w:val="single" w:sz="4" w:space="0" w:color="4BACC6" w:themeColor="accent5"/>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auto" w:fill="D1EAF0" w:themeFill="accent5" w:themeFillTint="40"/>
      </w:tcPr>
    </w:tblStylePr>
    <w:tblStylePr w:type="band2Vert">
      <w:pPr>
        <w:snapToGrid/>
      </w:pPr>
    </w:tblStylePr>
    <w:tblStylePr w:type="band1Horz">
      <w:pPr>
        <w:snapToGrid/>
      </w:pPr>
      <w:tblPr/>
      <w:tcPr>
        <w:shd w:val="clear" w:color="auto"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6">
    <w:name w:val="List Table 1 Light - Accent 6"/>
    <w:uiPriority w:val="99"/>
    <w:qFormat/>
    <w:tblPr>
      <w:tblCellMar>
        <w:top w:w="0" w:type="dxa"/>
        <w:left w:w="0" w:type="dxa"/>
        <w:bottom w:w="0" w:type="dxa"/>
        <w:right w:w="0" w:type="dxa"/>
      </w:tblCellMar>
    </w:tblPr>
    <w:tblStylePr w:type="firstRow">
      <w:pPr>
        <w:snapToGrid/>
      </w:pPr>
      <w:rPr>
        <w:b/>
        <w:color w:val="404040"/>
      </w:rPr>
      <w:tblPr/>
      <w:tcPr>
        <w:tcBorders>
          <w:top w:val="nil"/>
          <w:left w:val="nil"/>
          <w:bottom w:val="single" w:sz="4" w:space="0" w:color="F79646" w:themeColor="accent6"/>
          <w:right w:val="nil"/>
        </w:tcBorders>
      </w:tcPr>
    </w:tblStylePr>
    <w:tblStylePr w:type="lastRow">
      <w:pPr>
        <w:snapToGrid/>
      </w:pPr>
      <w:rPr>
        <w:b/>
        <w:color w:val="404040"/>
      </w:rPr>
      <w:tblPr/>
      <w:tcPr>
        <w:tcBorders>
          <w:top w:val="single" w:sz="4" w:space="0" w:color="F79646" w:themeColor="accent6"/>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auto" w:fill="FDE4D0" w:themeFill="accent6" w:themeFillTint="40"/>
      </w:tcPr>
    </w:tblStylePr>
    <w:tblStylePr w:type="band2Vert">
      <w:pPr>
        <w:snapToGrid/>
      </w:pPr>
    </w:tblStylePr>
    <w:tblStylePr w:type="band1Horz">
      <w:pPr>
        <w:snapToGrid/>
      </w:pPr>
      <w:tblPr/>
      <w:tcPr>
        <w:shd w:val="clear" w:color="auto"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1">
    <w:name w:val="List Table 2 - Accent 1"/>
    <w:uiPriority w:val="99"/>
    <w:qFormat/>
    <w:tblPr>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pPr>
        <w:snapToGrid/>
      </w:pPr>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pPr>
        <w:snapToGrid/>
      </w:pPr>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auto" w:fill="D2DFEE" w:themeFill="accent1" w:themeFillTint="40"/>
      </w:tcPr>
    </w:tblStylePr>
    <w:tblStylePr w:type="band2Vert">
      <w:pPr>
        <w:snapToGrid/>
      </w:pPr>
    </w:tblStylePr>
    <w:tblStylePr w:type="band1Horz">
      <w:pPr>
        <w:snapToGrid/>
      </w:pPr>
      <w:rPr>
        <w:rFonts w:ascii="Arial" w:hAnsi="Arial"/>
        <w:color w:val="404040"/>
        <w:sz w:val="22"/>
      </w:rPr>
      <w:tblPr/>
      <w:tcPr>
        <w:shd w:val="clear" w:color="auto"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2">
    <w:name w:val="List Table 2 - Accent 2"/>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pPr>
        <w:snapToGrid/>
      </w:pPr>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pPr>
        <w:snapToGrid/>
      </w:pPr>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auto" w:fill="EFD2D2" w:themeFill="accent2" w:themeFillTint="40"/>
      </w:tcPr>
    </w:tblStylePr>
    <w:tblStylePr w:type="band2Vert">
      <w:pPr>
        <w:snapToGrid/>
      </w:pPr>
    </w:tblStylePr>
    <w:tblStylePr w:type="band1Horz">
      <w:pPr>
        <w:snapToGrid/>
      </w:pPr>
      <w:rPr>
        <w:rFonts w:ascii="Arial" w:hAnsi="Arial"/>
        <w:color w:val="404040"/>
        <w:sz w:val="22"/>
      </w:rPr>
      <w:tblPr/>
      <w:tcPr>
        <w:shd w:val="clear" w:color="auto"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3">
    <w:name w:val="List Table 2 - Accent 3"/>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pPr>
        <w:snapToGrid/>
      </w:pPr>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pPr>
        <w:snapToGrid/>
      </w:pPr>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auto" w:fill="E5EED5" w:themeFill="accent3" w:themeFillTint="40"/>
      </w:tcPr>
    </w:tblStylePr>
    <w:tblStylePr w:type="band2Vert">
      <w:pPr>
        <w:snapToGrid/>
      </w:pPr>
    </w:tblStylePr>
    <w:tblStylePr w:type="band1Horz">
      <w:pPr>
        <w:snapToGrid/>
      </w:pPr>
      <w:rPr>
        <w:rFonts w:ascii="Arial" w:hAnsi="Arial"/>
        <w:color w:val="404040"/>
        <w:sz w:val="22"/>
      </w:rPr>
      <w:tblPr/>
      <w:tcPr>
        <w:shd w:val="clear" w:color="auto"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4">
    <w:name w:val="List Table 2 - Accent 4"/>
    <w:uiPriority w:val="99"/>
    <w:qFormat/>
    <w:tblPr>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pPr>
        <w:snapToGrid/>
      </w:pPr>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pPr>
        <w:snapToGrid/>
      </w:pPr>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auto" w:fill="DFD8E7" w:themeFill="accent4" w:themeFillTint="40"/>
      </w:tcPr>
    </w:tblStylePr>
    <w:tblStylePr w:type="band2Vert">
      <w:pPr>
        <w:snapToGrid/>
      </w:pPr>
    </w:tblStylePr>
    <w:tblStylePr w:type="band1Horz">
      <w:pPr>
        <w:snapToGrid/>
      </w:pPr>
      <w:rPr>
        <w:rFonts w:ascii="Arial" w:hAnsi="Arial"/>
        <w:color w:val="404040"/>
        <w:sz w:val="22"/>
      </w:rPr>
      <w:tblPr/>
      <w:tcPr>
        <w:shd w:val="clear" w:color="auto"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5">
    <w:name w:val="List Table 2 - Accent 5"/>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pPr>
        <w:snapToGrid/>
      </w:pPr>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pPr>
        <w:snapToGrid/>
      </w:pPr>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auto" w:fill="D1EAF0" w:themeFill="accent5" w:themeFillTint="40"/>
      </w:tcPr>
    </w:tblStylePr>
    <w:tblStylePr w:type="band2Vert">
      <w:pPr>
        <w:snapToGrid/>
      </w:pPr>
    </w:tblStylePr>
    <w:tblStylePr w:type="band1Horz">
      <w:pPr>
        <w:snapToGrid/>
      </w:pPr>
      <w:rPr>
        <w:rFonts w:ascii="Arial" w:hAnsi="Arial"/>
        <w:color w:val="404040"/>
        <w:sz w:val="22"/>
      </w:rPr>
      <w:tblPr/>
      <w:tcPr>
        <w:shd w:val="clear" w:color="auto"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6">
    <w:name w:val="List Table 2 - Accent 6"/>
    <w:uiPriority w:val="99"/>
    <w:qFormat/>
    <w:tblPr>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pPr>
        <w:snapToGrid/>
      </w:pPr>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pPr>
        <w:snapToGrid/>
      </w:pPr>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auto" w:fill="FDE4D0" w:themeFill="accent6" w:themeFillTint="40"/>
      </w:tcPr>
    </w:tblStylePr>
    <w:tblStylePr w:type="band2Vert">
      <w:pPr>
        <w:snapToGrid/>
      </w:pPr>
    </w:tblStylePr>
    <w:tblStylePr w:type="band1Horz">
      <w:pPr>
        <w:snapToGrid/>
      </w:pPr>
      <w:rPr>
        <w:rFonts w:ascii="Arial" w:hAnsi="Arial"/>
        <w:color w:val="404040"/>
        <w:sz w:val="22"/>
      </w:rPr>
      <w:tblPr/>
      <w:tcPr>
        <w:shd w:val="clear" w:color="auto"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1">
    <w:name w:val="List Table 3 - Accent 1"/>
    <w:uiPriority w:val="99"/>
    <w:qFormat/>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pPr>
        <w:snapToGrid/>
      </w:pPr>
      <w:rPr>
        <w:rFonts w:ascii="Arial" w:hAnsi="Arial"/>
        <w:b/>
        <w:color w:val="FFFFFF"/>
        <w:sz w:val="22"/>
      </w:rPr>
      <w:tblPr/>
      <w:tcPr>
        <w:shd w:val="clear" w:color="auto" w:fill="4F81BD"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4F81BD" w:themeColor="accent1"/>
          <w:right w:val="single" w:sz="4" w:space="0" w:color="4F81BD" w:themeColor="accent1"/>
        </w:tcBorders>
      </w:tcPr>
    </w:tblStylePr>
    <w:tblStylePr w:type="band2Vert">
      <w:pPr>
        <w:snapToGrid/>
      </w:pPr>
    </w:tblStylePr>
    <w:tblStylePr w:type="band1Horz">
      <w:pPr>
        <w:snapToGrid/>
      </w:pPr>
      <w:rPr>
        <w:rFonts w:ascii="Arial" w:hAnsi="Arial"/>
        <w:color w:val="404040"/>
        <w:sz w:val="22"/>
      </w:rPr>
      <w:tblPr/>
      <w:tcPr>
        <w:tcBorders>
          <w:top w:val="single" w:sz="4" w:space="0" w:color="4F81BD" w:themeColor="accent1"/>
          <w:bottom w:val="single" w:sz="4" w:space="0" w:color="4F81BD" w:themeColor="accen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2">
    <w:name w:val="List Table 3 - Accent 2"/>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pPr>
        <w:snapToGrid/>
      </w:pPr>
      <w:rPr>
        <w:rFonts w:ascii="Arial" w:hAnsi="Arial"/>
        <w:b/>
        <w:color w:val="FFFFFF"/>
        <w:sz w:val="22"/>
      </w:rPr>
      <w:tblPr/>
      <w:tcPr>
        <w:shd w:val="clear" w:color="auto" w:fill="D99695" w:themeFill="accent2" w:themeFillTint="97"/>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2Vert">
      <w:pPr>
        <w:snapToGrid/>
      </w:pPr>
    </w:tblStylePr>
    <w:tblStylePr w:type="band1Horz">
      <w:pPr>
        <w:snapToGrid/>
      </w:pPr>
      <w:rPr>
        <w:rFonts w:ascii="Arial" w:hAnsi="Arial"/>
        <w:color w:val="404040"/>
        <w:sz w:val="22"/>
      </w:rPr>
      <w:tblPr/>
      <w:tcPr>
        <w:tcBorders>
          <w:top w:val="single" w:sz="4" w:space="0" w:color="D99695" w:themeColor="accent2" w:themeTint="97"/>
          <w:bottom w:val="single" w:sz="4" w:space="0" w:color="D99695" w:themeColor="accent2" w:themeTint="9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3">
    <w:name w:val="List Table 3 - Accent 3"/>
    <w:uiPriority w:val="99"/>
    <w:qFormat/>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pPr>
        <w:snapToGrid/>
      </w:pPr>
      <w:rPr>
        <w:rFonts w:ascii="Arial" w:hAnsi="Arial"/>
        <w:b/>
        <w:color w:val="FFFFFF"/>
        <w:sz w:val="22"/>
      </w:rPr>
      <w:tblPr/>
      <w:tcPr>
        <w:shd w:val="clear" w:color="auto" w:fill="C3D69B" w:themeFill="accent3"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C3D69B" w:themeColor="accent3" w:themeTint="98"/>
          <w:bottom w:val="single" w:sz="4" w:space="0" w:color="C3D69B" w:themeColor="accent3"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4">
    <w:name w:val="List Table 3 - Accent 4"/>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pPr>
        <w:snapToGrid/>
      </w:pPr>
      <w:rPr>
        <w:rFonts w:ascii="Arial" w:hAnsi="Arial"/>
        <w:b/>
        <w:color w:val="FFFFFF"/>
        <w:sz w:val="22"/>
      </w:rPr>
      <w:tblPr/>
      <w:tcPr>
        <w:shd w:val="clear" w:color="auto" w:fill="B2A1C6" w:themeFill="accent4"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B2A1C6" w:themeColor="accent4" w:themeTint="9A"/>
          <w:bottom w:val="single" w:sz="4" w:space="0" w:color="B2A1C6" w:themeColor="accent4"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5">
    <w:name w:val="List Table 3 - Accent 5"/>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pPr>
        <w:snapToGrid/>
      </w:pPr>
      <w:rPr>
        <w:rFonts w:ascii="Arial" w:hAnsi="Arial"/>
        <w:b/>
        <w:color w:val="FFFFFF"/>
        <w:sz w:val="22"/>
      </w:rPr>
      <w:tblPr/>
      <w:tcPr>
        <w:shd w:val="clear" w:color="auto" w:fill="92CCDC" w:themeFill="accent5"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92CCDC" w:themeColor="accent5" w:themeTint="9A"/>
          <w:bottom w:val="single" w:sz="4" w:space="0" w:color="92CCDC" w:themeColor="accent5"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6">
    <w:name w:val="List Table 3 - Accent 6"/>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pPr>
        <w:snapToGrid/>
      </w:pPr>
      <w:rPr>
        <w:rFonts w:ascii="Arial" w:hAnsi="Arial"/>
        <w:b/>
        <w:color w:val="FFFFFF"/>
        <w:sz w:val="22"/>
      </w:rPr>
      <w:tblPr/>
      <w:tcPr>
        <w:shd w:val="clear" w:color="auto" w:fill="FAC090" w:themeFill="accent6"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FAC090" w:themeColor="accent6" w:themeTint="98"/>
          <w:bottom w:val="single" w:sz="4" w:space="0" w:color="FAC090" w:themeColor="accent6"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1">
    <w:name w:val="List Table 4 - Accent 1"/>
    <w:uiPriority w:val="9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pPr>
        <w:snapToGrid/>
      </w:pPr>
      <w:rPr>
        <w:rFonts w:ascii="Arial" w:hAnsi="Arial"/>
        <w:b/>
        <w:color w:val="FFFFFF"/>
        <w:sz w:val="22"/>
      </w:rPr>
      <w:tblPr/>
      <w:tcPr>
        <w:shd w:val="clear" w:color="auto" w:fill="4F81BD"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D2DFEE" w:themeFill="accent1" w:themeFillTint="40"/>
      </w:tcPr>
    </w:tblStylePr>
    <w:tblStylePr w:type="band2Vert">
      <w:pPr>
        <w:snapToGrid/>
      </w:pPr>
    </w:tblStylePr>
    <w:tblStylePr w:type="band1Horz">
      <w:pPr>
        <w:snapToGrid/>
      </w:pPr>
      <w:rPr>
        <w:rFonts w:ascii="Arial" w:hAnsi="Arial"/>
        <w:color w:val="404040"/>
        <w:sz w:val="22"/>
      </w:rPr>
      <w:tblPr/>
      <w:tcPr>
        <w:shd w:val="clear" w:color="auto"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2">
    <w:name w:val="List Table 4 - Accent 2"/>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pPr>
        <w:snapToGrid/>
      </w:pPr>
      <w:rPr>
        <w:rFonts w:ascii="Arial" w:hAnsi="Arial"/>
        <w:b/>
        <w:color w:val="FFFFFF"/>
        <w:sz w:val="22"/>
      </w:rPr>
      <w:tblPr/>
      <w:tcPr>
        <w:shd w:val="clear" w:color="auto" w:fill="C0504D" w:themeFill="accent2"/>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EFD2D2" w:themeFill="accent2" w:themeFillTint="40"/>
      </w:tcPr>
    </w:tblStylePr>
    <w:tblStylePr w:type="band2Vert">
      <w:pPr>
        <w:snapToGrid/>
      </w:pPr>
    </w:tblStylePr>
    <w:tblStylePr w:type="band1Horz">
      <w:pPr>
        <w:snapToGrid/>
      </w:pPr>
      <w:rPr>
        <w:rFonts w:ascii="Arial" w:hAnsi="Arial"/>
        <w:color w:val="404040"/>
        <w:sz w:val="22"/>
      </w:rPr>
      <w:tblPr/>
      <w:tcPr>
        <w:shd w:val="clear" w:color="auto"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3">
    <w:name w:val="List Table 4 - Accent 3"/>
    <w:uiPriority w:val="9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pPr>
        <w:snapToGrid/>
      </w:pPr>
      <w:rPr>
        <w:rFonts w:ascii="Arial" w:hAnsi="Arial"/>
        <w:b/>
        <w:color w:val="FFFFFF"/>
        <w:sz w:val="22"/>
      </w:rPr>
      <w:tblPr/>
      <w:tcPr>
        <w:shd w:val="clear" w:color="auto" w:fill="9BBB59" w:themeFill="accent3"/>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E5EED5" w:themeFill="accent3" w:themeFillTint="40"/>
      </w:tcPr>
    </w:tblStylePr>
    <w:tblStylePr w:type="band2Vert">
      <w:pPr>
        <w:snapToGrid/>
      </w:pPr>
    </w:tblStylePr>
    <w:tblStylePr w:type="band1Horz">
      <w:pPr>
        <w:snapToGrid/>
      </w:pPr>
      <w:rPr>
        <w:rFonts w:ascii="Arial" w:hAnsi="Arial"/>
        <w:color w:val="404040"/>
        <w:sz w:val="22"/>
      </w:rPr>
      <w:tblPr/>
      <w:tcPr>
        <w:shd w:val="clear" w:color="auto"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4">
    <w:name w:val="List Table 4 - Accent 4"/>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pPr>
        <w:snapToGrid/>
      </w:pPr>
      <w:rPr>
        <w:rFonts w:ascii="Arial" w:hAnsi="Arial"/>
        <w:b/>
        <w:color w:val="FFFFFF"/>
        <w:sz w:val="22"/>
      </w:rPr>
      <w:tblPr/>
      <w:tcPr>
        <w:shd w:val="clear" w:color="auto" w:fill="8064A2" w:themeFill="accent4"/>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DFD8E7" w:themeFill="accent4" w:themeFillTint="40"/>
      </w:tcPr>
    </w:tblStylePr>
    <w:tblStylePr w:type="band2Vert">
      <w:pPr>
        <w:snapToGrid/>
      </w:pPr>
    </w:tblStylePr>
    <w:tblStylePr w:type="band1Horz">
      <w:pPr>
        <w:snapToGrid/>
      </w:pPr>
      <w:rPr>
        <w:rFonts w:ascii="Arial" w:hAnsi="Arial"/>
        <w:color w:val="404040"/>
        <w:sz w:val="22"/>
      </w:rPr>
      <w:tblPr/>
      <w:tcPr>
        <w:shd w:val="clear" w:color="auto"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5">
    <w:name w:val="List Table 4 - Accent 5"/>
    <w:uiPriority w:val="9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pPr>
        <w:snapToGrid/>
      </w:pPr>
      <w:rPr>
        <w:rFonts w:ascii="Arial" w:hAnsi="Arial"/>
        <w:b/>
        <w:color w:val="FFFFFF"/>
        <w:sz w:val="22"/>
      </w:rPr>
      <w:tblPr/>
      <w:tcPr>
        <w:shd w:val="clear" w:color="auto" w:fill="4BACC6" w:themeFill="accent5"/>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D1EAF0" w:themeFill="accent5" w:themeFillTint="40"/>
      </w:tcPr>
    </w:tblStylePr>
    <w:tblStylePr w:type="band2Vert">
      <w:pPr>
        <w:snapToGrid/>
      </w:pPr>
    </w:tblStylePr>
    <w:tblStylePr w:type="band1Horz">
      <w:pPr>
        <w:snapToGrid/>
      </w:pPr>
      <w:rPr>
        <w:rFonts w:ascii="Arial" w:hAnsi="Arial"/>
        <w:color w:val="404040"/>
        <w:sz w:val="22"/>
      </w:rPr>
      <w:tblPr/>
      <w:tcPr>
        <w:shd w:val="clear" w:color="auto"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6">
    <w:name w:val="List Table 4 - Accent 6"/>
    <w:uiPriority w:val="9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pPr>
        <w:snapToGrid/>
      </w:pPr>
      <w:rPr>
        <w:rFonts w:ascii="Arial" w:hAnsi="Arial"/>
        <w:b/>
        <w:color w:val="FFFFFF"/>
        <w:sz w:val="22"/>
      </w:rPr>
      <w:tblPr/>
      <w:tcPr>
        <w:shd w:val="clear" w:color="auto" w:fill="F79646" w:themeFill="accent6"/>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FDE4D0" w:themeFill="accent6" w:themeFillTint="40"/>
      </w:tcPr>
    </w:tblStylePr>
    <w:tblStylePr w:type="band2Vert">
      <w:pPr>
        <w:snapToGrid/>
      </w:pPr>
    </w:tblStylePr>
    <w:tblStylePr w:type="band1Horz">
      <w:pPr>
        <w:snapToGrid/>
      </w:pPr>
      <w:rPr>
        <w:rFonts w:ascii="Arial" w:hAnsi="Arial"/>
        <w:color w:val="404040"/>
        <w:sz w:val="22"/>
      </w:rPr>
      <w:tblPr/>
      <w:tcPr>
        <w:shd w:val="clear" w:color="auto"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1">
    <w:name w:val="List Table 5 Dark - Accent 1"/>
    <w:uiPriority w:val="99"/>
    <w:qFormat/>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CellMar>
        <w:top w:w="0" w:type="dxa"/>
        <w:left w:w="0" w:type="dxa"/>
        <w:bottom w:w="0" w:type="dxa"/>
        <w:right w:w="0" w:type="dxa"/>
      </w:tblCellMar>
    </w:tblPr>
    <w:tblStylePr w:type="firstRow">
      <w:pPr>
        <w:snapToGrid/>
      </w:pPr>
      <w:rPr>
        <w:rFonts w:ascii="Arial" w:hAnsi="Arial"/>
        <w:b/>
        <w:color w:val="FFFFFF" w:themeColor="light1"/>
        <w:sz w:val="22"/>
      </w:rPr>
      <w:tblPr/>
      <w:tcPr>
        <w:tcBorders>
          <w:top w:val="single" w:sz="32" w:space="0" w:color="4F81BD" w:themeColor="accent1"/>
          <w:bottom w:val="single" w:sz="12" w:space="0" w:color="FFFFFF" w:themeColor="light1"/>
        </w:tcBorders>
        <w:shd w:val="clear" w:color="auto" w:fill="4F81BD" w:themeFill="accent1"/>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pPr>
        <w:snapToGrid/>
      </w:pPr>
      <w:tblPr/>
      <w:tcPr>
        <w:tcBorders>
          <w:left w:val="single" w:sz="4" w:space="0" w:color="FFFFFF" w:themeColor="light1"/>
          <w:right w:val="single" w:sz="32" w:space="0" w:color="4F81BD" w:themeColor="accent1"/>
        </w:tcBorders>
      </w:tcPr>
    </w:tblStylePr>
    <w:tblStylePr w:type="band1Vert">
      <w:pPr>
        <w:snapToGrid/>
      </w:pPr>
      <w:tblPr/>
      <w:tcPr>
        <w:tcBorders>
          <w:left w:val="single" w:sz="4" w:space="0" w:color="FFFFFF" w:themeColor="light1"/>
          <w:right w:val="single" w:sz="4" w:space="0" w:color="FFFFFF" w:themeColor="light1"/>
        </w:tcBorders>
        <w:shd w:val="clear" w:color="auto" w:fill="4F81BD" w:themeFill="accent1"/>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auto" w:fill="4F81BD" w:themeFill="accent1"/>
      </w:tcPr>
    </w:tblStylePr>
    <w:tblStylePr w:type="band2Horz">
      <w:pPr>
        <w:snapToGrid/>
      </w:pPr>
      <w:tblPr/>
      <w:tcPr>
        <w:tcBorders>
          <w:top w:val="single" w:sz="4" w:space="0" w:color="FFFFFF" w:themeColor="light1"/>
          <w:bottom w:val="single" w:sz="4" w:space="0" w:color="FFFFFF" w:themeColor="light1"/>
        </w:tcBorders>
        <w:shd w:val="clear" w:color="auto" w:fill="4F81BD" w:themeFill="accent1"/>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2">
    <w:name w:val="List Table 5 Dark - Accent 2"/>
    <w:uiPriority w:val="99"/>
    <w:qFormat/>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CellMar>
        <w:top w:w="0" w:type="dxa"/>
        <w:left w:w="0" w:type="dxa"/>
        <w:bottom w:w="0" w:type="dxa"/>
        <w:right w:w="0" w:type="dxa"/>
      </w:tblCellMar>
    </w:tblPr>
    <w:tblStylePr w:type="firstRow">
      <w:pPr>
        <w:snapToGrid/>
      </w:pPr>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auto" w:fill="D99695" w:themeFill="accent2" w:themeFillTint="97"/>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pPr>
        <w:snapToGrid/>
      </w:pPr>
      <w:tblPr/>
      <w:tcPr>
        <w:tcBorders>
          <w:left w:val="single" w:sz="4" w:space="0" w:color="FFFFFF" w:themeColor="light1"/>
          <w:right w:val="single" w:sz="32" w:space="0" w:color="D99695" w:themeColor="accent2" w:themeTint="97"/>
        </w:tcBorders>
      </w:tcPr>
    </w:tblStylePr>
    <w:tblStylePr w:type="band1Vert">
      <w:pPr>
        <w:snapToGrid/>
      </w:pPr>
      <w:tblPr/>
      <w:tcPr>
        <w:tcBorders>
          <w:left w:val="single" w:sz="4" w:space="0" w:color="FFFFFF" w:themeColor="light1"/>
          <w:right w:val="single" w:sz="4" w:space="0" w:color="FFFFFF" w:themeColor="light1"/>
        </w:tcBorders>
        <w:shd w:val="clear" w:color="auto" w:fill="D99695" w:themeFill="accent2" w:themeFillTint="97"/>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auto" w:fill="D99695" w:themeFill="accent2" w:themeFillTint="97"/>
      </w:tcPr>
    </w:tblStylePr>
    <w:tblStylePr w:type="band2Horz">
      <w:pPr>
        <w:snapToGrid/>
      </w:pPr>
      <w:tblPr/>
      <w:tcPr>
        <w:tcBorders>
          <w:top w:val="single" w:sz="4" w:space="0" w:color="FFFFFF" w:themeColor="light1"/>
          <w:bottom w:val="single" w:sz="4" w:space="0" w:color="FFFFFF" w:themeColor="light1"/>
        </w:tcBorders>
        <w:shd w:val="clear" w:color="auto" w:fill="D99695" w:themeFill="accent2" w:themeFillTint="97"/>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3">
    <w:name w:val="List Table 5 Dark - Accent 3"/>
    <w:uiPriority w:val="99"/>
    <w:qFormat/>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CellMar>
        <w:top w:w="0" w:type="dxa"/>
        <w:left w:w="0" w:type="dxa"/>
        <w:bottom w:w="0" w:type="dxa"/>
        <w:right w:w="0" w:type="dxa"/>
      </w:tblCellMar>
    </w:tblPr>
    <w:tblStylePr w:type="firstRow">
      <w:pPr>
        <w:snapToGrid/>
      </w:pPr>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auto" w:fill="C3D69B" w:themeFill="accent3"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pPr>
        <w:snapToGrid/>
      </w:pPr>
      <w:tblPr/>
      <w:tcPr>
        <w:tcBorders>
          <w:left w:val="single" w:sz="4" w:space="0" w:color="FFFFFF" w:themeColor="light1"/>
          <w:right w:val="single" w:sz="32" w:space="0" w:color="C3D69B" w:themeColor="accent3" w:themeTint="98"/>
        </w:tcBorders>
      </w:tcPr>
    </w:tblStylePr>
    <w:tblStylePr w:type="band1Vert">
      <w:pPr>
        <w:snapToGrid/>
      </w:pPr>
      <w:tblPr/>
      <w:tcPr>
        <w:tcBorders>
          <w:left w:val="single" w:sz="4" w:space="0" w:color="FFFFFF" w:themeColor="light1"/>
          <w:right w:val="single" w:sz="4" w:space="0" w:color="FFFFFF" w:themeColor="light1"/>
        </w:tcBorders>
        <w:shd w:val="clear" w:color="auto" w:fill="C3D69B" w:themeFill="accent3"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auto" w:fill="C3D69B" w:themeFill="accent3" w:themeFillTint="98"/>
      </w:tcPr>
    </w:tblStylePr>
    <w:tblStylePr w:type="band2Horz">
      <w:pPr>
        <w:snapToGrid/>
      </w:pPr>
      <w:tblPr/>
      <w:tcPr>
        <w:tcBorders>
          <w:top w:val="single" w:sz="4" w:space="0" w:color="FFFFFF" w:themeColor="light1"/>
          <w:bottom w:val="single" w:sz="4" w:space="0" w:color="FFFFFF" w:themeColor="light1"/>
        </w:tcBorders>
        <w:shd w:val="clear" w:color="auto" w:fill="C3D69B" w:themeFill="accent3"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4">
    <w:name w:val="List Table 5 Dark - Accent 4"/>
    <w:uiPriority w:val="99"/>
    <w:qFormat/>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CellMar>
        <w:top w:w="0" w:type="dxa"/>
        <w:left w:w="0" w:type="dxa"/>
        <w:bottom w:w="0" w:type="dxa"/>
        <w:right w:w="0" w:type="dxa"/>
      </w:tblCellMar>
    </w:tblPr>
    <w:tblStylePr w:type="firstRow">
      <w:pPr>
        <w:snapToGrid/>
      </w:pPr>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auto" w:fill="B2A1C6" w:themeFill="accent4"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pPr>
        <w:snapToGrid/>
      </w:pPr>
      <w:tblPr/>
      <w:tcPr>
        <w:tcBorders>
          <w:left w:val="single" w:sz="4" w:space="0" w:color="FFFFFF" w:themeColor="light1"/>
          <w:right w:val="single" w:sz="32" w:space="0" w:color="B2A1C6" w:themeColor="accent4" w:themeTint="9A"/>
        </w:tcBorders>
      </w:tcPr>
    </w:tblStylePr>
    <w:tblStylePr w:type="band1Vert">
      <w:pPr>
        <w:snapToGrid/>
      </w:pPr>
      <w:tblPr/>
      <w:tcPr>
        <w:tcBorders>
          <w:left w:val="single" w:sz="4" w:space="0" w:color="FFFFFF" w:themeColor="light1"/>
          <w:right w:val="single" w:sz="4" w:space="0" w:color="FFFFFF" w:themeColor="light1"/>
        </w:tcBorders>
        <w:shd w:val="clear" w:color="auto" w:fill="B2A1C6" w:themeFill="accent4"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auto" w:fill="B2A1C6" w:themeFill="accent4" w:themeFillTint="9A"/>
      </w:tcPr>
    </w:tblStylePr>
    <w:tblStylePr w:type="band2Horz">
      <w:pPr>
        <w:snapToGrid/>
      </w:pPr>
      <w:tblPr/>
      <w:tcPr>
        <w:tcBorders>
          <w:top w:val="single" w:sz="4" w:space="0" w:color="FFFFFF" w:themeColor="light1"/>
          <w:bottom w:val="single" w:sz="4" w:space="0" w:color="FFFFFF" w:themeColor="light1"/>
        </w:tcBorders>
        <w:shd w:val="clear" w:color="auto" w:fill="B2A1C6" w:themeFill="accent4"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5">
    <w:name w:val="List Table 5 Dark - Accent 5"/>
    <w:uiPriority w:val="99"/>
    <w:qFormat/>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CellMar>
        <w:top w:w="0" w:type="dxa"/>
        <w:left w:w="0" w:type="dxa"/>
        <w:bottom w:w="0" w:type="dxa"/>
        <w:right w:w="0" w:type="dxa"/>
      </w:tblCellMar>
    </w:tblPr>
    <w:tblStylePr w:type="firstRow">
      <w:pPr>
        <w:snapToGrid/>
      </w:pPr>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auto" w:fill="92CCDC" w:themeFill="accent5"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pPr>
        <w:snapToGrid/>
      </w:pPr>
      <w:tblPr/>
      <w:tcPr>
        <w:tcBorders>
          <w:left w:val="single" w:sz="4" w:space="0" w:color="FFFFFF" w:themeColor="light1"/>
          <w:right w:val="single" w:sz="32" w:space="0" w:color="92CCDC" w:themeColor="accent5" w:themeTint="9A"/>
        </w:tcBorders>
      </w:tcPr>
    </w:tblStylePr>
    <w:tblStylePr w:type="band1Vert">
      <w:pPr>
        <w:snapToGrid/>
      </w:pPr>
      <w:tblPr/>
      <w:tcPr>
        <w:tcBorders>
          <w:left w:val="single" w:sz="4" w:space="0" w:color="FFFFFF" w:themeColor="light1"/>
          <w:right w:val="single" w:sz="4" w:space="0" w:color="FFFFFF" w:themeColor="light1"/>
        </w:tcBorders>
        <w:shd w:val="clear" w:color="auto" w:fill="92CCDC" w:themeFill="accent5"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auto" w:fill="92CCDC" w:themeFill="accent5" w:themeFillTint="9A"/>
      </w:tcPr>
    </w:tblStylePr>
    <w:tblStylePr w:type="band2Horz">
      <w:pPr>
        <w:snapToGrid/>
      </w:pPr>
      <w:tblPr/>
      <w:tcPr>
        <w:tcBorders>
          <w:top w:val="single" w:sz="4" w:space="0" w:color="FFFFFF" w:themeColor="light1"/>
          <w:bottom w:val="single" w:sz="4" w:space="0" w:color="FFFFFF" w:themeColor="light1"/>
        </w:tcBorders>
        <w:shd w:val="clear" w:color="auto" w:fill="92CCDC" w:themeFill="accent5"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6">
    <w:name w:val="List Table 5 Dark - Accent 6"/>
    <w:uiPriority w:val="99"/>
    <w:qFormat/>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CellMar>
        <w:top w:w="0" w:type="dxa"/>
        <w:left w:w="0" w:type="dxa"/>
        <w:bottom w:w="0" w:type="dxa"/>
        <w:right w:w="0" w:type="dxa"/>
      </w:tblCellMar>
    </w:tblPr>
    <w:tblStylePr w:type="firstRow">
      <w:pPr>
        <w:snapToGrid/>
      </w:pPr>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auto" w:fill="FAC090" w:themeFill="accent6"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pPr>
        <w:snapToGrid/>
      </w:pPr>
      <w:tblPr/>
      <w:tcPr>
        <w:tcBorders>
          <w:left w:val="single" w:sz="4" w:space="0" w:color="FFFFFF" w:themeColor="light1"/>
          <w:right w:val="single" w:sz="32" w:space="0" w:color="FAC090" w:themeColor="accent6" w:themeTint="98"/>
        </w:tcBorders>
      </w:tcPr>
    </w:tblStylePr>
    <w:tblStylePr w:type="band1Vert">
      <w:pPr>
        <w:snapToGrid/>
      </w:pPr>
      <w:tblPr/>
      <w:tcPr>
        <w:tcBorders>
          <w:left w:val="single" w:sz="4" w:space="0" w:color="FFFFFF" w:themeColor="light1"/>
          <w:right w:val="single" w:sz="4" w:space="0" w:color="FFFFFF" w:themeColor="light1"/>
        </w:tcBorders>
        <w:shd w:val="clear" w:color="auto" w:fill="FAC090" w:themeFill="accent6"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auto" w:fill="FAC090" w:themeFill="accent6" w:themeFillTint="98"/>
      </w:tcPr>
    </w:tblStylePr>
    <w:tblStylePr w:type="band2Horz">
      <w:pPr>
        <w:snapToGrid/>
      </w:pPr>
      <w:tblPr/>
      <w:tcPr>
        <w:tcBorders>
          <w:top w:val="single" w:sz="4" w:space="0" w:color="FFFFFF" w:themeColor="light1"/>
          <w:bottom w:val="single" w:sz="4" w:space="0" w:color="FFFFFF" w:themeColor="light1"/>
        </w:tcBorders>
        <w:shd w:val="clear" w:color="auto" w:fill="FAC090" w:themeFill="accent6"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1">
    <w:name w:val="List Table 6 Colorful - Accent 1"/>
    <w:uiPriority w:val="99"/>
    <w:qFormat/>
    <w:tblPr>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pPr>
        <w:snapToGrid/>
      </w:pPr>
      <w:rPr>
        <w:b/>
        <w:color w:val="2A4A70" w:themeColor="accent1" w:themeShade="94"/>
      </w:rPr>
      <w:tblPr/>
      <w:tcPr>
        <w:tcBorders>
          <w:bottom w:val="single" w:sz="4" w:space="0" w:color="4F81BD" w:themeColor="accent1"/>
        </w:tcBorders>
      </w:tcPr>
    </w:tblStylePr>
    <w:tblStylePr w:type="lastRow">
      <w:pPr>
        <w:snapToGrid/>
      </w:pPr>
      <w:rPr>
        <w:b/>
        <w:color w:val="2A4A70" w:themeColor="accent1" w:themeShade="94"/>
      </w:rPr>
      <w:tblPr/>
      <w:tcPr>
        <w:tcBorders>
          <w:top w:val="single" w:sz="4" w:space="0" w:color="4F81BD" w:themeColor="accent1"/>
        </w:tcBorders>
      </w:tcPr>
    </w:tblStylePr>
    <w:tblStylePr w:type="firstCol">
      <w:pPr>
        <w:snapToGrid/>
      </w:pPr>
      <w:rPr>
        <w:b/>
        <w:color w:val="2A4A70" w:themeColor="accent1" w:themeShade="94"/>
      </w:rPr>
    </w:tblStylePr>
    <w:tblStylePr w:type="lastCol">
      <w:pPr>
        <w:snapToGrid/>
      </w:pPr>
      <w:rPr>
        <w:b/>
        <w:color w:val="2A4A70" w:themeColor="accent1" w:themeShade="94"/>
      </w:rPr>
    </w:tblStylePr>
    <w:tblStylePr w:type="band1Vert">
      <w:pPr>
        <w:snapToGrid/>
      </w:pPr>
      <w:tblPr/>
      <w:tcPr>
        <w:shd w:val="clear" w:color="auto" w:fill="D2DFEE" w:themeFill="accent1" w:themeFillTint="40"/>
      </w:tcPr>
    </w:tblStylePr>
    <w:tblStylePr w:type="band2Vert">
      <w:pPr>
        <w:snapToGrid/>
      </w:pPr>
    </w:tblStylePr>
    <w:tblStylePr w:type="band1Horz">
      <w:pPr>
        <w:snapToGrid/>
      </w:pPr>
      <w:rPr>
        <w:rFonts w:ascii="Arial" w:hAnsi="Arial"/>
        <w:color w:val="2A4A70" w:themeColor="accent1" w:themeShade="94"/>
        <w:sz w:val="22"/>
      </w:rPr>
      <w:tblPr/>
      <w:tcPr>
        <w:shd w:val="clear" w:color="auto" w:fill="D2DFEE" w:themeFill="accent1" w:themeFillTint="40"/>
      </w:tcPr>
    </w:tblStylePr>
    <w:tblStylePr w:type="band2Horz">
      <w:pPr>
        <w:snapToGrid/>
      </w:pPr>
      <w:rPr>
        <w:rFonts w:ascii="Arial" w:hAnsi="Arial"/>
        <w:color w:val="2A4A70" w:themeColor="accent1"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2">
    <w:name w:val="List Table 6 Colorful - Accent 2"/>
    <w:uiPriority w:val="99"/>
    <w:qFormat/>
    <w:tblPr>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pPr>
        <w:snapToGrid/>
      </w:pPr>
      <w:rPr>
        <w:b/>
        <w:color w:val="DA9796" w:themeColor="accent2" w:themeTint="96"/>
      </w:rPr>
      <w:tblPr/>
      <w:tcPr>
        <w:tcBorders>
          <w:bottom w:val="single" w:sz="4" w:space="0" w:color="D99695" w:themeColor="accent2" w:themeTint="97"/>
        </w:tcBorders>
      </w:tcPr>
    </w:tblStylePr>
    <w:tblStylePr w:type="lastRow">
      <w:pPr>
        <w:snapToGrid/>
      </w:pPr>
      <w:rPr>
        <w:b/>
        <w:color w:val="DA9796" w:themeColor="accent2" w:themeTint="96"/>
      </w:rPr>
      <w:tblPr/>
      <w:tcPr>
        <w:tcBorders>
          <w:top w:val="single" w:sz="4" w:space="0" w:color="D99695" w:themeColor="accent2" w:themeTint="97"/>
        </w:tcBorders>
      </w:tcPr>
    </w:tblStylePr>
    <w:tblStylePr w:type="firstCol">
      <w:pPr>
        <w:snapToGrid/>
      </w:pPr>
      <w:rPr>
        <w:b/>
        <w:color w:val="DA9796" w:themeColor="accent2" w:themeTint="96"/>
      </w:rPr>
    </w:tblStylePr>
    <w:tblStylePr w:type="lastCol">
      <w:pPr>
        <w:snapToGrid/>
      </w:pPr>
      <w:rPr>
        <w:b/>
        <w:color w:val="DA9796" w:themeColor="accent2" w:themeTint="96"/>
      </w:rPr>
    </w:tblStylePr>
    <w:tblStylePr w:type="band1Vert">
      <w:pPr>
        <w:snapToGrid/>
      </w:pPr>
      <w:tblPr/>
      <w:tcPr>
        <w:shd w:val="clear" w:color="auto" w:fill="EFD2D2" w:themeFill="accent2" w:themeFillTint="40"/>
      </w:tcPr>
    </w:tblStylePr>
    <w:tblStylePr w:type="band2Vert">
      <w:pPr>
        <w:snapToGrid/>
      </w:pPr>
    </w:tblStylePr>
    <w:tblStylePr w:type="band1Horz">
      <w:pPr>
        <w:snapToGrid/>
      </w:pPr>
      <w:rPr>
        <w:rFonts w:ascii="Arial" w:hAnsi="Arial"/>
        <w:color w:val="DA9796" w:themeColor="accent2" w:themeTint="96"/>
        <w:sz w:val="22"/>
      </w:rPr>
      <w:tblPr/>
      <w:tcPr>
        <w:shd w:val="clear" w:color="auto" w:fill="EFD2D2" w:themeFill="accent2" w:themeFillTint="40"/>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3">
    <w:name w:val="List Table 6 Colorful - Accent 3"/>
    <w:uiPriority w:val="99"/>
    <w:qFormat/>
    <w:tblPr>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pPr>
        <w:snapToGrid/>
      </w:pPr>
      <w:rPr>
        <w:b/>
        <w:color w:val="C2D69B" w:themeColor="accent3" w:themeTint="99"/>
      </w:rPr>
      <w:tblPr/>
      <w:tcPr>
        <w:tcBorders>
          <w:bottom w:val="single" w:sz="4" w:space="0" w:color="C3D69B" w:themeColor="accent3" w:themeTint="98"/>
        </w:tcBorders>
      </w:tcPr>
    </w:tblStylePr>
    <w:tblStylePr w:type="lastRow">
      <w:pPr>
        <w:snapToGrid/>
      </w:pPr>
      <w:rPr>
        <w:b/>
        <w:color w:val="C2D69B" w:themeColor="accent3" w:themeTint="99"/>
      </w:rPr>
      <w:tblPr/>
      <w:tcPr>
        <w:tcBorders>
          <w:top w:val="single" w:sz="4" w:space="0" w:color="C3D69B" w:themeColor="accent3" w:themeTint="98"/>
        </w:tcBorders>
      </w:tcPr>
    </w:tblStylePr>
    <w:tblStylePr w:type="firstCol">
      <w:pPr>
        <w:snapToGrid/>
      </w:pPr>
      <w:rPr>
        <w:b/>
        <w:color w:val="C2D69B" w:themeColor="accent3" w:themeTint="99"/>
      </w:rPr>
    </w:tblStylePr>
    <w:tblStylePr w:type="lastCol">
      <w:pPr>
        <w:snapToGrid/>
      </w:pPr>
      <w:rPr>
        <w:b/>
        <w:color w:val="C2D69B" w:themeColor="accent3" w:themeTint="99"/>
      </w:rPr>
    </w:tblStylePr>
    <w:tblStylePr w:type="band1Vert">
      <w:pPr>
        <w:snapToGrid/>
      </w:pPr>
      <w:tblPr/>
      <w:tcPr>
        <w:shd w:val="clear" w:color="auto" w:fill="E5EED5" w:themeFill="accent3" w:themeFillTint="40"/>
      </w:tcPr>
    </w:tblStylePr>
    <w:tblStylePr w:type="band2Vert">
      <w:pPr>
        <w:snapToGrid/>
      </w:pPr>
    </w:tblStylePr>
    <w:tblStylePr w:type="band1Horz">
      <w:pPr>
        <w:snapToGrid/>
      </w:pPr>
      <w:rPr>
        <w:rFonts w:ascii="Arial" w:hAnsi="Arial"/>
        <w:color w:val="C2D69B" w:themeColor="accent3" w:themeTint="99"/>
        <w:sz w:val="22"/>
      </w:rPr>
      <w:tblPr/>
      <w:tcPr>
        <w:shd w:val="clear" w:color="auto" w:fill="E5EED5" w:themeFill="accent3" w:themeFillTint="40"/>
      </w:tcPr>
    </w:tblStylePr>
    <w:tblStylePr w:type="band2Horz">
      <w:pPr>
        <w:snapToGrid/>
      </w:pPr>
      <w:rPr>
        <w:rFonts w:ascii="Arial" w:hAnsi="Arial"/>
        <w:color w:val="C2D69B" w:themeColor="accent3"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4">
    <w:name w:val="List Table 6 Colorful - Accent 4"/>
    <w:uiPriority w:val="99"/>
    <w:qFormat/>
    <w:tblPr>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pPr>
        <w:snapToGrid/>
      </w:pPr>
      <w:rPr>
        <w:b/>
        <w:color w:val="B2A1C7" w:themeColor="accent4" w:themeTint="99"/>
      </w:rPr>
      <w:tblPr/>
      <w:tcPr>
        <w:tcBorders>
          <w:bottom w:val="single" w:sz="4" w:space="0" w:color="B2A1C6" w:themeColor="accent4" w:themeTint="9A"/>
        </w:tcBorders>
      </w:tcPr>
    </w:tblStylePr>
    <w:tblStylePr w:type="lastRow">
      <w:pPr>
        <w:snapToGrid/>
      </w:pPr>
      <w:rPr>
        <w:b/>
        <w:color w:val="B2A1C7" w:themeColor="accent4" w:themeTint="99"/>
      </w:rPr>
      <w:tblPr/>
      <w:tcPr>
        <w:tcBorders>
          <w:top w:val="single" w:sz="4" w:space="0" w:color="B2A1C6" w:themeColor="accent4" w:themeTint="9A"/>
        </w:tcBorders>
      </w:tcPr>
    </w:tblStylePr>
    <w:tblStylePr w:type="firstCol">
      <w:pPr>
        <w:snapToGrid/>
      </w:pPr>
      <w:rPr>
        <w:b/>
        <w:color w:val="B2A1C7" w:themeColor="accent4" w:themeTint="99"/>
      </w:rPr>
    </w:tblStylePr>
    <w:tblStylePr w:type="lastCol">
      <w:pPr>
        <w:snapToGrid/>
      </w:pPr>
      <w:rPr>
        <w:b/>
        <w:color w:val="B2A1C7" w:themeColor="accent4" w:themeTint="99"/>
      </w:rPr>
    </w:tblStylePr>
    <w:tblStylePr w:type="band1Vert">
      <w:pPr>
        <w:snapToGrid/>
      </w:pPr>
      <w:tblPr/>
      <w:tcPr>
        <w:shd w:val="clear" w:color="auto" w:fill="DFD8E7" w:themeFill="accent4" w:themeFillTint="40"/>
      </w:tcPr>
    </w:tblStylePr>
    <w:tblStylePr w:type="band2Vert">
      <w:pPr>
        <w:snapToGrid/>
      </w:pPr>
    </w:tblStylePr>
    <w:tblStylePr w:type="band1Horz">
      <w:pPr>
        <w:snapToGrid/>
      </w:pPr>
      <w:rPr>
        <w:rFonts w:ascii="Arial" w:hAnsi="Arial"/>
        <w:color w:val="B2A1C7" w:themeColor="accent4" w:themeTint="99"/>
        <w:sz w:val="22"/>
      </w:rPr>
      <w:tblPr/>
      <w:tcPr>
        <w:shd w:val="clear" w:color="auto" w:fill="DFD8E7" w:themeFill="accent4" w:themeFillTint="40"/>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5">
    <w:name w:val="List Table 6 Colorful - Accent 5"/>
    <w:uiPriority w:val="99"/>
    <w:qFormat/>
    <w:tblPr>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pPr>
        <w:snapToGrid/>
      </w:pPr>
      <w:rPr>
        <w:b/>
        <w:color w:val="92CDDC" w:themeColor="accent5" w:themeTint="99"/>
      </w:rPr>
      <w:tblPr/>
      <w:tcPr>
        <w:tcBorders>
          <w:bottom w:val="single" w:sz="4" w:space="0" w:color="92CCDC" w:themeColor="accent5" w:themeTint="9A"/>
        </w:tcBorders>
      </w:tcPr>
    </w:tblStylePr>
    <w:tblStylePr w:type="lastRow">
      <w:pPr>
        <w:snapToGrid/>
      </w:pPr>
      <w:rPr>
        <w:b/>
        <w:color w:val="92CDDC" w:themeColor="accent5" w:themeTint="99"/>
      </w:rPr>
      <w:tblPr/>
      <w:tcPr>
        <w:tcBorders>
          <w:top w:val="single" w:sz="4" w:space="0" w:color="92CCDC" w:themeColor="accent5" w:themeTint="9A"/>
        </w:tcBorders>
      </w:tcPr>
    </w:tblStylePr>
    <w:tblStylePr w:type="firstCol">
      <w:pPr>
        <w:snapToGrid/>
      </w:pPr>
      <w:rPr>
        <w:b/>
        <w:color w:val="92CDDC" w:themeColor="accent5" w:themeTint="99"/>
      </w:rPr>
    </w:tblStylePr>
    <w:tblStylePr w:type="lastCol">
      <w:pPr>
        <w:snapToGrid/>
      </w:pPr>
      <w:rPr>
        <w:b/>
        <w:color w:val="92CDDC" w:themeColor="accent5" w:themeTint="99"/>
      </w:rPr>
    </w:tblStylePr>
    <w:tblStylePr w:type="band1Vert">
      <w:pPr>
        <w:snapToGrid/>
      </w:pPr>
      <w:tblPr/>
      <w:tcPr>
        <w:shd w:val="clear" w:color="auto" w:fill="D1EAF0" w:themeFill="accent5" w:themeFillTint="40"/>
      </w:tcPr>
    </w:tblStylePr>
    <w:tblStylePr w:type="band2Vert">
      <w:pPr>
        <w:snapToGrid/>
      </w:pPr>
    </w:tblStylePr>
    <w:tblStylePr w:type="band1Horz">
      <w:pPr>
        <w:snapToGrid/>
      </w:pPr>
      <w:rPr>
        <w:rFonts w:ascii="Arial" w:hAnsi="Arial"/>
        <w:color w:val="92CDDC" w:themeColor="accent5" w:themeTint="99"/>
        <w:sz w:val="22"/>
      </w:rPr>
      <w:tblPr/>
      <w:tcPr>
        <w:shd w:val="clear" w:color="auto" w:fill="D1EAF0" w:themeFill="accent5" w:themeFillTint="40"/>
      </w:tcPr>
    </w:tblStylePr>
    <w:tblStylePr w:type="band2Horz">
      <w:pPr>
        <w:snapToGrid/>
      </w:pPr>
      <w:rPr>
        <w:rFonts w:ascii="Arial" w:hAnsi="Arial"/>
        <w:color w:val="92CDDC" w:themeColor="accent5"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6">
    <w:name w:val="List Table 6 Colorful - Accent 6"/>
    <w:uiPriority w:val="99"/>
    <w:qFormat/>
    <w:tblPr>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pPr>
        <w:snapToGrid/>
      </w:pPr>
      <w:rPr>
        <w:b/>
        <w:color w:val="FABF8F" w:themeColor="accent6" w:themeTint="99"/>
      </w:rPr>
      <w:tblPr/>
      <w:tcPr>
        <w:tcBorders>
          <w:bottom w:val="single" w:sz="4" w:space="0" w:color="FAC090" w:themeColor="accent6" w:themeTint="98"/>
        </w:tcBorders>
      </w:tcPr>
    </w:tblStylePr>
    <w:tblStylePr w:type="lastRow">
      <w:pPr>
        <w:snapToGrid/>
      </w:pPr>
      <w:rPr>
        <w:b/>
        <w:color w:val="FABF8F" w:themeColor="accent6" w:themeTint="99"/>
      </w:rPr>
      <w:tblPr/>
      <w:tcPr>
        <w:tcBorders>
          <w:top w:val="single" w:sz="4" w:space="0" w:color="FAC090" w:themeColor="accent6" w:themeTint="98"/>
        </w:tcBorders>
      </w:tcPr>
    </w:tblStylePr>
    <w:tblStylePr w:type="firstCol">
      <w:pPr>
        <w:snapToGrid/>
      </w:pPr>
      <w:rPr>
        <w:b/>
        <w:color w:val="FABF8F" w:themeColor="accent6" w:themeTint="99"/>
      </w:rPr>
    </w:tblStylePr>
    <w:tblStylePr w:type="lastCol">
      <w:pPr>
        <w:snapToGrid/>
      </w:pPr>
      <w:rPr>
        <w:b/>
        <w:color w:val="FABF8F" w:themeColor="accent6" w:themeTint="99"/>
      </w:rPr>
    </w:tblStylePr>
    <w:tblStylePr w:type="band1Vert">
      <w:pPr>
        <w:snapToGrid/>
      </w:pPr>
      <w:tblPr/>
      <w:tcPr>
        <w:shd w:val="clear" w:color="auto" w:fill="FDE4D0" w:themeFill="accent6" w:themeFillTint="40"/>
      </w:tcPr>
    </w:tblStylePr>
    <w:tblStylePr w:type="band2Vert">
      <w:pPr>
        <w:snapToGrid/>
      </w:pPr>
    </w:tblStylePr>
    <w:tblStylePr w:type="band1Horz">
      <w:pPr>
        <w:snapToGrid/>
      </w:pPr>
      <w:rPr>
        <w:rFonts w:ascii="Arial" w:hAnsi="Arial"/>
        <w:color w:val="FABF8F" w:themeColor="accent6" w:themeTint="99"/>
        <w:sz w:val="22"/>
      </w:rPr>
      <w:tblPr/>
      <w:tcPr>
        <w:shd w:val="clear" w:color="auto" w:fill="FDE4D0" w:themeFill="accent6" w:themeFillTint="40"/>
      </w:tcPr>
    </w:tblStylePr>
    <w:tblStylePr w:type="band2Horz">
      <w:pPr>
        <w:snapToGrid/>
      </w:pPr>
      <w:rPr>
        <w:rFonts w:ascii="Arial" w:hAnsi="Arial"/>
        <w:color w:val="FABF8F" w:themeColor="accent6"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1">
    <w:name w:val="List Table 7 Colorful - Accent 1"/>
    <w:uiPriority w:val="99"/>
    <w:qFormat/>
    <w:tblPr>
      <w:tblBorders>
        <w:right w:val="single" w:sz="4" w:space="0" w:color="4F81BD" w:themeColor="accent1"/>
      </w:tblBorders>
      <w:tblCellMar>
        <w:top w:w="0" w:type="dxa"/>
        <w:left w:w="0" w:type="dxa"/>
        <w:bottom w:w="0" w:type="dxa"/>
        <w:right w:w="0" w:type="dxa"/>
      </w:tblCellMar>
    </w:tblPr>
    <w:tblStylePr w:type="firstRow">
      <w:pPr>
        <w:snapToGrid/>
      </w:pPr>
      <w:rPr>
        <w:rFonts w:ascii="Arial" w:hAnsi="Arial"/>
        <w:i/>
        <w:color w:val="2A4A70" w:themeColor="accent1" w:themeShade="94"/>
        <w:sz w:val="22"/>
      </w:rPr>
      <w:tblPr/>
      <w:tcPr>
        <w:tcBorders>
          <w:top w:val="nil"/>
          <w:left w:val="nil"/>
          <w:bottom w:val="single" w:sz="4" w:space="0" w:color="4F81BD" w:themeColor="accent1"/>
          <w:right w:val="nil"/>
        </w:tcBorders>
        <w:shd w:val="clear" w:color="auto" w:fill="FFFFFF" w:themeFill="light1"/>
      </w:tcPr>
    </w:tblStylePr>
    <w:tblStylePr w:type="lastRow">
      <w:pPr>
        <w:snapToGrid/>
      </w:pPr>
      <w:rPr>
        <w:rFonts w:ascii="Arial" w:hAnsi="Arial"/>
        <w:i/>
        <w:color w:val="2A4A70" w:themeColor="accent1" w:themeShade="94"/>
        <w:sz w:val="22"/>
      </w:rPr>
      <w:tblPr/>
      <w:tcPr>
        <w:tcBorders>
          <w:top w:val="single" w:sz="4" w:space="0" w:color="4F81BD" w:themeColor="accent1"/>
          <w:left w:val="nil"/>
          <w:bottom w:val="nil"/>
          <w:right w:val="nil"/>
        </w:tcBorders>
        <w:shd w:val="clear" w:color="auto" w:fill="FFFFFF" w:themeFill="light1"/>
      </w:tcPr>
    </w:tblStylePr>
    <w:tblStylePr w:type="firstCol">
      <w:pPr>
        <w:snapToGrid/>
        <w:jc w:val="right"/>
      </w:pPr>
      <w:rPr>
        <w:rFonts w:ascii="Arial" w:hAnsi="Arial"/>
        <w:i/>
        <w:color w:val="2A4A70" w:themeColor="accent1" w:themeShade="94"/>
        <w:sz w:val="22"/>
      </w:rPr>
      <w:tblPr/>
      <w:tcPr>
        <w:tcBorders>
          <w:top w:val="nil"/>
          <w:left w:val="nil"/>
          <w:bottom w:val="nil"/>
          <w:right w:val="single" w:sz="4" w:space="0" w:color="4F81BD" w:themeColor="accent1"/>
        </w:tcBorders>
        <w:shd w:val="clear" w:color="auto" w:fill="FFFFFF"/>
      </w:tcPr>
    </w:tblStylePr>
    <w:tblStylePr w:type="lastCol">
      <w:pPr>
        <w:snapToGrid/>
      </w:pPr>
      <w:rPr>
        <w:rFonts w:ascii="Arial" w:hAnsi="Arial"/>
        <w:i/>
        <w:color w:val="2A4A70" w:themeColor="accent1" w:themeShade="94"/>
        <w:sz w:val="22"/>
      </w:rPr>
      <w:tblPr/>
      <w:tcPr>
        <w:tcBorders>
          <w:top w:val="nil"/>
          <w:left w:val="single" w:sz="4" w:space="0" w:color="4F81BD" w:themeColor="accent1"/>
          <w:bottom w:val="nil"/>
          <w:right w:val="nil"/>
        </w:tcBorders>
        <w:shd w:val="clear" w:color="auto" w:fill="FFFFFF"/>
      </w:tcPr>
    </w:tblStylePr>
    <w:tblStylePr w:type="band1Vert">
      <w:pPr>
        <w:snapToGrid/>
      </w:pPr>
      <w:tblPr/>
      <w:tcPr>
        <w:shd w:val="clear" w:color="auto" w:fill="D2DFEE" w:themeFill="accent1" w:themeFillTint="40"/>
      </w:tcPr>
    </w:tblStylePr>
    <w:tblStylePr w:type="band2Vert">
      <w:pPr>
        <w:snapToGrid/>
      </w:pPr>
    </w:tblStylePr>
    <w:tblStylePr w:type="band1Horz">
      <w:pPr>
        <w:snapToGrid/>
      </w:pPr>
      <w:rPr>
        <w:rFonts w:ascii="Arial" w:hAnsi="Arial"/>
        <w:color w:val="2A4A70" w:themeColor="accent1" w:themeShade="94"/>
        <w:sz w:val="22"/>
      </w:rPr>
      <w:tblPr/>
      <w:tcPr>
        <w:shd w:val="clear" w:color="auto" w:fill="D2DFEE" w:themeFill="accent1" w:themeFillTint="40"/>
      </w:tcPr>
    </w:tblStylePr>
    <w:tblStylePr w:type="band2Horz">
      <w:pPr>
        <w:snapToGrid/>
      </w:pPr>
      <w:rPr>
        <w:rFonts w:ascii="Arial" w:hAnsi="Arial"/>
        <w:color w:val="2A4A70" w:themeColor="accent1" w:themeShade="94"/>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2">
    <w:name w:val="List Table 7 Colorful - Accent 2"/>
    <w:uiPriority w:val="99"/>
    <w:qFormat/>
    <w:tblPr>
      <w:tblBorders>
        <w:right w:val="single" w:sz="4" w:space="0" w:color="D99695" w:themeColor="accent2" w:themeTint="97"/>
      </w:tblBorders>
      <w:tblCellMar>
        <w:top w:w="0" w:type="dxa"/>
        <w:left w:w="0" w:type="dxa"/>
        <w:bottom w:w="0" w:type="dxa"/>
        <w:right w:w="0" w:type="dxa"/>
      </w:tblCellMar>
    </w:tblPr>
    <w:tblStylePr w:type="firstRow">
      <w:pPr>
        <w:snapToGrid/>
      </w:pPr>
      <w:rPr>
        <w:rFonts w:ascii="Arial" w:hAnsi="Arial"/>
        <w:i/>
        <w:color w:val="DA9796" w:themeColor="accent2" w:themeTint="96"/>
        <w:sz w:val="22"/>
      </w:rPr>
      <w:tblPr/>
      <w:tcPr>
        <w:tcBorders>
          <w:top w:val="nil"/>
          <w:left w:val="nil"/>
          <w:bottom w:val="single" w:sz="4" w:space="0" w:color="D99695" w:themeColor="accent2" w:themeTint="97"/>
          <w:right w:val="nil"/>
        </w:tcBorders>
        <w:shd w:val="clear" w:color="auto" w:fill="FFFFFF" w:themeFill="light1"/>
      </w:tcPr>
    </w:tblStylePr>
    <w:tblStylePr w:type="lastRow">
      <w:pPr>
        <w:snapToGrid/>
      </w:pPr>
      <w:rPr>
        <w:rFonts w:ascii="Arial" w:hAnsi="Arial"/>
        <w:i/>
        <w:color w:val="DA9796" w:themeColor="accent2" w:themeTint="96"/>
        <w:sz w:val="22"/>
      </w:rPr>
      <w:tblPr/>
      <w:tcPr>
        <w:tcBorders>
          <w:top w:val="single" w:sz="4" w:space="0" w:color="D99695" w:themeColor="accent2" w:themeTint="97"/>
          <w:left w:val="nil"/>
          <w:bottom w:val="nil"/>
          <w:right w:val="nil"/>
        </w:tcBorders>
        <w:shd w:val="clear" w:color="auto" w:fill="FFFFFF" w:themeFill="light1"/>
      </w:tcPr>
    </w:tblStylePr>
    <w:tblStylePr w:type="firstCol">
      <w:pPr>
        <w:snapToGrid/>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auto" w:fill="FFFFFF"/>
      </w:tcPr>
    </w:tblStylePr>
    <w:tblStylePr w:type="lastCol">
      <w:pPr>
        <w:snapToGrid/>
      </w:pPr>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auto" w:fill="FFFFFF"/>
      </w:tcPr>
    </w:tblStylePr>
    <w:tblStylePr w:type="band1Vert">
      <w:pPr>
        <w:snapToGrid/>
      </w:pPr>
      <w:tblPr/>
      <w:tcPr>
        <w:shd w:val="clear" w:color="auto" w:fill="EFD2D2" w:themeFill="accent2" w:themeFillTint="40"/>
      </w:tcPr>
    </w:tblStylePr>
    <w:tblStylePr w:type="band2Vert">
      <w:pPr>
        <w:snapToGrid/>
      </w:pPr>
    </w:tblStylePr>
    <w:tblStylePr w:type="band1Horz">
      <w:pPr>
        <w:snapToGrid/>
      </w:pPr>
      <w:rPr>
        <w:rFonts w:ascii="Arial" w:hAnsi="Arial"/>
        <w:color w:val="DA9796" w:themeColor="accent2" w:themeTint="96"/>
        <w:sz w:val="22"/>
      </w:rPr>
      <w:tblPr/>
      <w:tcPr>
        <w:shd w:val="clear" w:color="auto" w:fill="EFD2D2" w:themeFill="accent2" w:themeFillTint="40"/>
      </w:tcPr>
    </w:tblStylePr>
    <w:tblStylePr w:type="band2Horz">
      <w:pPr>
        <w:snapToGrid/>
      </w:pPr>
      <w:rPr>
        <w:rFonts w:ascii="Arial" w:hAnsi="Arial"/>
        <w:color w:val="DA9796" w:themeColor="accent2" w:themeTint="96"/>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3">
    <w:name w:val="List Table 7 Colorful - Accent 3"/>
    <w:uiPriority w:val="99"/>
    <w:qFormat/>
    <w:tblPr>
      <w:tblBorders>
        <w:right w:val="single" w:sz="4" w:space="0" w:color="C3D69B" w:themeColor="accent3" w:themeTint="98"/>
      </w:tblBorders>
      <w:tblCellMar>
        <w:top w:w="0" w:type="dxa"/>
        <w:left w:w="0" w:type="dxa"/>
        <w:bottom w:w="0" w:type="dxa"/>
        <w:right w:w="0" w:type="dxa"/>
      </w:tblCellMar>
    </w:tblPr>
    <w:tblStylePr w:type="firstRow">
      <w:pPr>
        <w:snapToGrid/>
      </w:pPr>
      <w:rPr>
        <w:rFonts w:ascii="Arial" w:hAnsi="Arial"/>
        <w:i/>
        <w:color w:val="C2D69B" w:themeColor="accent3" w:themeTint="99"/>
        <w:sz w:val="22"/>
      </w:rPr>
      <w:tblPr/>
      <w:tcPr>
        <w:tcBorders>
          <w:top w:val="nil"/>
          <w:left w:val="nil"/>
          <w:bottom w:val="single" w:sz="4" w:space="0" w:color="C3D69B" w:themeColor="accent3" w:themeTint="98"/>
          <w:right w:val="nil"/>
        </w:tcBorders>
        <w:shd w:val="clear" w:color="auto" w:fill="FFFFFF" w:themeFill="light1"/>
      </w:tcPr>
    </w:tblStylePr>
    <w:tblStylePr w:type="lastRow">
      <w:pPr>
        <w:snapToGrid/>
      </w:pPr>
      <w:rPr>
        <w:rFonts w:ascii="Arial" w:hAnsi="Arial"/>
        <w:i/>
        <w:color w:val="C2D69B" w:themeColor="accent3" w:themeTint="99"/>
        <w:sz w:val="22"/>
      </w:rPr>
      <w:tblPr/>
      <w:tcPr>
        <w:tcBorders>
          <w:top w:val="single" w:sz="4" w:space="0" w:color="C3D69B" w:themeColor="accent3" w:themeTint="98"/>
          <w:left w:val="nil"/>
          <w:bottom w:val="nil"/>
          <w:right w:val="nil"/>
        </w:tcBorders>
        <w:shd w:val="clear" w:color="auto" w:fill="FFFFFF" w:themeFill="light1"/>
      </w:tcPr>
    </w:tblStylePr>
    <w:tblStylePr w:type="firstCol">
      <w:pPr>
        <w:snapToGrid/>
        <w:jc w:val="right"/>
      </w:pPr>
      <w:rPr>
        <w:rFonts w:ascii="Arial" w:hAnsi="Arial"/>
        <w:i/>
        <w:color w:val="C2D69B" w:themeColor="accent3" w:themeTint="99"/>
        <w:sz w:val="22"/>
      </w:rPr>
      <w:tblPr/>
      <w:tcPr>
        <w:tcBorders>
          <w:top w:val="nil"/>
          <w:left w:val="nil"/>
          <w:bottom w:val="nil"/>
          <w:right w:val="single" w:sz="4" w:space="0" w:color="C3D69B" w:themeColor="accent3" w:themeTint="98"/>
        </w:tcBorders>
        <w:shd w:val="clear" w:color="auto" w:fill="FFFFFF"/>
      </w:tcPr>
    </w:tblStylePr>
    <w:tblStylePr w:type="lastCol">
      <w:pPr>
        <w:snapToGrid/>
      </w:pPr>
      <w:rPr>
        <w:rFonts w:ascii="Arial" w:hAnsi="Arial"/>
        <w:i/>
        <w:color w:val="C2D69B" w:themeColor="accent3" w:themeTint="99"/>
        <w:sz w:val="22"/>
      </w:rPr>
      <w:tblPr/>
      <w:tcPr>
        <w:tcBorders>
          <w:top w:val="nil"/>
          <w:left w:val="single" w:sz="4" w:space="0" w:color="C3D69B" w:themeColor="accent3" w:themeTint="98"/>
          <w:bottom w:val="nil"/>
          <w:right w:val="nil"/>
        </w:tcBorders>
        <w:shd w:val="clear" w:color="auto" w:fill="FFFFFF"/>
      </w:tcPr>
    </w:tblStylePr>
    <w:tblStylePr w:type="band1Vert">
      <w:pPr>
        <w:snapToGrid/>
      </w:pPr>
      <w:tblPr/>
      <w:tcPr>
        <w:shd w:val="clear" w:color="auto" w:fill="E5EED5" w:themeFill="accent3" w:themeFillTint="40"/>
      </w:tcPr>
    </w:tblStylePr>
    <w:tblStylePr w:type="band2Vert">
      <w:pPr>
        <w:snapToGrid/>
      </w:pPr>
    </w:tblStylePr>
    <w:tblStylePr w:type="band1Horz">
      <w:pPr>
        <w:snapToGrid/>
      </w:pPr>
      <w:rPr>
        <w:rFonts w:ascii="Arial" w:hAnsi="Arial"/>
        <w:color w:val="C2D69B" w:themeColor="accent3" w:themeTint="99"/>
        <w:sz w:val="22"/>
      </w:rPr>
      <w:tblPr/>
      <w:tcPr>
        <w:shd w:val="clear" w:color="auto" w:fill="E5EED5" w:themeFill="accent3" w:themeFillTint="40"/>
      </w:tcPr>
    </w:tblStylePr>
    <w:tblStylePr w:type="band2Horz">
      <w:pPr>
        <w:snapToGrid/>
      </w:pPr>
      <w:rPr>
        <w:rFonts w:ascii="Arial" w:hAnsi="Arial"/>
        <w:color w:val="C2D69B" w:themeColor="accent3"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4">
    <w:name w:val="List Table 7 Colorful - Accent 4"/>
    <w:uiPriority w:val="99"/>
    <w:qFormat/>
    <w:tblPr>
      <w:tblBorders>
        <w:right w:val="single" w:sz="4" w:space="0" w:color="B2A1C6" w:themeColor="accent4" w:themeTint="9A"/>
      </w:tblBorders>
      <w:tblCellMar>
        <w:top w:w="0" w:type="dxa"/>
        <w:left w:w="0" w:type="dxa"/>
        <w:bottom w:w="0" w:type="dxa"/>
        <w:right w:w="0" w:type="dxa"/>
      </w:tblCellMar>
    </w:tblPr>
    <w:tblStylePr w:type="firstRow">
      <w:pPr>
        <w:snapToGrid/>
      </w:pPr>
      <w:rPr>
        <w:rFonts w:ascii="Arial" w:hAnsi="Arial"/>
        <w:i/>
        <w:color w:val="B2A1C7" w:themeColor="accent4" w:themeTint="99"/>
        <w:sz w:val="22"/>
      </w:rPr>
      <w:tblPr/>
      <w:tcPr>
        <w:tcBorders>
          <w:top w:val="nil"/>
          <w:left w:val="nil"/>
          <w:bottom w:val="single" w:sz="4" w:space="0" w:color="B2A1C6" w:themeColor="accent4" w:themeTint="9A"/>
          <w:right w:val="nil"/>
        </w:tcBorders>
        <w:shd w:val="clear" w:color="auto" w:fill="FFFFFF" w:themeFill="light1"/>
      </w:tcPr>
    </w:tblStylePr>
    <w:tblStylePr w:type="lastRow">
      <w:pPr>
        <w:snapToGrid/>
      </w:pPr>
      <w:rPr>
        <w:rFonts w:ascii="Arial" w:hAnsi="Arial"/>
        <w:i/>
        <w:color w:val="B2A1C7" w:themeColor="accent4" w:themeTint="99"/>
        <w:sz w:val="22"/>
      </w:rPr>
      <w:tblPr/>
      <w:tcPr>
        <w:tcBorders>
          <w:top w:val="single" w:sz="4" w:space="0" w:color="B2A1C6" w:themeColor="accent4" w:themeTint="9A"/>
          <w:left w:val="nil"/>
          <w:bottom w:val="nil"/>
          <w:right w:val="nil"/>
        </w:tcBorders>
        <w:shd w:val="clear" w:color="auto" w:fill="FFFFFF" w:themeFill="light1"/>
      </w:tcPr>
    </w:tblStylePr>
    <w:tblStylePr w:type="firstCol">
      <w:pPr>
        <w:snapToGrid/>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auto" w:fill="FFFFFF"/>
      </w:tcPr>
    </w:tblStylePr>
    <w:tblStylePr w:type="lastCol">
      <w:pPr>
        <w:snapToGrid/>
      </w:pPr>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auto" w:fill="FFFFFF"/>
      </w:tcPr>
    </w:tblStylePr>
    <w:tblStylePr w:type="band1Vert">
      <w:pPr>
        <w:snapToGrid/>
      </w:pPr>
      <w:tblPr/>
      <w:tcPr>
        <w:shd w:val="clear" w:color="auto" w:fill="DFD8E7" w:themeFill="accent4" w:themeFillTint="40"/>
      </w:tcPr>
    </w:tblStylePr>
    <w:tblStylePr w:type="band2Vert">
      <w:pPr>
        <w:snapToGrid/>
      </w:pPr>
    </w:tblStylePr>
    <w:tblStylePr w:type="band1Horz">
      <w:pPr>
        <w:snapToGrid/>
      </w:pPr>
      <w:rPr>
        <w:rFonts w:ascii="Arial" w:hAnsi="Arial"/>
        <w:color w:val="B2A1C7" w:themeColor="accent4" w:themeTint="99"/>
        <w:sz w:val="22"/>
      </w:rPr>
      <w:tblPr/>
      <w:tcPr>
        <w:shd w:val="clear" w:color="auto" w:fill="DFD8E7" w:themeFill="accent4" w:themeFillTint="40"/>
      </w:tcPr>
    </w:tblStylePr>
    <w:tblStylePr w:type="band2Horz">
      <w:pPr>
        <w:snapToGrid/>
      </w:pPr>
      <w:rPr>
        <w:rFonts w:ascii="Arial" w:hAnsi="Arial"/>
        <w:color w:val="B2A1C7" w:themeColor="accent4"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5">
    <w:name w:val="List Table 7 Colorful - Accent 5"/>
    <w:uiPriority w:val="99"/>
    <w:qFormat/>
    <w:tblPr>
      <w:tblBorders>
        <w:right w:val="single" w:sz="4" w:space="0" w:color="92CCDC" w:themeColor="accent5" w:themeTint="9A"/>
      </w:tblBorders>
      <w:tblCellMar>
        <w:top w:w="0" w:type="dxa"/>
        <w:left w:w="0" w:type="dxa"/>
        <w:bottom w:w="0" w:type="dxa"/>
        <w:right w:w="0" w:type="dxa"/>
      </w:tblCellMar>
    </w:tblPr>
    <w:tblStylePr w:type="firstRow">
      <w:pPr>
        <w:snapToGrid/>
      </w:pPr>
      <w:rPr>
        <w:rFonts w:ascii="Arial" w:hAnsi="Arial"/>
        <w:i/>
        <w:color w:val="92CDDC" w:themeColor="accent5" w:themeTint="99"/>
        <w:sz w:val="22"/>
      </w:rPr>
      <w:tblPr/>
      <w:tcPr>
        <w:tcBorders>
          <w:top w:val="nil"/>
          <w:left w:val="nil"/>
          <w:bottom w:val="single" w:sz="4" w:space="0" w:color="92CCDC" w:themeColor="accent5" w:themeTint="9A"/>
          <w:right w:val="nil"/>
        </w:tcBorders>
        <w:shd w:val="clear" w:color="auto" w:fill="FFFFFF" w:themeFill="light1"/>
      </w:tcPr>
    </w:tblStylePr>
    <w:tblStylePr w:type="lastRow">
      <w:pPr>
        <w:snapToGrid/>
      </w:pPr>
      <w:rPr>
        <w:rFonts w:ascii="Arial" w:hAnsi="Arial"/>
        <w:i/>
        <w:color w:val="92CDDC" w:themeColor="accent5" w:themeTint="99"/>
        <w:sz w:val="22"/>
      </w:rPr>
      <w:tblPr/>
      <w:tcPr>
        <w:tcBorders>
          <w:top w:val="single" w:sz="4" w:space="0" w:color="92CCDC" w:themeColor="accent5" w:themeTint="9A"/>
          <w:left w:val="nil"/>
          <w:bottom w:val="nil"/>
          <w:right w:val="nil"/>
        </w:tcBorders>
        <w:shd w:val="clear" w:color="auto" w:fill="FFFFFF" w:themeFill="light1"/>
      </w:tcPr>
    </w:tblStylePr>
    <w:tblStylePr w:type="firstCol">
      <w:pPr>
        <w:snapToGrid/>
        <w:jc w:val="right"/>
      </w:pPr>
      <w:rPr>
        <w:rFonts w:ascii="Arial" w:hAnsi="Arial"/>
        <w:i/>
        <w:color w:val="92CDDC" w:themeColor="accent5" w:themeTint="99"/>
        <w:sz w:val="22"/>
      </w:rPr>
      <w:tblPr/>
      <w:tcPr>
        <w:tcBorders>
          <w:top w:val="nil"/>
          <w:left w:val="nil"/>
          <w:bottom w:val="nil"/>
          <w:right w:val="single" w:sz="4" w:space="0" w:color="92CCDC" w:themeColor="accent5" w:themeTint="9A"/>
        </w:tcBorders>
        <w:shd w:val="clear" w:color="auto" w:fill="FFFFFF"/>
      </w:tcPr>
    </w:tblStylePr>
    <w:tblStylePr w:type="lastCol">
      <w:pPr>
        <w:snapToGrid/>
      </w:pPr>
      <w:rPr>
        <w:rFonts w:ascii="Arial" w:hAnsi="Arial"/>
        <w:i/>
        <w:color w:val="92CDDC" w:themeColor="accent5" w:themeTint="99"/>
        <w:sz w:val="22"/>
      </w:rPr>
      <w:tblPr/>
      <w:tcPr>
        <w:tcBorders>
          <w:top w:val="nil"/>
          <w:left w:val="single" w:sz="4" w:space="0" w:color="92CCDC" w:themeColor="accent5" w:themeTint="9A"/>
          <w:bottom w:val="nil"/>
          <w:right w:val="nil"/>
        </w:tcBorders>
        <w:shd w:val="clear" w:color="auto" w:fill="FFFFFF"/>
      </w:tcPr>
    </w:tblStylePr>
    <w:tblStylePr w:type="band1Vert">
      <w:pPr>
        <w:snapToGrid/>
      </w:pPr>
      <w:tblPr/>
      <w:tcPr>
        <w:shd w:val="clear" w:color="auto" w:fill="D1EAF0" w:themeFill="accent5" w:themeFillTint="40"/>
      </w:tcPr>
    </w:tblStylePr>
    <w:tblStylePr w:type="band2Vert">
      <w:pPr>
        <w:snapToGrid/>
      </w:pPr>
    </w:tblStylePr>
    <w:tblStylePr w:type="band1Horz">
      <w:pPr>
        <w:snapToGrid/>
      </w:pPr>
      <w:rPr>
        <w:rFonts w:ascii="Arial" w:hAnsi="Arial"/>
        <w:color w:val="92CDDC" w:themeColor="accent5" w:themeTint="99"/>
        <w:sz w:val="22"/>
      </w:rPr>
      <w:tblPr/>
      <w:tcPr>
        <w:shd w:val="clear" w:color="auto" w:fill="D1EAF0" w:themeFill="accent5" w:themeFillTint="40"/>
      </w:tcPr>
    </w:tblStylePr>
    <w:tblStylePr w:type="band2Horz">
      <w:pPr>
        <w:snapToGrid/>
      </w:pPr>
      <w:rPr>
        <w:rFonts w:ascii="Arial" w:hAnsi="Arial"/>
        <w:color w:val="92CDDC" w:themeColor="accent5"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6">
    <w:name w:val="List Table 7 Colorful - Accent 6"/>
    <w:uiPriority w:val="99"/>
    <w:qFormat/>
    <w:tblPr>
      <w:tblBorders>
        <w:right w:val="single" w:sz="4" w:space="0" w:color="FAC090" w:themeColor="accent6" w:themeTint="98"/>
      </w:tblBorders>
      <w:tblCellMar>
        <w:top w:w="0" w:type="dxa"/>
        <w:left w:w="0" w:type="dxa"/>
        <w:bottom w:w="0" w:type="dxa"/>
        <w:right w:w="0" w:type="dxa"/>
      </w:tblCellMar>
    </w:tblPr>
    <w:tblStylePr w:type="firstRow">
      <w:pPr>
        <w:snapToGrid/>
      </w:pPr>
      <w:rPr>
        <w:rFonts w:ascii="Arial" w:hAnsi="Arial"/>
        <w:i/>
        <w:color w:val="FABF8F" w:themeColor="accent6" w:themeTint="99"/>
        <w:sz w:val="22"/>
      </w:rPr>
      <w:tblPr/>
      <w:tcPr>
        <w:tcBorders>
          <w:top w:val="nil"/>
          <w:left w:val="nil"/>
          <w:bottom w:val="single" w:sz="4" w:space="0" w:color="FAC090" w:themeColor="accent6" w:themeTint="98"/>
          <w:right w:val="nil"/>
        </w:tcBorders>
        <w:shd w:val="clear" w:color="auto" w:fill="FFFFFF" w:themeFill="light1"/>
      </w:tcPr>
    </w:tblStylePr>
    <w:tblStylePr w:type="lastRow">
      <w:pPr>
        <w:snapToGrid/>
      </w:pPr>
      <w:rPr>
        <w:rFonts w:ascii="Arial" w:hAnsi="Arial"/>
        <w:i/>
        <w:color w:val="FABF8F" w:themeColor="accent6" w:themeTint="99"/>
        <w:sz w:val="22"/>
      </w:rPr>
      <w:tblPr/>
      <w:tcPr>
        <w:tcBorders>
          <w:top w:val="single" w:sz="4" w:space="0" w:color="FAC090" w:themeColor="accent6" w:themeTint="98"/>
          <w:left w:val="nil"/>
          <w:bottom w:val="nil"/>
          <w:right w:val="nil"/>
        </w:tcBorders>
        <w:shd w:val="clear" w:color="auto" w:fill="FFFFFF" w:themeFill="light1"/>
      </w:tcPr>
    </w:tblStylePr>
    <w:tblStylePr w:type="firstCol">
      <w:pPr>
        <w:snapToGrid/>
        <w:jc w:val="right"/>
      </w:pPr>
      <w:rPr>
        <w:rFonts w:ascii="Arial" w:hAnsi="Arial"/>
        <w:i/>
        <w:color w:val="FABF8F" w:themeColor="accent6" w:themeTint="99"/>
        <w:sz w:val="22"/>
      </w:rPr>
      <w:tblPr/>
      <w:tcPr>
        <w:tcBorders>
          <w:top w:val="nil"/>
          <w:left w:val="nil"/>
          <w:bottom w:val="nil"/>
          <w:right w:val="single" w:sz="4" w:space="0" w:color="FAC090" w:themeColor="accent6" w:themeTint="98"/>
        </w:tcBorders>
        <w:shd w:val="clear" w:color="auto" w:fill="FFFFFF"/>
      </w:tcPr>
    </w:tblStylePr>
    <w:tblStylePr w:type="lastCol">
      <w:pPr>
        <w:snapToGrid/>
      </w:pPr>
      <w:rPr>
        <w:rFonts w:ascii="Arial" w:hAnsi="Arial"/>
        <w:i/>
        <w:color w:val="FABF8F" w:themeColor="accent6" w:themeTint="99"/>
        <w:sz w:val="22"/>
      </w:rPr>
      <w:tblPr/>
      <w:tcPr>
        <w:tcBorders>
          <w:top w:val="nil"/>
          <w:left w:val="single" w:sz="4" w:space="0" w:color="FAC090" w:themeColor="accent6" w:themeTint="98"/>
          <w:bottom w:val="nil"/>
          <w:right w:val="nil"/>
        </w:tcBorders>
        <w:shd w:val="clear" w:color="auto" w:fill="FFFFFF"/>
      </w:tcPr>
    </w:tblStylePr>
    <w:tblStylePr w:type="band1Vert">
      <w:pPr>
        <w:snapToGrid/>
      </w:pPr>
      <w:tblPr/>
      <w:tcPr>
        <w:shd w:val="clear" w:color="auto" w:fill="FDE4D0" w:themeFill="accent6" w:themeFillTint="40"/>
      </w:tcPr>
    </w:tblStylePr>
    <w:tblStylePr w:type="band2Vert">
      <w:pPr>
        <w:snapToGrid/>
      </w:pPr>
    </w:tblStylePr>
    <w:tblStylePr w:type="band1Horz">
      <w:pPr>
        <w:snapToGrid/>
      </w:pPr>
      <w:rPr>
        <w:rFonts w:ascii="Arial" w:hAnsi="Arial"/>
        <w:color w:val="FABF8F" w:themeColor="accent6" w:themeTint="99"/>
        <w:sz w:val="22"/>
      </w:rPr>
      <w:tblPr/>
      <w:tcPr>
        <w:shd w:val="clear" w:color="auto" w:fill="FDE4D0" w:themeFill="accent6" w:themeFillTint="40"/>
      </w:tcPr>
    </w:tblStylePr>
    <w:tblStylePr w:type="band2Horz">
      <w:pPr>
        <w:snapToGrid/>
      </w:pPr>
      <w:rPr>
        <w:rFonts w:ascii="Arial" w:hAnsi="Arial"/>
        <w:color w:val="FABF8F" w:themeColor="accent6" w:themeTint="99"/>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
    <w:name w:val="Lined - Accent"/>
    <w:uiPriority w:val="99"/>
    <w:qFormat/>
    <w:rPr>
      <w:color w:val="404040"/>
    </w:rPr>
    <w:tblPr>
      <w:tblCellMar>
        <w:top w:w="0" w:type="dxa"/>
        <w:left w:w="0" w:type="dxa"/>
        <w:bottom w:w="0" w:type="dxa"/>
        <w:right w:w="0" w:type="dxa"/>
      </w:tblCellMar>
    </w:tblPr>
    <w:tblStylePr w:type="firstRow">
      <w:pPr>
        <w:snapToGrid/>
      </w:pPr>
      <w:rPr>
        <w:rFonts w:ascii="Arial" w:hAnsi="Arial"/>
        <w:color w:val="F2F2F2"/>
        <w:sz w:val="22"/>
      </w:rPr>
      <w:tblPr/>
      <w:tcPr>
        <w:shd w:val="clear" w:color="auto" w:fill="7F7F7F" w:themeFill="text1" w:themeFillTint="80"/>
      </w:tcPr>
    </w:tblStylePr>
    <w:tblStylePr w:type="lastRow">
      <w:pPr>
        <w:snapToGrid/>
      </w:pPr>
      <w:rPr>
        <w:rFonts w:ascii="Arial" w:hAnsi="Arial"/>
        <w:color w:val="F2F2F2"/>
        <w:sz w:val="22"/>
      </w:rPr>
      <w:tblPr/>
      <w:tcPr>
        <w:shd w:val="clear" w:color="auto" w:fill="7F7F7F" w:themeFill="text1" w:themeFillTint="80"/>
      </w:tcPr>
    </w:tblStylePr>
    <w:tblStylePr w:type="firstCol">
      <w:pPr>
        <w:snapToGrid/>
      </w:pPr>
      <w:rPr>
        <w:rFonts w:ascii="Arial" w:hAnsi="Arial"/>
        <w:color w:val="F2F2F2"/>
        <w:sz w:val="22"/>
      </w:rPr>
      <w:tblPr/>
      <w:tcPr>
        <w:shd w:val="clear" w:color="auto" w:fill="7F7F7F" w:themeFill="text1" w:themeFillTint="80"/>
      </w:tcPr>
    </w:tblStylePr>
    <w:tblStylePr w:type="lastCol">
      <w:pPr>
        <w:snapToGrid/>
      </w:pPr>
      <w:rPr>
        <w:rFonts w:ascii="Arial" w:hAnsi="Arial"/>
        <w:color w:val="F2F2F2"/>
        <w:sz w:val="22"/>
      </w:rPr>
      <w:tblPr/>
      <w:tcPr>
        <w:shd w:val="clear" w:color="auto"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FFFFFF" w:themeFill="text1" w:themeFillTint="0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FFFFFF" w:themeFill="text1" w:themeFillTint="0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1">
    <w:name w:val="Lined - Accent 1"/>
    <w:uiPriority w:val="99"/>
    <w:qFormat/>
    <w:rPr>
      <w:color w:val="404040"/>
    </w:rPr>
    <w:tblPr>
      <w:tblCellMar>
        <w:top w:w="0" w:type="dxa"/>
        <w:left w:w="0" w:type="dxa"/>
        <w:bottom w:w="0" w:type="dxa"/>
        <w:right w:w="0" w:type="dxa"/>
      </w:tblCellMar>
    </w:tblPr>
    <w:tblStylePr w:type="firstRow">
      <w:pPr>
        <w:snapToGrid/>
      </w:pPr>
      <w:rPr>
        <w:rFonts w:ascii="Arial" w:hAnsi="Arial"/>
        <w:color w:val="F2F2F2"/>
        <w:sz w:val="22"/>
      </w:rPr>
      <w:tblPr/>
      <w:tcPr>
        <w:shd w:val="clear" w:color="auto" w:fill="5D8AC2" w:themeFill="accent1" w:themeFillTint="EA"/>
      </w:tcPr>
    </w:tblStylePr>
    <w:tblStylePr w:type="lastRow">
      <w:pPr>
        <w:snapToGrid/>
      </w:pPr>
      <w:rPr>
        <w:rFonts w:ascii="Arial" w:hAnsi="Arial"/>
        <w:color w:val="F2F2F2"/>
        <w:sz w:val="22"/>
      </w:rPr>
      <w:tblPr/>
      <w:tcPr>
        <w:shd w:val="clear" w:color="auto" w:fill="5D8AC2" w:themeFill="accent1" w:themeFillTint="EA"/>
      </w:tcPr>
    </w:tblStylePr>
    <w:tblStylePr w:type="firstCol">
      <w:pPr>
        <w:snapToGrid/>
      </w:pPr>
      <w:rPr>
        <w:rFonts w:ascii="Arial" w:hAnsi="Arial"/>
        <w:color w:val="F2F2F2"/>
        <w:sz w:val="22"/>
      </w:rPr>
      <w:tblPr/>
      <w:tcPr>
        <w:shd w:val="clear" w:color="auto" w:fill="5D8AC2" w:themeFill="accent1" w:themeFillTint="EA"/>
      </w:tcPr>
    </w:tblStylePr>
    <w:tblStylePr w:type="lastCol">
      <w:pPr>
        <w:snapToGrid/>
      </w:pPr>
      <w:rPr>
        <w:rFonts w:ascii="Arial" w:hAnsi="Arial"/>
        <w:color w:val="F2F2F2"/>
        <w:sz w:val="22"/>
      </w:rPr>
      <w:tblPr/>
      <w:tcPr>
        <w:shd w:val="clear" w:color="auto" w:fill="5D8AC2"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C7D7EA"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C7D7EA"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2">
    <w:name w:val="Lined - Accent 2"/>
    <w:uiPriority w:val="99"/>
    <w:qFormat/>
    <w:rPr>
      <w:color w:val="404040"/>
    </w:rPr>
    <w:tblPr>
      <w:tblCellMar>
        <w:top w:w="0" w:type="dxa"/>
        <w:left w:w="0" w:type="dxa"/>
        <w:bottom w:w="0" w:type="dxa"/>
        <w:right w:w="0" w:type="dxa"/>
      </w:tblCellMar>
    </w:tblPr>
    <w:tblStylePr w:type="firstRow">
      <w:pPr>
        <w:snapToGrid/>
      </w:pPr>
      <w:rPr>
        <w:rFonts w:ascii="Arial" w:hAnsi="Arial"/>
        <w:color w:val="F2F2F2"/>
        <w:sz w:val="22"/>
      </w:rPr>
      <w:tblPr/>
      <w:tcPr>
        <w:shd w:val="clear" w:color="auto" w:fill="D99695" w:themeFill="accent2" w:themeFillTint="97"/>
      </w:tcPr>
    </w:tblStylePr>
    <w:tblStylePr w:type="lastRow">
      <w:pPr>
        <w:snapToGrid/>
      </w:pPr>
      <w:rPr>
        <w:rFonts w:ascii="Arial" w:hAnsi="Arial"/>
        <w:color w:val="F2F2F2"/>
        <w:sz w:val="22"/>
      </w:rPr>
      <w:tblPr/>
      <w:tcPr>
        <w:shd w:val="clear" w:color="auto" w:fill="D99695" w:themeFill="accent2" w:themeFillTint="97"/>
      </w:tcPr>
    </w:tblStylePr>
    <w:tblStylePr w:type="firstCol">
      <w:pPr>
        <w:snapToGrid/>
      </w:pPr>
      <w:rPr>
        <w:rFonts w:ascii="Arial" w:hAnsi="Arial"/>
        <w:color w:val="F2F2F2"/>
        <w:sz w:val="22"/>
      </w:rPr>
      <w:tblPr/>
      <w:tcPr>
        <w:shd w:val="clear" w:color="auto" w:fill="D99695" w:themeFill="accent2" w:themeFillTint="97"/>
      </w:tcPr>
    </w:tblStylePr>
    <w:tblStylePr w:type="lastCol">
      <w:pPr>
        <w:snapToGrid/>
      </w:pPr>
      <w:rPr>
        <w:rFonts w:ascii="Arial" w:hAnsi="Arial"/>
        <w:color w:val="F2F2F2"/>
        <w:sz w:val="22"/>
      </w:rPr>
      <w:tblPr/>
      <w:tcPr>
        <w:shd w:val="clear" w:color="auto" w:fill="D9969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F2DCDC"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F2DCDC"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3">
    <w:name w:val="Lined - Accent 3"/>
    <w:uiPriority w:val="99"/>
    <w:qFormat/>
    <w:rPr>
      <w:color w:val="404040"/>
    </w:rPr>
    <w:tblPr>
      <w:tblCellMar>
        <w:top w:w="0" w:type="dxa"/>
        <w:left w:w="0" w:type="dxa"/>
        <w:bottom w:w="0" w:type="dxa"/>
        <w:right w:w="0" w:type="dxa"/>
      </w:tblCellMar>
    </w:tblPr>
    <w:tblStylePr w:type="firstRow">
      <w:pPr>
        <w:snapToGrid/>
      </w:pPr>
      <w:rPr>
        <w:rFonts w:ascii="Arial" w:hAnsi="Arial"/>
        <w:color w:val="F2F2F2"/>
        <w:sz w:val="22"/>
      </w:rPr>
      <w:tblPr/>
      <w:tcPr>
        <w:shd w:val="clear" w:color="auto" w:fill="9ABB59" w:themeFill="accent3" w:themeFillTint="FE"/>
      </w:tcPr>
    </w:tblStylePr>
    <w:tblStylePr w:type="lastRow">
      <w:pPr>
        <w:snapToGrid/>
      </w:pPr>
      <w:rPr>
        <w:rFonts w:ascii="Arial" w:hAnsi="Arial"/>
        <w:color w:val="F2F2F2"/>
        <w:sz w:val="22"/>
      </w:rPr>
      <w:tblPr/>
      <w:tcPr>
        <w:shd w:val="clear" w:color="auto" w:fill="9ABB59" w:themeFill="accent3" w:themeFillTint="FE"/>
      </w:tcPr>
    </w:tblStylePr>
    <w:tblStylePr w:type="firstCol">
      <w:pPr>
        <w:snapToGrid/>
      </w:pPr>
      <w:rPr>
        <w:rFonts w:ascii="Arial" w:hAnsi="Arial"/>
        <w:color w:val="F2F2F2"/>
        <w:sz w:val="22"/>
      </w:rPr>
      <w:tblPr/>
      <w:tcPr>
        <w:shd w:val="clear" w:color="auto" w:fill="9ABB59" w:themeFill="accent3" w:themeFillTint="FE"/>
      </w:tcPr>
    </w:tblStylePr>
    <w:tblStylePr w:type="lastCol">
      <w:pPr>
        <w:snapToGrid/>
      </w:pPr>
      <w:rPr>
        <w:rFonts w:ascii="Arial" w:hAnsi="Arial"/>
        <w:color w:val="F2F2F2"/>
        <w:sz w:val="22"/>
      </w:rPr>
      <w:tblPr/>
      <w:tcPr>
        <w:shd w:val="clear" w:color="auto" w:fill="9ABB59"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EAF1D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EAF1D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4">
    <w:name w:val="Lined - Accent 4"/>
    <w:uiPriority w:val="99"/>
    <w:qFormat/>
    <w:rPr>
      <w:color w:val="404040"/>
    </w:rPr>
    <w:tblPr>
      <w:tblCellMar>
        <w:top w:w="0" w:type="dxa"/>
        <w:left w:w="0" w:type="dxa"/>
        <w:bottom w:w="0" w:type="dxa"/>
        <w:right w:w="0" w:type="dxa"/>
      </w:tblCellMar>
    </w:tblPr>
    <w:tblStylePr w:type="firstRow">
      <w:pPr>
        <w:snapToGrid/>
      </w:pPr>
      <w:rPr>
        <w:rFonts w:ascii="Arial" w:hAnsi="Arial"/>
        <w:color w:val="F2F2F2"/>
        <w:sz w:val="22"/>
      </w:rPr>
      <w:tblPr/>
      <w:tcPr>
        <w:shd w:val="clear" w:color="auto" w:fill="B2A1C6" w:themeFill="accent4" w:themeFillTint="9A"/>
      </w:tcPr>
    </w:tblStylePr>
    <w:tblStylePr w:type="lastRow">
      <w:pPr>
        <w:snapToGrid/>
      </w:pPr>
      <w:rPr>
        <w:rFonts w:ascii="Arial" w:hAnsi="Arial"/>
        <w:color w:val="F2F2F2"/>
        <w:sz w:val="22"/>
      </w:rPr>
      <w:tblPr/>
      <w:tcPr>
        <w:shd w:val="clear" w:color="auto" w:fill="B2A1C6" w:themeFill="accent4" w:themeFillTint="9A"/>
      </w:tcPr>
    </w:tblStylePr>
    <w:tblStylePr w:type="firstCol">
      <w:pPr>
        <w:snapToGrid/>
      </w:pPr>
      <w:rPr>
        <w:rFonts w:ascii="Arial" w:hAnsi="Arial"/>
        <w:color w:val="F2F2F2"/>
        <w:sz w:val="22"/>
      </w:rPr>
      <w:tblPr/>
      <w:tcPr>
        <w:shd w:val="clear" w:color="auto" w:fill="B2A1C6" w:themeFill="accent4" w:themeFillTint="9A"/>
      </w:tcPr>
    </w:tblStylePr>
    <w:tblStylePr w:type="lastCol">
      <w:pPr>
        <w:snapToGrid/>
      </w:pPr>
      <w:rPr>
        <w:rFonts w:ascii="Arial" w:hAnsi="Arial"/>
        <w:color w:val="F2F2F2"/>
        <w:sz w:val="22"/>
      </w:rPr>
      <w:tblPr/>
      <w:tcPr>
        <w:shd w:val="clear" w:color="auto" w:fill="B2A1C6"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E5DFEC"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E5DFEC"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5">
    <w:name w:val="Lined - Accent 5"/>
    <w:uiPriority w:val="99"/>
    <w:qFormat/>
    <w:rPr>
      <w:color w:val="404040"/>
    </w:rPr>
    <w:tblPr>
      <w:tblCellMar>
        <w:top w:w="0" w:type="dxa"/>
        <w:left w:w="0" w:type="dxa"/>
        <w:bottom w:w="0" w:type="dxa"/>
        <w:right w:w="0" w:type="dxa"/>
      </w:tblCellMar>
    </w:tblPr>
    <w:tblStylePr w:type="firstRow">
      <w:pPr>
        <w:snapToGrid/>
      </w:pPr>
      <w:rPr>
        <w:rFonts w:ascii="Arial" w:hAnsi="Arial"/>
        <w:color w:val="F2F2F2"/>
        <w:sz w:val="22"/>
      </w:rPr>
      <w:tblPr/>
      <w:tcPr>
        <w:shd w:val="clear" w:color="auto" w:fill="4BACC6" w:themeFill="accent5"/>
      </w:tcPr>
    </w:tblStylePr>
    <w:tblStylePr w:type="lastRow">
      <w:pPr>
        <w:snapToGrid/>
      </w:pPr>
      <w:rPr>
        <w:rFonts w:ascii="Arial" w:hAnsi="Arial"/>
        <w:color w:val="F2F2F2"/>
        <w:sz w:val="22"/>
      </w:rPr>
      <w:tblPr/>
      <w:tcPr>
        <w:shd w:val="clear" w:color="auto" w:fill="4BACC6" w:themeFill="accent5"/>
      </w:tcPr>
    </w:tblStylePr>
    <w:tblStylePr w:type="firstCol">
      <w:pPr>
        <w:snapToGrid/>
      </w:pPr>
      <w:rPr>
        <w:rFonts w:ascii="Arial" w:hAnsi="Arial"/>
        <w:color w:val="F2F2F2"/>
        <w:sz w:val="22"/>
      </w:rPr>
      <w:tblPr/>
      <w:tcPr>
        <w:shd w:val="clear" w:color="auto" w:fill="4BACC6" w:themeFill="accent5"/>
      </w:tcPr>
    </w:tblStylePr>
    <w:tblStylePr w:type="lastCol">
      <w:pPr>
        <w:snapToGrid/>
      </w:pPr>
      <w:rPr>
        <w:rFonts w:ascii="Arial" w:hAnsi="Arial"/>
        <w:color w:val="F2F2F2"/>
        <w:sz w:val="22"/>
      </w:rPr>
      <w:tblPr/>
      <w:tcPr>
        <w:shd w:val="clear" w:color="auto" w:fill="4BACC6"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DAEE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DAEE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6">
    <w:name w:val="Lined - Accent 6"/>
    <w:uiPriority w:val="99"/>
    <w:qFormat/>
    <w:rPr>
      <w:color w:val="404040"/>
    </w:rPr>
    <w:tblPr>
      <w:tblCellMar>
        <w:top w:w="0" w:type="dxa"/>
        <w:left w:w="0" w:type="dxa"/>
        <w:bottom w:w="0" w:type="dxa"/>
        <w:right w:w="0" w:type="dxa"/>
      </w:tblCellMar>
    </w:tblPr>
    <w:tblStylePr w:type="firstRow">
      <w:pPr>
        <w:snapToGrid/>
      </w:pPr>
      <w:rPr>
        <w:rFonts w:ascii="Arial" w:hAnsi="Arial"/>
        <w:color w:val="F2F2F2"/>
        <w:sz w:val="22"/>
      </w:rPr>
      <w:tblPr/>
      <w:tcPr>
        <w:shd w:val="clear" w:color="auto" w:fill="F79646" w:themeFill="accent6"/>
      </w:tcPr>
    </w:tblStylePr>
    <w:tblStylePr w:type="lastRow">
      <w:pPr>
        <w:snapToGrid/>
      </w:pPr>
      <w:rPr>
        <w:rFonts w:ascii="Arial" w:hAnsi="Arial"/>
        <w:color w:val="F2F2F2"/>
        <w:sz w:val="22"/>
      </w:rPr>
      <w:tblPr/>
      <w:tcPr>
        <w:shd w:val="clear" w:color="auto" w:fill="F79646" w:themeFill="accent6"/>
      </w:tcPr>
    </w:tblStylePr>
    <w:tblStylePr w:type="firstCol">
      <w:pPr>
        <w:snapToGrid/>
      </w:pPr>
      <w:rPr>
        <w:rFonts w:ascii="Arial" w:hAnsi="Arial"/>
        <w:color w:val="F2F2F2"/>
        <w:sz w:val="22"/>
      </w:rPr>
      <w:tblPr/>
      <w:tcPr>
        <w:shd w:val="clear" w:color="auto" w:fill="F79646" w:themeFill="accent6"/>
      </w:tcPr>
    </w:tblStylePr>
    <w:tblStylePr w:type="lastCol">
      <w:pPr>
        <w:snapToGrid/>
      </w:pPr>
      <w:rPr>
        <w:rFonts w:ascii="Arial" w:hAnsi="Arial"/>
        <w:color w:val="F2F2F2"/>
        <w:sz w:val="22"/>
      </w:rPr>
      <w:tblPr/>
      <w:tcPr>
        <w:shd w:val="clear" w:color="auto" w:fill="F79646"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FDE9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FDE9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
    <w:name w:val="Bordered &amp; Lined - Accent"/>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pPr>
        <w:snapToGrid/>
      </w:pPr>
      <w:rPr>
        <w:rFonts w:ascii="Arial" w:hAnsi="Arial"/>
        <w:color w:val="F2F2F2"/>
        <w:sz w:val="22"/>
      </w:rPr>
      <w:tblPr/>
      <w:tcPr>
        <w:shd w:val="clear" w:color="auto" w:fill="7F7F7F" w:themeFill="text1" w:themeFillTint="80"/>
      </w:tcPr>
    </w:tblStylePr>
    <w:tblStylePr w:type="lastRow">
      <w:pPr>
        <w:snapToGrid/>
      </w:pPr>
      <w:rPr>
        <w:rFonts w:ascii="Arial" w:hAnsi="Arial"/>
        <w:color w:val="F2F2F2"/>
        <w:sz w:val="22"/>
      </w:rPr>
      <w:tblPr/>
      <w:tcPr>
        <w:shd w:val="clear" w:color="auto" w:fill="7F7F7F" w:themeFill="text1" w:themeFillTint="80"/>
      </w:tcPr>
    </w:tblStylePr>
    <w:tblStylePr w:type="firstCol">
      <w:pPr>
        <w:snapToGrid/>
      </w:pPr>
      <w:rPr>
        <w:rFonts w:ascii="Arial" w:hAnsi="Arial"/>
        <w:color w:val="F2F2F2"/>
        <w:sz w:val="22"/>
      </w:rPr>
      <w:tblPr/>
      <w:tcPr>
        <w:shd w:val="clear" w:color="auto" w:fill="7F7F7F" w:themeFill="text1" w:themeFillTint="80"/>
      </w:tcPr>
    </w:tblStylePr>
    <w:tblStylePr w:type="lastCol">
      <w:pPr>
        <w:snapToGrid/>
      </w:pPr>
      <w:rPr>
        <w:rFonts w:ascii="Arial" w:hAnsi="Arial"/>
        <w:color w:val="F2F2F2"/>
        <w:sz w:val="22"/>
      </w:rPr>
      <w:tblPr/>
      <w:tcPr>
        <w:shd w:val="clear" w:color="auto"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FFFFFF" w:themeFill="text1" w:themeFillTint="0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FFFFFF" w:themeFill="text1" w:themeFillTint="0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1">
    <w:name w:val="Bordered &amp; Lined - Accent 1"/>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pPr>
        <w:snapToGrid/>
      </w:pPr>
      <w:rPr>
        <w:rFonts w:ascii="Arial" w:hAnsi="Arial"/>
        <w:color w:val="F2F2F2"/>
        <w:sz w:val="22"/>
      </w:rPr>
      <w:tblPr/>
      <w:tcPr>
        <w:shd w:val="clear" w:color="auto" w:fill="5D8AC2" w:themeFill="accent1" w:themeFillTint="EA"/>
      </w:tcPr>
    </w:tblStylePr>
    <w:tblStylePr w:type="lastRow">
      <w:pPr>
        <w:snapToGrid/>
      </w:pPr>
      <w:rPr>
        <w:rFonts w:ascii="Arial" w:hAnsi="Arial"/>
        <w:color w:val="F2F2F2"/>
        <w:sz w:val="22"/>
      </w:rPr>
      <w:tblPr/>
      <w:tcPr>
        <w:shd w:val="clear" w:color="auto" w:fill="5D8AC2" w:themeFill="accent1" w:themeFillTint="EA"/>
      </w:tcPr>
    </w:tblStylePr>
    <w:tblStylePr w:type="firstCol">
      <w:pPr>
        <w:snapToGrid/>
      </w:pPr>
      <w:rPr>
        <w:rFonts w:ascii="Arial" w:hAnsi="Arial"/>
        <w:color w:val="F2F2F2"/>
        <w:sz w:val="22"/>
      </w:rPr>
      <w:tblPr/>
      <w:tcPr>
        <w:shd w:val="clear" w:color="auto" w:fill="5D8AC2" w:themeFill="accent1" w:themeFillTint="EA"/>
      </w:tcPr>
    </w:tblStylePr>
    <w:tblStylePr w:type="lastCol">
      <w:pPr>
        <w:snapToGrid/>
      </w:pPr>
      <w:rPr>
        <w:rFonts w:ascii="Arial" w:hAnsi="Arial"/>
        <w:color w:val="F2F2F2"/>
        <w:sz w:val="22"/>
      </w:rPr>
      <w:tblPr/>
      <w:tcPr>
        <w:shd w:val="clear" w:color="auto" w:fill="5D8AC2"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C7D7EA"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C7D7EA"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2">
    <w:name w:val="Bordered &amp; Lined - Accent 2"/>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pPr>
        <w:snapToGrid/>
      </w:pPr>
      <w:rPr>
        <w:rFonts w:ascii="Arial" w:hAnsi="Arial"/>
        <w:color w:val="F2F2F2"/>
        <w:sz w:val="22"/>
      </w:rPr>
      <w:tblPr/>
      <w:tcPr>
        <w:shd w:val="clear" w:color="auto" w:fill="D99695" w:themeFill="accent2" w:themeFillTint="97"/>
      </w:tcPr>
    </w:tblStylePr>
    <w:tblStylePr w:type="lastRow">
      <w:pPr>
        <w:snapToGrid/>
      </w:pPr>
      <w:rPr>
        <w:rFonts w:ascii="Arial" w:hAnsi="Arial"/>
        <w:color w:val="F2F2F2"/>
        <w:sz w:val="22"/>
      </w:rPr>
      <w:tblPr/>
      <w:tcPr>
        <w:shd w:val="clear" w:color="auto" w:fill="D99695" w:themeFill="accent2" w:themeFillTint="97"/>
      </w:tcPr>
    </w:tblStylePr>
    <w:tblStylePr w:type="firstCol">
      <w:pPr>
        <w:snapToGrid/>
      </w:pPr>
      <w:rPr>
        <w:rFonts w:ascii="Arial" w:hAnsi="Arial"/>
        <w:color w:val="F2F2F2"/>
        <w:sz w:val="22"/>
      </w:rPr>
      <w:tblPr/>
      <w:tcPr>
        <w:shd w:val="clear" w:color="auto" w:fill="D99695" w:themeFill="accent2" w:themeFillTint="97"/>
      </w:tcPr>
    </w:tblStylePr>
    <w:tblStylePr w:type="lastCol">
      <w:pPr>
        <w:snapToGrid/>
      </w:pPr>
      <w:rPr>
        <w:rFonts w:ascii="Arial" w:hAnsi="Arial"/>
        <w:color w:val="F2F2F2"/>
        <w:sz w:val="22"/>
      </w:rPr>
      <w:tblPr/>
      <w:tcPr>
        <w:shd w:val="clear" w:color="auto" w:fill="D9969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F2DCDC"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F2DCDC"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3">
    <w:name w:val="Bordered &amp; Lined - Accent 3"/>
    <w:uiPriority w:val="99"/>
    <w:qFormat/>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pPr>
        <w:snapToGrid/>
      </w:pPr>
      <w:rPr>
        <w:rFonts w:ascii="Arial" w:hAnsi="Arial"/>
        <w:color w:val="F2F2F2"/>
        <w:sz w:val="22"/>
      </w:rPr>
      <w:tblPr/>
      <w:tcPr>
        <w:shd w:val="clear" w:color="auto" w:fill="9ABB59" w:themeFill="accent3" w:themeFillTint="FE"/>
      </w:tcPr>
    </w:tblStylePr>
    <w:tblStylePr w:type="lastRow">
      <w:pPr>
        <w:snapToGrid/>
      </w:pPr>
      <w:rPr>
        <w:rFonts w:ascii="Arial" w:hAnsi="Arial"/>
        <w:color w:val="F2F2F2"/>
        <w:sz w:val="22"/>
      </w:rPr>
      <w:tblPr/>
      <w:tcPr>
        <w:shd w:val="clear" w:color="auto" w:fill="9ABB59" w:themeFill="accent3" w:themeFillTint="FE"/>
      </w:tcPr>
    </w:tblStylePr>
    <w:tblStylePr w:type="firstCol">
      <w:pPr>
        <w:snapToGrid/>
      </w:pPr>
      <w:rPr>
        <w:rFonts w:ascii="Arial" w:hAnsi="Arial"/>
        <w:color w:val="F2F2F2"/>
        <w:sz w:val="22"/>
      </w:rPr>
      <w:tblPr/>
      <w:tcPr>
        <w:shd w:val="clear" w:color="auto" w:fill="9ABB59" w:themeFill="accent3" w:themeFillTint="FE"/>
      </w:tcPr>
    </w:tblStylePr>
    <w:tblStylePr w:type="lastCol">
      <w:pPr>
        <w:snapToGrid/>
      </w:pPr>
      <w:rPr>
        <w:rFonts w:ascii="Arial" w:hAnsi="Arial"/>
        <w:color w:val="F2F2F2"/>
        <w:sz w:val="22"/>
      </w:rPr>
      <w:tblPr/>
      <w:tcPr>
        <w:shd w:val="clear" w:color="auto" w:fill="9ABB59"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EAF1D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EAF1D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4">
    <w:name w:val="Bordered &amp; Lined - Accent 4"/>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pPr>
        <w:snapToGrid/>
      </w:pPr>
      <w:rPr>
        <w:rFonts w:ascii="Arial" w:hAnsi="Arial"/>
        <w:color w:val="F2F2F2"/>
        <w:sz w:val="22"/>
      </w:rPr>
      <w:tblPr/>
      <w:tcPr>
        <w:shd w:val="clear" w:color="auto" w:fill="B2A1C6" w:themeFill="accent4" w:themeFillTint="9A"/>
      </w:tcPr>
    </w:tblStylePr>
    <w:tblStylePr w:type="lastRow">
      <w:pPr>
        <w:snapToGrid/>
      </w:pPr>
      <w:rPr>
        <w:rFonts w:ascii="Arial" w:hAnsi="Arial"/>
        <w:color w:val="F2F2F2"/>
        <w:sz w:val="22"/>
      </w:rPr>
      <w:tblPr/>
      <w:tcPr>
        <w:shd w:val="clear" w:color="auto" w:fill="B2A1C6" w:themeFill="accent4" w:themeFillTint="9A"/>
      </w:tcPr>
    </w:tblStylePr>
    <w:tblStylePr w:type="firstCol">
      <w:pPr>
        <w:snapToGrid/>
      </w:pPr>
      <w:rPr>
        <w:rFonts w:ascii="Arial" w:hAnsi="Arial"/>
        <w:color w:val="F2F2F2"/>
        <w:sz w:val="22"/>
      </w:rPr>
      <w:tblPr/>
      <w:tcPr>
        <w:shd w:val="clear" w:color="auto" w:fill="B2A1C6" w:themeFill="accent4" w:themeFillTint="9A"/>
      </w:tcPr>
    </w:tblStylePr>
    <w:tblStylePr w:type="lastCol">
      <w:pPr>
        <w:snapToGrid/>
      </w:pPr>
      <w:rPr>
        <w:rFonts w:ascii="Arial" w:hAnsi="Arial"/>
        <w:color w:val="F2F2F2"/>
        <w:sz w:val="22"/>
      </w:rPr>
      <w:tblPr/>
      <w:tcPr>
        <w:shd w:val="clear" w:color="auto" w:fill="B2A1C6"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E5DFEC"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E5DFEC"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5">
    <w:name w:val="Bordered &amp; Lined - Accent 5"/>
    <w:uiPriority w:val="99"/>
    <w:qFormat/>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pPr>
        <w:snapToGrid/>
      </w:pPr>
      <w:rPr>
        <w:rFonts w:ascii="Arial" w:hAnsi="Arial"/>
        <w:color w:val="F2F2F2"/>
        <w:sz w:val="22"/>
      </w:rPr>
      <w:tblPr/>
      <w:tcPr>
        <w:shd w:val="clear" w:color="auto" w:fill="4BACC6" w:themeFill="accent5"/>
      </w:tcPr>
    </w:tblStylePr>
    <w:tblStylePr w:type="lastRow">
      <w:pPr>
        <w:snapToGrid/>
      </w:pPr>
      <w:rPr>
        <w:rFonts w:ascii="Arial" w:hAnsi="Arial"/>
        <w:color w:val="F2F2F2"/>
        <w:sz w:val="22"/>
      </w:rPr>
      <w:tblPr/>
      <w:tcPr>
        <w:shd w:val="clear" w:color="auto" w:fill="4BACC6" w:themeFill="accent5"/>
      </w:tcPr>
    </w:tblStylePr>
    <w:tblStylePr w:type="firstCol">
      <w:pPr>
        <w:snapToGrid/>
      </w:pPr>
      <w:rPr>
        <w:rFonts w:ascii="Arial" w:hAnsi="Arial"/>
        <w:color w:val="F2F2F2"/>
        <w:sz w:val="22"/>
      </w:rPr>
      <w:tblPr/>
      <w:tcPr>
        <w:shd w:val="clear" w:color="auto" w:fill="4BACC6" w:themeFill="accent5"/>
      </w:tcPr>
    </w:tblStylePr>
    <w:tblStylePr w:type="lastCol">
      <w:pPr>
        <w:snapToGrid/>
      </w:pPr>
      <w:rPr>
        <w:rFonts w:ascii="Arial" w:hAnsi="Arial"/>
        <w:color w:val="F2F2F2"/>
        <w:sz w:val="22"/>
      </w:rPr>
      <w:tblPr/>
      <w:tcPr>
        <w:shd w:val="clear" w:color="auto" w:fill="4BACC6"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DAEE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DAEE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6">
    <w:name w:val="Bordered &amp; Lined - Accent 6"/>
    <w:uiPriority w:val="99"/>
    <w:qFormat/>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pPr>
        <w:snapToGrid/>
      </w:pPr>
      <w:rPr>
        <w:rFonts w:ascii="Arial" w:hAnsi="Arial"/>
        <w:color w:val="F2F2F2"/>
        <w:sz w:val="22"/>
      </w:rPr>
      <w:tblPr/>
      <w:tcPr>
        <w:shd w:val="clear" w:color="auto" w:fill="F79646" w:themeFill="accent6"/>
      </w:tcPr>
    </w:tblStylePr>
    <w:tblStylePr w:type="lastRow">
      <w:pPr>
        <w:snapToGrid/>
      </w:pPr>
      <w:rPr>
        <w:rFonts w:ascii="Arial" w:hAnsi="Arial"/>
        <w:color w:val="F2F2F2"/>
        <w:sz w:val="22"/>
      </w:rPr>
      <w:tblPr/>
      <w:tcPr>
        <w:shd w:val="clear" w:color="auto" w:fill="F79646" w:themeFill="accent6"/>
      </w:tcPr>
    </w:tblStylePr>
    <w:tblStylePr w:type="firstCol">
      <w:pPr>
        <w:snapToGrid/>
      </w:pPr>
      <w:rPr>
        <w:rFonts w:ascii="Arial" w:hAnsi="Arial"/>
        <w:color w:val="F2F2F2"/>
        <w:sz w:val="22"/>
      </w:rPr>
      <w:tblPr/>
      <w:tcPr>
        <w:shd w:val="clear" w:color="auto" w:fill="F79646" w:themeFill="accent6"/>
      </w:tcPr>
    </w:tblStylePr>
    <w:tblStylePr w:type="lastCol">
      <w:pPr>
        <w:snapToGrid/>
      </w:pPr>
      <w:rPr>
        <w:rFonts w:ascii="Arial" w:hAnsi="Arial"/>
        <w:color w:val="F2F2F2"/>
        <w:sz w:val="22"/>
      </w:rPr>
      <w:tblPr/>
      <w:tcPr>
        <w:shd w:val="clear" w:color="auto" w:fill="F79646"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auto" w:fill="FDE9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auto" w:fill="FDE9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
    <w:name w:val="Bordered"/>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pPr>
        <w:snapToGrid/>
      </w:pPr>
      <w:rPr>
        <w:rFonts w:ascii="Arial" w:hAnsi="Arial"/>
        <w:color w:val="404040"/>
        <w:sz w:val="22"/>
      </w:rPr>
      <w:tblPr/>
      <w:tcPr>
        <w:tcBorders>
          <w:bottom w:val="single" w:sz="12" w:space="0" w:color="7F7F7F" w:themeColor="text1" w:themeTint="80"/>
        </w:tcBorders>
      </w:tcPr>
    </w:tblStylePr>
    <w:tblStylePr w:type="lastRow">
      <w:pPr>
        <w:snapToGrid/>
      </w:pPr>
      <w:rPr>
        <w:rFonts w:ascii="Arial" w:hAnsi="Arial"/>
        <w:color w:val="404040"/>
        <w:sz w:val="22"/>
      </w:rPr>
      <w:tblPr/>
      <w:tcPr>
        <w:tcBorders>
          <w:top w:val="single" w:sz="12" w:space="0" w:color="7F7F7F" w:themeColor="text1" w:themeTint="8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7F7F7F" w:themeColor="text1" w:themeTint="80"/>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1">
    <w:name w:val="Bordered - Accent 1"/>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pPr>
        <w:snapToGrid/>
      </w:pPr>
      <w:rPr>
        <w:rFonts w:ascii="Arial" w:hAnsi="Arial"/>
        <w:color w:val="404040"/>
        <w:sz w:val="22"/>
      </w:rPr>
      <w:tblPr/>
      <w:tcPr>
        <w:tcBorders>
          <w:bottom w:val="single" w:sz="12" w:space="0" w:color="4F81BD" w:themeColor="accent1"/>
        </w:tcBorders>
      </w:tcPr>
    </w:tblStylePr>
    <w:tblStylePr w:type="lastRow">
      <w:pPr>
        <w:snapToGrid/>
      </w:pPr>
      <w:rPr>
        <w:rFonts w:ascii="Arial" w:hAnsi="Arial"/>
        <w:color w:val="404040"/>
        <w:sz w:val="22"/>
      </w:rPr>
      <w:tblPr/>
      <w:tcPr>
        <w:tcBorders>
          <w:top w:val="single" w:sz="12" w:space="0" w:color="4F81BD" w:themeColor="accent1"/>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4F81BD" w:themeColor="accent1"/>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2">
    <w:name w:val="Bordered - Accent 2"/>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pPr>
        <w:snapToGrid/>
      </w:pPr>
      <w:rPr>
        <w:rFonts w:ascii="Arial" w:hAnsi="Arial"/>
        <w:color w:val="404040"/>
        <w:sz w:val="22"/>
      </w:rPr>
      <w:tblPr/>
      <w:tcPr>
        <w:tcBorders>
          <w:bottom w:val="single" w:sz="12" w:space="0" w:color="D99695" w:themeColor="accent2" w:themeTint="97"/>
        </w:tcBorders>
      </w:tcPr>
    </w:tblStylePr>
    <w:tblStylePr w:type="lastRow">
      <w:pPr>
        <w:snapToGrid/>
      </w:pPr>
      <w:rPr>
        <w:rFonts w:ascii="Arial" w:hAnsi="Arial"/>
        <w:color w:val="404040"/>
        <w:sz w:val="22"/>
      </w:rPr>
      <w:tblPr/>
      <w:tcPr>
        <w:tcBorders>
          <w:top w:val="single" w:sz="12" w:space="0" w:color="D99695" w:themeColor="accent2" w:themeTint="97"/>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D99695" w:themeColor="accent2" w:themeTint="97"/>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3">
    <w:name w:val="Bordered - Accent 3"/>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pPr>
        <w:snapToGrid/>
      </w:pPr>
      <w:rPr>
        <w:rFonts w:ascii="Arial" w:hAnsi="Arial"/>
        <w:color w:val="404040"/>
        <w:sz w:val="22"/>
      </w:rPr>
      <w:tblPr/>
      <w:tcPr>
        <w:tcBorders>
          <w:bottom w:val="single" w:sz="12" w:space="0" w:color="C3D69B" w:themeColor="accent3" w:themeTint="98"/>
        </w:tcBorders>
      </w:tcPr>
    </w:tblStylePr>
    <w:tblStylePr w:type="lastRow">
      <w:pPr>
        <w:snapToGrid/>
      </w:pPr>
      <w:rPr>
        <w:rFonts w:ascii="Arial" w:hAnsi="Arial"/>
        <w:color w:val="404040"/>
        <w:sz w:val="22"/>
      </w:rPr>
      <w:tblPr/>
      <w:tcPr>
        <w:tcBorders>
          <w:top w:val="single" w:sz="12" w:space="0" w:color="C3D69B" w:themeColor="accent3"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C3D69B" w:themeColor="accent3"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4">
    <w:name w:val="Bordered - Accent 4"/>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pPr>
        <w:snapToGrid/>
      </w:pPr>
      <w:rPr>
        <w:rFonts w:ascii="Arial" w:hAnsi="Arial"/>
        <w:color w:val="404040"/>
        <w:sz w:val="22"/>
      </w:rPr>
      <w:tblPr/>
      <w:tcPr>
        <w:tcBorders>
          <w:bottom w:val="single" w:sz="12" w:space="0" w:color="B2A1C6" w:themeColor="accent4" w:themeTint="9A"/>
        </w:tcBorders>
      </w:tcPr>
    </w:tblStylePr>
    <w:tblStylePr w:type="lastRow">
      <w:pPr>
        <w:snapToGrid/>
      </w:pPr>
      <w:rPr>
        <w:rFonts w:ascii="Arial" w:hAnsi="Arial"/>
        <w:color w:val="404040"/>
        <w:sz w:val="22"/>
      </w:rPr>
      <w:tblPr/>
      <w:tcPr>
        <w:tcBorders>
          <w:top w:val="single" w:sz="12" w:space="0" w:color="B2A1C6" w:themeColor="accent4"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B2A1C6" w:themeColor="accent4"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5">
    <w:name w:val="Bordered - Accent 5"/>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pPr>
        <w:snapToGrid/>
      </w:pPr>
      <w:rPr>
        <w:rFonts w:ascii="Arial" w:hAnsi="Arial"/>
        <w:color w:val="404040"/>
        <w:sz w:val="22"/>
      </w:rPr>
      <w:tblPr/>
      <w:tcPr>
        <w:tcBorders>
          <w:bottom w:val="single" w:sz="12" w:space="0" w:color="92CCDC" w:themeColor="accent5" w:themeTint="9A"/>
        </w:tcBorders>
      </w:tcPr>
    </w:tblStylePr>
    <w:tblStylePr w:type="lastRow">
      <w:pPr>
        <w:snapToGrid/>
      </w:pPr>
      <w:rPr>
        <w:rFonts w:ascii="Arial" w:hAnsi="Arial"/>
        <w:color w:val="404040"/>
        <w:sz w:val="22"/>
      </w:rPr>
      <w:tblPr/>
      <w:tcPr>
        <w:tcBorders>
          <w:top w:val="single" w:sz="12" w:space="0" w:color="92CCDC" w:themeColor="accent5"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92CCDC" w:themeColor="accent5"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6">
    <w:name w:val="Bordered - Accent 6"/>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pPr>
        <w:snapToGrid/>
      </w:pPr>
      <w:rPr>
        <w:rFonts w:ascii="Arial" w:hAnsi="Arial"/>
        <w:color w:val="404040"/>
        <w:sz w:val="22"/>
      </w:rPr>
      <w:tblPr/>
      <w:tcPr>
        <w:tcBorders>
          <w:bottom w:val="single" w:sz="12" w:space="0" w:color="FAC090" w:themeColor="accent6" w:themeTint="98"/>
        </w:tcBorders>
      </w:tcPr>
    </w:tblStylePr>
    <w:tblStylePr w:type="lastRow">
      <w:pPr>
        <w:snapToGrid/>
      </w:pPr>
      <w:rPr>
        <w:rFonts w:ascii="Arial" w:hAnsi="Arial"/>
        <w:color w:val="404040"/>
        <w:sz w:val="22"/>
      </w:rPr>
      <w:tblPr/>
      <w:tcPr>
        <w:tcBorders>
          <w:top w:val="single" w:sz="12" w:space="0" w:color="FAC090" w:themeColor="accent6"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FAC090" w:themeColor="accent6"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customStyle="1" w:styleId="FootnoteTextChar">
    <w:name w:val="Footnote Text Char"/>
    <w:uiPriority w:val="99"/>
    <w:qFormat/>
    <w:rPr>
      <w:sz w:val="18"/>
    </w:rPr>
  </w:style>
  <w:style w:type="paragraph" w:customStyle="1" w:styleId="TOC1">
    <w:name w:val="TOC 标题1"/>
    <w:uiPriority w:val="39"/>
    <w:unhideWhenUsed/>
    <w:qFormat/>
    <w:pPr>
      <w:pBdr>
        <w:top w:val="none" w:sz="0" w:space="0" w:color="000000"/>
        <w:left w:val="none" w:sz="0" w:space="0" w:color="000000"/>
        <w:bottom w:val="none" w:sz="0" w:space="0" w:color="000000"/>
        <w:right w:val="none" w:sz="0" w:space="0" w:color="000000"/>
        <w:between w:val="none" w:sz="0" w:space="0" w:color="000000"/>
      </w:pBdr>
    </w:pPr>
    <w:rPr>
      <w:rFonts w:ascii="Calibri" w:hAnsi="Calibri"/>
      <w:szCs w:val="22"/>
      <w:lang w:eastAsia="en-US" w:bidi="en-US"/>
    </w:rPr>
  </w:style>
  <w:style w:type="paragraph" w:customStyle="1" w:styleId="22">
    <w:name w:val="页眉2"/>
    <w:basedOn w:val="a"/>
    <w:link w:val="Char"/>
    <w:qFormat/>
    <w:pPr>
      <w:pBdr>
        <w:bottom w:val="single" w:sz="6" w:space="1" w:color="000000"/>
      </w:pBdr>
      <w:tabs>
        <w:tab w:val="center" w:pos="4153"/>
        <w:tab w:val="right" w:pos="8306"/>
      </w:tabs>
      <w:jc w:val="center"/>
    </w:pPr>
    <w:rPr>
      <w:sz w:val="18"/>
      <w:szCs w:val="18"/>
    </w:rPr>
  </w:style>
  <w:style w:type="character" w:customStyle="1" w:styleId="Char">
    <w:name w:val="页眉 Char"/>
    <w:link w:val="22"/>
    <w:qFormat/>
    <w:rPr>
      <w:sz w:val="18"/>
      <w:szCs w:val="18"/>
    </w:rPr>
  </w:style>
  <w:style w:type="paragraph" w:customStyle="1" w:styleId="23">
    <w:name w:val="页脚2"/>
    <w:basedOn w:val="a"/>
    <w:link w:val="Char0"/>
    <w:qFormat/>
    <w:pPr>
      <w:tabs>
        <w:tab w:val="center" w:pos="4153"/>
        <w:tab w:val="right" w:pos="8306"/>
      </w:tabs>
    </w:pPr>
    <w:rPr>
      <w:sz w:val="18"/>
      <w:szCs w:val="18"/>
    </w:rPr>
  </w:style>
  <w:style w:type="character" w:customStyle="1" w:styleId="Char0">
    <w:name w:val="页脚 Char"/>
    <w:link w:val="23"/>
    <w:qFormat/>
    <w:rPr>
      <w:sz w:val="18"/>
      <w:szCs w:val="18"/>
    </w:rPr>
  </w:style>
  <w:style w:type="character" w:customStyle="1" w:styleId="1Char">
    <w:name w:val="标题 1 Char"/>
    <w:link w:val="112"/>
    <w:qFormat/>
    <w:rPr>
      <w:rFonts w:ascii="宋体" w:eastAsia="宋体" w:hAnsi="Times New Roman"/>
      <w:b/>
      <w:color w:val="000000"/>
      <w:sz w:val="24"/>
      <w:szCs w:val="20"/>
    </w:rPr>
  </w:style>
  <w:style w:type="character" w:customStyle="1" w:styleId="2Char">
    <w:name w:val="标题 2 Char"/>
    <w:link w:val="213"/>
    <w:qFormat/>
    <w:rPr>
      <w:rFonts w:ascii="Arial" w:eastAsia="黑体" w:hAnsi="Arial"/>
      <w:b/>
      <w:sz w:val="32"/>
      <w:szCs w:val="20"/>
    </w:rPr>
  </w:style>
  <w:style w:type="character" w:customStyle="1" w:styleId="3Char">
    <w:name w:val="标题 3 Char"/>
    <w:link w:val="313"/>
    <w:qFormat/>
    <w:rPr>
      <w:rFonts w:ascii="Times New Roman" w:eastAsia="宋体" w:hAnsi="Times New Roman"/>
      <w:b/>
      <w:sz w:val="32"/>
      <w:szCs w:val="20"/>
    </w:rPr>
  </w:style>
  <w:style w:type="character" w:customStyle="1" w:styleId="a7">
    <w:name w:val="批注文字 字符"/>
    <w:link w:val="a6"/>
    <w:qFormat/>
    <w:rPr>
      <w:rFonts w:ascii="Times New Roman" w:eastAsia="宋体" w:hAnsi="Times New Roman"/>
      <w:szCs w:val="20"/>
    </w:rPr>
  </w:style>
  <w:style w:type="character" w:customStyle="1" w:styleId="afc">
    <w:name w:val="批注主题 字符"/>
    <w:link w:val="afb"/>
    <w:qFormat/>
    <w:rPr>
      <w:rFonts w:ascii="Times New Roman" w:eastAsia="宋体" w:hAnsi="Times New Roman"/>
      <w:b/>
      <w:szCs w:val="20"/>
    </w:rPr>
  </w:style>
  <w:style w:type="character" w:customStyle="1" w:styleId="a5">
    <w:name w:val="文档结构图 字符"/>
    <w:link w:val="a4"/>
    <w:qFormat/>
    <w:rPr>
      <w:rFonts w:ascii="Times New Roman" w:eastAsia="宋体" w:hAnsi="Times New Roman"/>
      <w:szCs w:val="20"/>
      <w:shd w:val="clear" w:color="auto" w:fill="000080"/>
    </w:rPr>
  </w:style>
  <w:style w:type="character" w:customStyle="1" w:styleId="a9">
    <w:name w:val="正文文本 字符"/>
    <w:link w:val="a8"/>
    <w:qFormat/>
    <w:rPr>
      <w:rFonts w:ascii="宋体" w:eastAsia="宋体" w:hAnsi="Times New Roman"/>
      <w:sz w:val="20"/>
      <w:szCs w:val="20"/>
    </w:rPr>
  </w:style>
  <w:style w:type="character" w:customStyle="1" w:styleId="ab">
    <w:name w:val="正文文本缩进 字符"/>
    <w:link w:val="aa"/>
    <w:qFormat/>
    <w:rPr>
      <w:rFonts w:ascii="Times New Roman" w:eastAsia="宋体" w:hAnsi="Times New Roman"/>
      <w:szCs w:val="20"/>
    </w:rPr>
  </w:style>
  <w:style w:type="character" w:customStyle="1" w:styleId="ad">
    <w:name w:val="纯文本 字符"/>
    <w:link w:val="ac"/>
    <w:qFormat/>
    <w:rPr>
      <w:rFonts w:ascii="宋体" w:eastAsia="宋体" w:hAnsi="Courier New"/>
      <w:szCs w:val="20"/>
    </w:rPr>
  </w:style>
  <w:style w:type="character" w:customStyle="1" w:styleId="20">
    <w:name w:val="正文文本缩进 2 字符"/>
    <w:link w:val="2"/>
    <w:qFormat/>
    <w:rPr>
      <w:rFonts w:ascii="仿宋_GB2312" w:eastAsia="仿宋_GB2312" w:hAnsi="Times New Roman"/>
      <w:sz w:val="28"/>
      <w:szCs w:val="20"/>
    </w:rPr>
  </w:style>
  <w:style w:type="character" w:customStyle="1" w:styleId="af">
    <w:name w:val="批注框文本 字符"/>
    <w:link w:val="ae"/>
    <w:qFormat/>
    <w:rPr>
      <w:rFonts w:ascii="Times New Roman" w:eastAsia="宋体" w:hAnsi="Times New Roman"/>
      <w:sz w:val="18"/>
      <w:szCs w:val="20"/>
    </w:rPr>
  </w:style>
  <w:style w:type="character" w:customStyle="1" w:styleId="af7">
    <w:name w:val="脚注文本 字符"/>
    <w:link w:val="af6"/>
    <w:qFormat/>
    <w:rPr>
      <w:rFonts w:ascii="Times New Roman" w:eastAsia="宋体" w:hAnsi="Times New Roman"/>
      <w:sz w:val="18"/>
      <w:szCs w:val="20"/>
    </w:rPr>
  </w:style>
  <w:style w:type="character" w:customStyle="1" w:styleId="31">
    <w:name w:val="正文文本缩进 3 字符"/>
    <w:link w:val="30"/>
    <w:qFormat/>
    <w:rPr>
      <w:rFonts w:ascii="Times New Roman" w:eastAsia="宋体" w:hAnsi="Times New Roman"/>
      <w:color w:val="0000FF"/>
      <w:szCs w:val="20"/>
    </w:rPr>
  </w:style>
  <w:style w:type="character" w:customStyle="1" w:styleId="afa">
    <w:name w:val="标题 字符"/>
    <w:link w:val="af9"/>
    <w:qFormat/>
    <w:rPr>
      <w:rFonts w:ascii="Cambria" w:eastAsia="宋体" w:hAnsi="Cambria"/>
      <w:b/>
      <w:sz w:val="32"/>
      <w:szCs w:val="20"/>
    </w:rPr>
  </w:style>
  <w:style w:type="character" w:customStyle="1" w:styleId="unnamed11">
    <w:name w:val="unnamed11"/>
    <w:qFormat/>
    <w:rPr>
      <w:rFonts w:ascii="宋体" w:eastAsia="宋体" w:hAnsi="宋体"/>
      <w:sz w:val="18"/>
    </w:rPr>
  </w:style>
  <w:style w:type="character" w:customStyle="1" w:styleId="read">
    <w:name w:val="read"/>
    <w:qFormat/>
  </w:style>
  <w:style w:type="paragraph" w:customStyle="1" w:styleId="13">
    <w:name w:val="修订1"/>
    <w:semiHidden/>
    <w:qFormat/>
    <w:pPr>
      <w:pBdr>
        <w:top w:val="none" w:sz="0" w:space="0" w:color="000000"/>
        <w:left w:val="none" w:sz="0" w:space="0" w:color="000000"/>
        <w:bottom w:val="none" w:sz="0" w:space="0" w:color="000000"/>
        <w:right w:val="none" w:sz="0" w:space="0" w:color="000000"/>
        <w:between w:val="none" w:sz="0" w:space="0" w:color="000000"/>
      </w:pBdr>
    </w:pPr>
    <w:rPr>
      <w:sz w:val="21"/>
      <w:szCs w:val="22"/>
    </w:rPr>
  </w:style>
  <w:style w:type="paragraph" w:customStyle="1" w:styleId="Default">
    <w:name w:val="Default"/>
    <w:qFormat/>
    <w:pPr>
      <w:widowControl w:val="0"/>
      <w:pBdr>
        <w:top w:val="none" w:sz="0" w:space="0" w:color="000000"/>
        <w:left w:val="none" w:sz="0" w:space="0" w:color="000000"/>
        <w:bottom w:val="none" w:sz="0" w:space="0" w:color="000000"/>
        <w:right w:val="none" w:sz="0" w:space="0" w:color="000000"/>
        <w:between w:val="none" w:sz="0" w:space="0" w:color="000000"/>
      </w:pBdr>
    </w:pPr>
    <w:rPr>
      <w:rFonts w:ascii="宋体"/>
      <w:color w:val="000000"/>
      <w:sz w:val="24"/>
      <w:szCs w:val="22"/>
    </w:rPr>
  </w:style>
  <w:style w:type="paragraph" w:customStyle="1" w:styleId="Char1">
    <w:name w:val="Char"/>
    <w:basedOn w:val="a"/>
    <w:qFormat/>
  </w:style>
  <w:style w:type="paragraph" w:customStyle="1" w:styleId="Char10">
    <w:name w:val="Char1"/>
    <w:basedOn w:val="a"/>
    <w:qFormat/>
  </w:style>
  <w:style w:type="paragraph" w:customStyle="1" w:styleId="CharChar1">
    <w:name w:val="Char Char1"/>
    <w:basedOn w:val="a"/>
    <w:qFormat/>
  </w:style>
  <w:style w:type="paragraph" w:customStyle="1" w:styleId="Web">
    <w:name w:val="普通 (Web)"/>
    <w:basedOn w:val="a"/>
    <w:qFormat/>
    <w:pPr>
      <w:spacing w:before="100" w:beforeAutospacing="1" w:after="100" w:afterAutospacing="1"/>
    </w:pPr>
    <w:rPr>
      <w:rFonts w:ascii="宋体" w:hAnsi="宋体"/>
      <w:sz w:val="24"/>
      <w:szCs w:val="24"/>
    </w:rPr>
  </w:style>
  <w:style w:type="paragraph" w:customStyle="1" w:styleId="unnamed1">
    <w:name w:val="unnamed1"/>
    <w:basedOn w:val="a"/>
    <w:qFormat/>
    <w:pPr>
      <w:spacing w:before="60" w:after="60"/>
      <w:ind w:left="15" w:right="15"/>
    </w:pPr>
    <w:rPr>
      <w:rFonts w:ascii="宋体" w:hAnsi="宋体"/>
      <w:color w:val="000000"/>
      <w:sz w:val="18"/>
      <w:szCs w:val="18"/>
    </w:rPr>
  </w:style>
  <w:style w:type="paragraph" w:customStyle="1" w:styleId="msonormal1">
    <w:name w:val="msonormal1"/>
    <w:qFormat/>
    <w:pPr>
      <w:widowControl w:val="0"/>
      <w:pBdr>
        <w:top w:val="none" w:sz="0" w:space="0" w:color="000000"/>
        <w:left w:val="none" w:sz="0" w:space="0" w:color="000000"/>
        <w:bottom w:val="none" w:sz="0" w:space="0" w:color="000000"/>
        <w:right w:val="none" w:sz="0" w:space="0" w:color="000000"/>
        <w:between w:val="none" w:sz="0" w:space="0" w:color="000000"/>
      </w:pBdr>
      <w:jc w:val="both"/>
    </w:pPr>
    <w:rPr>
      <w:sz w:val="21"/>
      <w:szCs w:val="22"/>
    </w:rPr>
  </w:style>
  <w:style w:type="paragraph" w:customStyle="1" w:styleId="InfoBlue">
    <w:name w:val="InfoBlue"/>
    <w:basedOn w:val="a"/>
    <w:next w:val="a8"/>
    <w:qFormat/>
    <w:pPr>
      <w:tabs>
        <w:tab w:val="left" w:pos="420"/>
      </w:tabs>
      <w:spacing w:after="120" w:line="240" w:lineRule="atLeast"/>
      <w:ind w:left="420" w:hanging="420"/>
    </w:pPr>
    <w:rPr>
      <w:rFonts w:ascii="宋体" w:hAnsi="宋体"/>
    </w:rPr>
  </w:style>
  <w:style w:type="paragraph" w:customStyle="1" w:styleId="CharCharChar">
    <w:name w:val="Char Char Char"/>
    <w:basedOn w:val="a"/>
    <w:qFormat/>
  </w:style>
  <w:style w:type="paragraph" w:customStyle="1" w:styleId="aff8">
    <w:name w:val="正文正文"/>
    <w:basedOn w:val="a"/>
    <w:qFormat/>
    <w:pPr>
      <w:spacing w:after="78" w:line="360" w:lineRule="auto"/>
      <w:ind w:firstLine="200"/>
    </w:pPr>
    <w:rPr>
      <w:sz w:val="24"/>
    </w:rPr>
  </w:style>
  <w:style w:type="paragraph" w:customStyle="1" w:styleId="CharChar">
    <w:name w:val="Char Char"/>
    <w:basedOn w:val="a"/>
    <w:qFormat/>
  </w:style>
  <w:style w:type="paragraph" w:customStyle="1" w:styleId="Listbullet">
    <w:name w:val="List_bullet"/>
    <w:basedOn w:val="a"/>
    <w:qFormat/>
    <w:pPr>
      <w:numPr>
        <w:numId w:val="1"/>
      </w:numPr>
    </w:pPr>
    <w:rPr>
      <w:sz w:val="24"/>
    </w:rPr>
  </w:style>
  <w:style w:type="paragraph" w:customStyle="1" w:styleId="CharCharCharChar">
    <w:name w:val="Char Char Char Char"/>
    <w:basedOn w:val="a"/>
    <w:qFormat/>
    <w:pPr>
      <w:tabs>
        <w:tab w:val="left" w:pos="360"/>
      </w:tabs>
    </w:pPr>
  </w:style>
  <w:style w:type="paragraph" w:customStyle="1" w:styleId="aff9">
    <w:name w:val="正文所"/>
    <w:basedOn w:val="a"/>
    <w:qFormat/>
    <w:pPr>
      <w:spacing w:line="360" w:lineRule="auto"/>
      <w:ind w:firstLine="420"/>
    </w:pPr>
    <w:rPr>
      <w:rFonts w:ascii="宋体"/>
    </w:rPr>
  </w:style>
  <w:style w:type="paragraph" w:customStyle="1" w:styleId="24">
    <w:name w:val="修订2"/>
    <w:hidden/>
    <w:semiHidden/>
    <w:qFormat/>
    <w:pPr>
      <w:pBdr>
        <w:top w:val="none" w:sz="0" w:space="0" w:color="000000"/>
        <w:left w:val="none" w:sz="0" w:space="0" w:color="000000"/>
        <w:bottom w:val="none" w:sz="0" w:space="0" w:color="000000"/>
        <w:right w:val="none" w:sz="0" w:space="0" w:color="000000"/>
        <w:between w:val="none" w:sz="0" w:space="0" w:color="000000"/>
      </w:pBdr>
    </w:pPr>
    <w:rPr>
      <w:sz w:val="21"/>
      <w:szCs w:val="22"/>
    </w:rPr>
  </w:style>
  <w:style w:type="character" w:customStyle="1" w:styleId="Char11">
    <w:name w:val="批注文字 Char1"/>
    <w:qFormat/>
    <w:rPr>
      <w:kern w:val="2"/>
      <w:sz w:val="21"/>
    </w:rPr>
  </w:style>
  <w:style w:type="character" w:customStyle="1" w:styleId="af3">
    <w:name w:val="页眉 字符"/>
    <w:basedOn w:val="a0"/>
    <w:link w:val="af2"/>
    <w:uiPriority w:val="99"/>
    <w:qFormat/>
    <w:rPr>
      <w:sz w:val="18"/>
      <w:szCs w:val="18"/>
    </w:rPr>
  </w:style>
  <w:style w:type="character" w:customStyle="1" w:styleId="af1">
    <w:name w:val="页脚 字符"/>
    <w:basedOn w:val="a0"/>
    <w:link w:val="af0"/>
    <w:uiPriority w:val="99"/>
    <w:qFormat/>
    <w:rPr>
      <w:sz w:val="18"/>
      <w:szCs w:val="18"/>
    </w:rPr>
  </w:style>
  <w:style w:type="paragraph" w:customStyle="1" w:styleId="32">
    <w:name w:val="修订3"/>
    <w:hidden/>
    <w:uiPriority w:val="99"/>
    <w:semiHidden/>
    <w:qFormat/>
    <w:rPr>
      <w:rFonts w:ascii="Calibri" w:hAnsi="Calibri"/>
      <w:szCs w:val="22"/>
      <w:lang w:eastAsia="en-US" w:bidi="en-US"/>
    </w:rPr>
  </w:style>
  <w:style w:type="paragraph" w:customStyle="1" w:styleId="40">
    <w:name w:val="修订4"/>
    <w:hidden/>
    <w:uiPriority w:val="99"/>
    <w:semiHidden/>
    <w:qFormat/>
    <w:rPr>
      <w:rFonts w:ascii="Calibri" w:hAnsi="Calibri"/>
      <w:szCs w:val="22"/>
      <w:lang w:eastAsia="en-US" w:bidi="en-US"/>
    </w:rPr>
  </w:style>
  <w:style w:type="paragraph" w:customStyle="1" w:styleId="50">
    <w:name w:val="修订5"/>
    <w:hidden/>
    <w:uiPriority w:val="99"/>
    <w:semiHidden/>
    <w:qFormat/>
    <w:rPr>
      <w:rFonts w:ascii="Calibri" w:hAnsi="Calibri"/>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8.xml"/><Relationship Id="rId26" Type="http://schemas.openxmlformats.org/officeDocument/2006/relationships/footer" Target="footer15.xml"/><Relationship Id="rId21" Type="http://schemas.openxmlformats.org/officeDocument/2006/relationships/hyperlink" Target="http://www.chinabond.com.cn" TargetMode="External"/><Relationship Id="rId34" Type="http://schemas.openxmlformats.org/officeDocument/2006/relationships/footer" Target="footer2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7.xml"/><Relationship Id="rId25" Type="http://schemas.openxmlformats.org/officeDocument/2006/relationships/footer" Target="footer14.xml"/><Relationship Id="rId33" Type="http://schemas.openxmlformats.org/officeDocument/2006/relationships/header" Target="header4.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10.xml"/><Relationship Id="rId29" Type="http://schemas.openxmlformats.org/officeDocument/2006/relationships/footer" Target="footer1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13.xml"/><Relationship Id="rId32" Type="http://schemas.openxmlformats.org/officeDocument/2006/relationships/footer" Target="footer2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12.xml"/><Relationship Id="rId28" Type="http://schemas.openxmlformats.org/officeDocument/2006/relationships/footer" Target="footer17.xml"/><Relationship Id="rId36" Type="http://schemas.openxmlformats.org/officeDocument/2006/relationships/footer" Target="footer23.xml"/><Relationship Id="rId10" Type="http://schemas.openxmlformats.org/officeDocument/2006/relationships/footer" Target="footer2.xml"/><Relationship Id="rId19" Type="http://schemas.openxmlformats.org/officeDocument/2006/relationships/footer" Target="footer9.xml"/><Relationship Id="rId31" Type="http://schemas.openxmlformats.org/officeDocument/2006/relationships/footer" Target="footer2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11.xml"/><Relationship Id="rId27" Type="http://schemas.openxmlformats.org/officeDocument/2006/relationships/footer" Target="footer16.xml"/><Relationship Id="rId30" Type="http://schemas.openxmlformats.org/officeDocument/2006/relationships/footer" Target="footer19.xml"/><Relationship Id="rId35" Type="http://schemas.openxmlformats.org/officeDocument/2006/relationships/header" Target="header5.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srgbClr val="FFFFFF"/>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A66D9AA4-F2BD-4BC5-85D0-EB6F2EB96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124</Pages>
  <Words>11925</Words>
  <Characters>67976</Characters>
  <Application>Microsoft Office Word</Application>
  <DocSecurity>0</DocSecurity>
  <Lines>566</Lines>
  <Paragraphs>159</Paragraphs>
  <ScaleCrop>false</ScaleCrop>
  <Company>BOCOM</Company>
  <LinksUpToDate>false</LinksUpToDate>
  <CharactersWithSpaces>79742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徐宪岚</dc:creator>
  <cp:lastModifiedBy>tangky</cp:lastModifiedBy>
  <cp:revision>8</cp:revision>
  <cp:lastPrinted>2026-06-22T01:13:00Z</cp:lastPrinted>
  <dcterms:created xsi:type="dcterms:W3CDTF">2026-05-19T06:33:00Z</dcterms:created>
  <dcterms:modified xsi:type="dcterms:W3CDTF">2026-08-31T06:52:00Z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ICV">
    <vt:lpwstr>A95088F112E04C61ADEA0E3A29FB72AE</vt:lpwstr>
  </property>
</Properties>
</file>