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2.0 -->
  <w:body>
    <w:p w:rsidR="00C57945" w:rsidRPr="00256C1C">
      <w:pPr>
        <w:rPr>
          <w:rFonts w:asciiTheme="minorEastAsia" w:eastAsiaTheme="minorEastAsia" w:hAnsiTheme="minorEastAsia" w:cs="宋体"/>
          <w:sz w:val="28"/>
        </w:rPr>
      </w:pPr>
      <w:bookmarkStart w:id="0" w:name="CLAUSE_f6358c5be980417e965aec23a00bcab8"/>
    </w:p>
    <w:p w:rsidR="00C57945" w:rsidRPr="00256C1C">
      <w:pPr>
        <w:jc w:val="center"/>
        <w:rPr>
          <w:rFonts w:asciiTheme="minorEastAsia" w:eastAsiaTheme="minorEastAsia" w:hAnsiTheme="minorEastAsia" w:cs="宋体"/>
          <w:b/>
          <w:sz w:val="52"/>
        </w:rPr>
      </w:pPr>
    </w:p>
    <w:p w:rsidR="00C57945" w:rsidRPr="00256C1C">
      <w:pPr>
        <w:rPr>
          <w:rFonts w:asciiTheme="minorEastAsia" w:eastAsiaTheme="minorEastAsia" w:hAnsiTheme="minorEastAsia" w:cs="宋体"/>
          <w:b/>
        </w:rPr>
      </w:pPr>
    </w:p>
    <w:p w:rsidR="00C57945" w:rsidRPr="00256C1C">
      <w:pPr>
        <w:jc w:val="center"/>
        <w:rPr>
          <w:rFonts w:asciiTheme="minorEastAsia" w:eastAsiaTheme="minorEastAsia" w:hAnsiTheme="minorEastAsia" w:cs="宋体"/>
          <w:b/>
          <w:sz w:val="48"/>
        </w:rPr>
      </w:pPr>
    </w:p>
    <w:p w:rsidR="00C57945" w:rsidRPr="00256C1C">
      <w:pPr>
        <w:jc w:val="center"/>
        <w:rPr>
          <w:rFonts w:asciiTheme="minorEastAsia" w:eastAsiaTheme="minorEastAsia" w:hAnsiTheme="minorEastAsia" w:cs="宋体"/>
          <w:b/>
          <w:sz w:val="48"/>
          <w:lang w:eastAsia="zh-CN"/>
        </w:rPr>
      </w:pPr>
      <w:bookmarkStart w:id="1" w:name="_Toc139992300"/>
      <w:bookmarkStart w:id="2" w:name="_Toc123112262"/>
      <w:bookmarkStart w:id="3" w:name="_Toc139991725"/>
      <w:bookmarkStart w:id="4" w:name="_Toc123701382"/>
      <w:bookmarkStart w:id="5" w:name="_Toc123112223"/>
      <w:r w:rsidRPr="00256C1C">
        <w:rPr>
          <w:rFonts w:asciiTheme="minorEastAsia" w:eastAsiaTheme="minorEastAsia" w:hAnsiTheme="minorEastAsia" w:cs="宋体" w:hint="eastAsia"/>
          <w:b/>
          <w:sz w:val="48"/>
          <w:lang w:eastAsia="zh-CN"/>
        </w:rPr>
        <w:t>易方达中证全指通信设备交易型开放式指数证券投资基金</w:t>
      </w:r>
      <w:bookmarkEnd w:id="1"/>
      <w:bookmarkEnd w:id="2"/>
      <w:bookmarkEnd w:id="3"/>
      <w:bookmarkEnd w:id="4"/>
      <w:bookmarkEnd w:id="5"/>
      <w:r w:rsidRPr="00256C1C">
        <w:rPr>
          <w:rFonts w:asciiTheme="minorEastAsia" w:eastAsiaTheme="minorEastAsia" w:hAnsiTheme="minorEastAsia" w:cs="宋体" w:hint="eastAsia"/>
          <w:b/>
          <w:sz w:val="48"/>
          <w:highlight w:val="white"/>
          <w:lang w:eastAsia="zh-CN"/>
        </w:rPr>
        <w:t>基金合同</w:t>
      </w:r>
    </w:p>
    <w:p w:rsidR="00C57945" w:rsidRPr="00256C1C">
      <w:pPr>
        <w:jc w:val="center"/>
        <w:rPr>
          <w:rFonts w:asciiTheme="minorEastAsia" w:eastAsiaTheme="minorEastAsia" w:hAnsiTheme="minorEastAsia" w:cs="宋体"/>
          <w:b/>
          <w:sz w:val="52"/>
          <w:lang w:eastAsia="zh-CN"/>
        </w:rPr>
      </w:pPr>
    </w:p>
    <w:p w:rsidR="00C57945" w:rsidRPr="00256C1C">
      <w:pPr>
        <w:jc w:val="center"/>
        <w:rPr>
          <w:rFonts w:asciiTheme="minorEastAsia" w:eastAsiaTheme="minorEastAsia" w:hAnsiTheme="minorEastAsia" w:cs="宋体"/>
          <w:b/>
          <w:sz w:val="52"/>
          <w:lang w:eastAsia="zh-CN"/>
        </w:rPr>
      </w:pPr>
    </w:p>
    <w:p w:rsidR="00C57945" w:rsidRPr="00256C1C">
      <w:pPr>
        <w:jc w:val="center"/>
        <w:rPr>
          <w:rFonts w:asciiTheme="minorEastAsia" w:eastAsiaTheme="minorEastAsia" w:hAnsiTheme="minorEastAsia" w:cs="宋体"/>
          <w:b/>
          <w:sz w:val="52"/>
          <w:lang w:eastAsia="zh-CN"/>
        </w:rPr>
      </w:pPr>
    </w:p>
    <w:p w:rsidR="00C57945" w:rsidRPr="00256C1C">
      <w:pPr>
        <w:jc w:val="center"/>
        <w:rPr>
          <w:rFonts w:asciiTheme="minorEastAsia" w:eastAsiaTheme="minorEastAsia" w:hAnsiTheme="minorEastAsia" w:cs="宋体"/>
          <w:b/>
          <w:sz w:val="52"/>
          <w:lang w:eastAsia="zh-CN"/>
        </w:rPr>
      </w:pPr>
    </w:p>
    <w:p w:rsidR="00C57945" w:rsidRPr="00256C1C">
      <w:pPr>
        <w:jc w:val="center"/>
        <w:rPr>
          <w:rFonts w:asciiTheme="minorEastAsia" w:eastAsiaTheme="minorEastAsia" w:hAnsiTheme="minorEastAsia" w:cs="宋体"/>
          <w:b/>
          <w:sz w:val="52"/>
          <w:lang w:eastAsia="zh-CN"/>
        </w:rPr>
      </w:pPr>
    </w:p>
    <w:p w:rsidR="00C57945" w:rsidRPr="00256C1C">
      <w:pPr>
        <w:rPr>
          <w:rFonts w:asciiTheme="minorEastAsia" w:eastAsiaTheme="minorEastAsia" w:hAnsiTheme="minorEastAsia" w:cs="宋体"/>
          <w:b/>
          <w:lang w:eastAsia="zh-CN"/>
        </w:rPr>
      </w:pPr>
    </w:p>
    <w:p w:rsidR="00C57945" w:rsidRPr="00256C1C">
      <w:pPr>
        <w:jc w:val="center"/>
        <w:rPr>
          <w:rFonts w:asciiTheme="minorEastAsia" w:eastAsiaTheme="minorEastAsia" w:hAnsiTheme="minorEastAsia" w:cs="宋体"/>
          <w:b/>
          <w:sz w:val="36"/>
          <w:lang w:eastAsia="zh-CN"/>
        </w:rPr>
      </w:pPr>
      <w:bookmarkStart w:id="6" w:name="_Toc123701383"/>
      <w:bookmarkStart w:id="7" w:name="_Toc123112263"/>
      <w:bookmarkStart w:id="8" w:name="_Toc139991726"/>
      <w:bookmarkStart w:id="9" w:name="_Toc123112224"/>
      <w:bookmarkStart w:id="10" w:name="_Toc139992301"/>
      <w:r w:rsidRPr="00256C1C">
        <w:rPr>
          <w:rFonts w:asciiTheme="minorEastAsia" w:eastAsiaTheme="minorEastAsia" w:hAnsiTheme="minorEastAsia" w:cs="宋体" w:hint="eastAsia"/>
          <w:b/>
          <w:sz w:val="36"/>
          <w:highlight w:val="white"/>
          <w:lang w:eastAsia="zh-CN"/>
        </w:rPr>
        <w:t>基金管理人：</w:t>
      </w:r>
      <w:bookmarkEnd w:id="6"/>
      <w:bookmarkEnd w:id="7"/>
      <w:bookmarkEnd w:id="8"/>
      <w:bookmarkEnd w:id="9"/>
      <w:bookmarkEnd w:id="10"/>
      <w:r w:rsidRPr="00256C1C">
        <w:rPr>
          <w:rFonts w:asciiTheme="minorEastAsia" w:eastAsiaTheme="minorEastAsia" w:hAnsiTheme="minorEastAsia" w:cs="宋体" w:hint="eastAsia"/>
          <w:b/>
          <w:sz w:val="36"/>
          <w:highlight w:val="white"/>
          <w:lang w:eastAsia="zh-CN"/>
        </w:rPr>
        <w:t>易方达基金管理有限公司</w:t>
      </w:r>
    </w:p>
    <w:p w:rsidR="00C57945" w:rsidRPr="00256C1C">
      <w:pPr>
        <w:jc w:val="center"/>
        <w:rPr>
          <w:rFonts w:asciiTheme="minorEastAsia" w:eastAsiaTheme="minorEastAsia" w:hAnsiTheme="minorEastAsia" w:cs="宋体"/>
          <w:b/>
          <w:sz w:val="36"/>
          <w:lang w:eastAsia="zh-CN"/>
        </w:rPr>
      </w:pPr>
      <w:bookmarkStart w:id="11" w:name="_Toc139992302"/>
      <w:bookmarkStart w:id="12" w:name="_Toc139991727"/>
      <w:bookmarkStart w:id="13" w:name="_Toc123112225"/>
      <w:bookmarkStart w:id="14" w:name="_Toc123112264"/>
      <w:bookmarkStart w:id="15" w:name="_Toc123701384"/>
      <w:r w:rsidRPr="00256C1C">
        <w:rPr>
          <w:rFonts w:asciiTheme="minorEastAsia" w:eastAsiaTheme="minorEastAsia" w:hAnsiTheme="minorEastAsia" w:cs="宋体" w:hint="eastAsia"/>
          <w:b/>
          <w:sz w:val="36"/>
          <w:highlight w:val="white"/>
          <w:lang w:eastAsia="zh-CN"/>
        </w:rPr>
        <w:t>基金托管人：</w:t>
      </w:r>
      <w:bookmarkEnd w:id="11"/>
      <w:bookmarkEnd w:id="12"/>
      <w:bookmarkEnd w:id="13"/>
      <w:bookmarkEnd w:id="14"/>
      <w:bookmarkEnd w:id="15"/>
      <w:r w:rsidRPr="00256C1C">
        <w:rPr>
          <w:rFonts w:asciiTheme="minorEastAsia" w:eastAsiaTheme="minorEastAsia" w:hAnsiTheme="minorEastAsia" w:cs="宋体" w:hint="eastAsia"/>
          <w:b/>
          <w:sz w:val="36"/>
          <w:lang w:eastAsia="zh-CN"/>
        </w:rPr>
        <w:t>中国建设银行股份有限公司</w:t>
      </w:r>
      <w:bookmarkEnd w:id="0"/>
      <w:r w:rsidRPr="00256C1C">
        <w:rPr>
          <w:rFonts w:asciiTheme="minorEastAsia" w:eastAsiaTheme="minorEastAsia" w:hAnsiTheme="minorEastAsia" w:cs="宋体" w:hint="eastAsia"/>
          <w:b/>
          <w:sz w:val="36"/>
          <w:highlight w:val="white"/>
          <w:lang w:eastAsia="zh-CN"/>
        </w:rPr>
        <w:t xml:space="preserve"> </w:t>
      </w:r>
    </w:p>
    <w:p w:rsidR="00C57945" w:rsidRPr="00256C1C">
      <w:pPr>
        <w:pBdr>
          <w:top w:val="nil"/>
          <w:left w:val="nil"/>
          <w:bottom w:val="nil"/>
          <w:right w:val="nil"/>
        </w:pBdr>
        <w:jc w:val="center"/>
        <w:rPr>
          <w:rFonts w:asciiTheme="minorEastAsia" w:eastAsiaTheme="minorEastAsia" w:hAnsiTheme="minorEastAsia"/>
        </w:rPr>
      </w:pPr>
      <w:r w:rsidRPr="00256C1C">
        <w:rPr>
          <w:rFonts w:asciiTheme="minorEastAsia" w:eastAsiaTheme="minorEastAsia" w:hAnsiTheme="minorEastAsia" w:cs="宋体"/>
          <w:color w:val="000000"/>
          <w:sz w:val="36"/>
          <w:highlight w:val="white"/>
        </w:rPr>
        <w:t>二〇二</w:t>
      </w:r>
      <w:r w:rsidR="00825EDF">
        <w:rPr>
          <w:rFonts w:asciiTheme="minorEastAsia" w:eastAsiaTheme="minorEastAsia" w:hAnsiTheme="minorEastAsia" w:hint="eastAsia"/>
          <w:color w:val="000000"/>
          <w:sz w:val="36"/>
          <w:highlight w:val="white"/>
          <w:lang w:eastAsia="zh-CN"/>
        </w:rPr>
        <w:t>六</w:t>
      </w:r>
      <w:r w:rsidRPr="00256C1C">
        <w:rPr>
          <w:rFonts w:asciiTheme="minorEastAsia" w:eastAsiaTheme="minorEastAsia" w:hAnsiTheme="minorEastAsia" w:cs="宋体"/>
          <w:color w:val="000000"/>
          <w:sz w:val="36"/>
          <w:highlight w:val="white"/>
        </w:rPr>
        <w:t>年</w:t>
      </w:r>
      <w:r w:rsidR="00825EDF">
        <w:rPr>
          <w:rFonts w:asciiTheme="minorEastAsia" w:eastAsiaTheme="minorEastAsia" w:hAnsiTheme="minorEastAsia" w:hint="eastAsia"/>
          <w:color w:val="000000"/>
          <w:sz w:val="36"/>
          <w:highlight w:val="white"/>
          <w:lang w:eastAsia="zh-CN"/>
        </w:rPr>
        <w:t>九</w:t>
      </w:r>
      <w:bookmarkStart w:id="16" w:name="_GoBack"/>
      <w:bookmarkEnd w:id="16"/>
      <w:r w:rsidRPr="00256C1C">
        <w:rPr>
          <w:rFonts w:asciiTheme="minorEastAsia" w:eastAsiaTheme="minorEastAsia" w:hAnsiTheme="minorEastAsia" w:cs="宋体"/>
          <w:color w:val="000000"/>
          <w:sz w:val="36"/>
          <w:highlight w:val="white"/>
        </w:rPr>
        <w:t>月</w:t>
      </w:r>
    </w:p>
    <w:p w:rsidR="00C57945" w:rsidRPr="00256C1C">
      <w:pPr>
        <w:jc w:val="center"/>
        <w:rPr>
          <w:rFonts w:asciiTheme="minorEastAsia" w:eastAsiaTheme="minorEastAsia" w:hAnsiTheme="minorEastAsia" w:cs="宋体"/>
          <w:bCs/>
          <w:sz w:val="28"/>
        </w:rPr>
        <w:sectPr>
          <w:headerReference w:type="default" r:id="rId5"/>
          <w:footerReference w:type="default" r:id="rId6"/>
          <w:footerReference w:type="first" r:id="rId7"/>
          <w:pgSz w:w="11906" w:h="16838"/>
          <w:pgMar w:top="1440" w:right="1800" w:bottom="1440" w:left="1800" w:header="851" w:footer="992" w:gutter="0"/>
          <w:pgNumType w:start="1"/>
          <w:cols w:space="720"/>
          <w:titlePg/>
          <w:docGrid w:type="lines" w:linePitch="312"/>
        </w:sectPr>
      </w:pPr>
      <w:bookmarkStart w:id="17" w:name="CTS_fdf585a4faa844a4b0f354e63c59a86e"/>
      <w:bookmarkStart w:id="18" w:name="CLAUSE_fdf585a4faa844a4b0f354e63c59a86e"/>
      <w:bookmarkStart w:id="19" w:name="_Toc139991729"/>
      <w:bookmarkStart w:id="20" w:name="_Toc123112266"/>
      <w:bookmarkStart w:id="21" w:name="_Toc123112227"/>
      <w:bookmarkStart w:id="22" w:name="_Toc123701386"/>
      <w:bookmarkEnd w:id="17"/>
      <w:bookmarkEnd w:id="18"/>
    </w:p>
    <w:p w:rsidR="00C57945" w:rsidRPr="00256C1C">
      <w:pPr>
        <w:spacing w:line="360" w:lineRule="auto"/>
        <w:ind w:firstLine="420"/>
        <w:jc w:val="center"/>
        <w:rPr>
          <w:rFonts w:asciiTheme="minorEastAsia" w:eastAsiaTheme="minorEastAsia" w:hAnsiTheme="minorEastAsia" w:cs="宋体"/>
          <w:sz w:val="28"/>
        </w:rPr>
      </w:pPr>
      <w:bookmarkStart w:id="23" w:name="CLAUSE_73e66dd40a074323a355eab32fd97f2b"/>
      <w:r w:rsidRPr="00256C1C">
        <w:rPr>
          <w:rFonts w:asciiTheme="minorEastAsia" w:eastAsiaTheme="minorEastAsia" w:hAnsiTheme="minorEastAsia" w:cs="宋体"/>
          <w:highlight w:val="white"/>
        </w:rPr>
        <w:t xml:space="preserve"> </w:t>
      </w:r>
      <w:bookmarkStart w:id="24" w:name="CTS_73e66dd40a074323a355eab32fd97f2b"/>
      <w:bookmarkEnd w:id="24"/>
      <w:r w:rsidRPr="00256C1C">
        <w:rPr>
          <w:rFonts w:asciiTheme="minorEastAsia" w:eastAsiaTheme="minorEastAsia" w:hAnsiTheme="minorEastAsia" w:cs="宋体" w:hint="eastAsia"/>
          <w:sz w:val="28"/>
          <w:highlight w:val="white"/>
        </w:rPr>
        <w:t>目录</w:t>
      </w:r>
      <w:bookmarkEnd w:id="19"/>
      <w:bookmarkEnd w:id="20"/>
      <w:bookmarkEnd w:id="21"/>
      <w:bookmarkEnd w:id="22"/>
    </w:p>
    <w:p w:rsidR="00C57945" w:rsidRPr="00256C1C">
      <w:pPr>
        <w:pStyle w:val="TOC1"/>
        <w:rPr>
          <w:rFonts w:asciiTheme="minorEastAsia" w:eastAsiaTheme="minorEastAsia" w:hAnsiTheme="minorEastAsia"/>
          <w:noProof/>
        </w:rPr>
      </w:pPr>
      <w:r w:rsidRPr="00256C1C">
        <w:rPr>
          <w:rFonts w:asciiTheme="minorEastAsia" w:eastAsiaTheme="minorEastAsia" w:hAnsiTheme="minorEastAsia" w:cs="宋体"/>
          <w:sz w:val="24"/>
        </w:rPr>
        <w:fldChar w:fldCharType="begin"/>
      </w:r>
      <w:r w:rsidRPr="00256C1C">
        <w:rPr>
          <w:rFonts w:asciiTheme="minorEastAsia" w:eastAsiaTheme="minorEastAsia" w:hAnsiTheme="minorEastAsia" w:cs="宋体"/>
          <w:bCs/>
          <w:sz w:val="24"/>
          <w:highlight w:val="white"/>
        </w:rPr>
        <w:instrText xml:space="preserve"> TOC \o "1-1" \h \z \u </w:instrText>
      </w:r>
      <w:r w:rsidRPr="00256C1C">
        <w:rPr>
          <w:rFonts w:asciiTheme="minorEastAsia" w:eastAsiaTheme="minorEastAsia" w:hAnsiTheme="minorEastAsia" w:cs="宋体"/>
          <w:sz w:val="24"/>
        </w:rPr>
        <w:fldChar w:fldCharType="separate"/>
      </w:r>
      <w:hyperlink w:anchor="_Toc129511035" w:tooltip="Current Document" w:history="1">
        <w:r w:rsidRPr="00256C1C">
          <w:rPr>
            <w:rStyle w:val="Hyperlink"/>
            <w:rFonts w:asciiTheme="minorEastAsia" w:eastAsiaTheme="minorEastAsia" w:hAnsiTheme="minorEastAsia" w:cs="宋体" w:hint="eastAsia"/>
            <w:noProof/>
            <w:highlight w:val="white"/>
          </w:rPr>
          <w:t>第一部分</w:t>
        </w:r>
        <w:r w:rsidRPr="00256C1C">
          <w:rPr>
            <w:rStyle w:val="Hyperlink"/>
            <w:rFonts w:asciiTheme="minorEastAsia" w:eastAsiaTheme="minorEastAsia" w:hAnsiTheme="minorEastAsia" w:cs="宋体"/>
            <w:noProof/>
            <w:highlight w:val="white"/>
          </w:rPr>
          <w:t xml:space="preserve"> </w:t>
        </w:r>
        <w:r w:rsidRPr="00256C1C">
          <w:rPr>
            <w:rStyle w:val="Hyperlink"/>
            <w:rFonts w:asciiTheme="minorEastAsia" w:eastAsiaTheme="minorEastAsia" w:hAnsiTheme="minorEastAsia" w:cs="宋体" w:hint="eastAsia"/>
            <w:noProof/>
            <w:highlight w:val="white"/>
          </w:rPr>
          <w:t>前言</w:t>
        </w:r>
        <w:r w:rsidRPr="00256C1C">
          <w:rPr>
            <w:rFonts w:asciiTheme="minorEastAsia" w:eastAsiaTheme="minorEastAsia" w:hAnsiTheme="minorEastAsia"/>
            <w:noProof/>
            <w:highlight w:val="white"/>
          </w:rPr>
          <w:tab/>
        </w:r>
        <w:r w:rsidRPr="00256C1C">
          <w:rPr>
            <w:rFonts w:asciiTheme="minorEastAsia" w:eastAsiaTheme="minorEastAsia" w:hAnsiTheme="minorEastAsia"/>
            <w:noProof/>
          </w:rPr>
          <w:fldChar w:fldCharType="begin"/>
        </w:r>
        <w:r w:rsidRPr="00256C1C">
          <w:rPr>
            <w:rFonts w:asciiTheme="minorEastAsia" w:eastAsiaTheme="minorEastAsia" w:hAnsiTheme="minorEastAsia"/>
            <w:noProof/>
            <w:highlight w:val="white"/>
          </w:rPr>
          <w:instrText xml:space="preserve"> PAGEREF _Toc129511035 \h </w:instrText>
        </w:r>
        <w:r w:rsidRPr="00256C1C">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1</w:t>
        </w:r>
        <w:r w:rsidRPr="00256C1C">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36" w:tooltip="Current Document" w:history="1">
        <w:r w:rsidRPr="00256C1C" w:rsidR="00402C04">
          <w:rPr>
            <w:rStyle w:val="Hyperlink"/>
            <w:rFonts w:asciiTheme="minorEastAsia" w:eastAsiaTheme="minorEastAsia" w:hAnsiTheme="minorEastAsia" w:cs="宋体" w:hint="eastAsia"/>
            <w:noProof/>
            <w:highlight w:val="white"/>
          </w:rPr>
          <w:t>第二部分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释义</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_Toc129511036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3</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37" w:tooltip="Current Document" w:history="1">
        <w:r w:rsidRPr="00256C1C" w:rsidR="00402C04">
          <w:rPr>
            <w:rStyle w:val="Hyperlink"/>
            <w:rFonts w:asciiTheme="minorEastAsia" w:eastAsiaTheme="minorEastAsia" w:hAnsiTheme="minorEastAsia" w:cs="宋体" w:hint="eastAsia"/>
            <w:noProof/>
            <w:highlight w:val="white"/>
          </w:rPr>
          <w:t>第三部分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基金的基本情况</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_Toc129511037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9</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38" w:tooltip="Current Document" w:history="1">
        <w:r w:rsidRPr="00256C1C" w:rsidR="00402C04">
          <w:rPr>
            <w:rStyle w:val="Hyperlink"/>
            <w:rFonts w:asciiTheme="minorEastAsia" w:eastAsiaTheme="minorEastAsia" w:hAnsiTheme="minorEastAsia" w:cs="宋体" w:hint="eastAsia"/>
            <w:noProof/>
            <w:highlight w:val="white"/>
          </w:rPr>
          <w:t>第四部分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基金份额的发售</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_Toc129511038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11</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39" w:tooltip="Current Document" w:history="1">
        <w:r w:rsidRPr="00256C1C" w:rsidR="00402C04">
          <w:rPr>
            <w:rStyle w:val="Hyperlink"/>
            <w:rFonts w:asciiTheme="minorEastAsia" w:eastAsiaTheme="minorEastAsia" w:hAnsiTheme="minorEastAsia" w:cs="宋体" w:hint="eastAsia"/>
            <w:noProof/>
            <w:highlight w:val="white"/>
          </w:rPr>
          <w:t>第五部分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基金备案</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_Toc129511039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13</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0" w:tooltip="Current Document" w:history="1">
        <w:r w:rsidRPr="00256C1C" w:rsidR="00402C04">
          <w:rPr>
            <w:rStyle w:val="Hyperlink"/>
            <w:rFonts w:asciiTheme="minorEastAsia" w:eastAsiaTheme="minorEastAsia" w:hAnsiTheme="minorEastAsia" w:hint="eastAsia"/>
            <w:noProof/>
            <w:highlight w:val="white"/>
          </w:rPr>
          <w:t>第六部分</w:t>
        </w:r>
        <w:r w:rsidRPr="00256C1C" w:rsidR="00402C04">
          <w:rPr>
            <w:rStyle w:val="Hyperlink"/>
            <w:rFonts w:asciiTheme="minorEastAsia" w:eastAsiaTheme="minorEastAsia" w:hAnsiTheme="minorEastAsia"/>
            <w:noProof/>
            <w:highlight w:val="white"/>
          </w:rPr>
          <w:t xml:space="preserve">  </w:t>
        </w:r>
        <w:r w:rsidRPr="00256C1C" w:rsidR="00402C04">
          <w:rPr>
            <w:rStyle w:val="Hyperlink"/>
            <w:rFonts w:asciiTheme="minorEastAsia" w:eastAsiaTheme="minorEastAsia" w:hAnsiTheme="minorEastAsia" w:hint="eastAsia"/>
            <w:noProof/>
            <w:highlight w:val="white"/>
          </w:rPr>
          <w:t>基金份额折算与变更登记</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_Toc129511040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14</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1" w:tooltip="Current Document" w:history="1">
        <w:r w:rsidRPr="00256C1C" w:rsidR="00402C04">
          <w:rPr>
            <w:rStyle w:val="Hyperlink"/>
            <w:rFonts w:asciiTheme="minorEastAsia" w:eastAsiaTheme="minorEastAsia" w:hAnsiTheme="minorEastAsia" w:hint="eastAsia"/>
            <w:noProof/>
            <w:highlight w:val="white"/>
          </w:rPr>
          <w:t>第七部分</w:t>
        </w:r>
        <w:r w:rsidRPr="00256C1C" w:rsidR="00402C04">
          <w:rPr>
            <w:rStyle w:val="Hyperlink"/>
            <w:rFonts w:asciiTheme="minorEastAsia" w:eastAsiaTheme="minorEastAsia" w:hAnsiTheme="minorEastAsia"/>
            <w:noProof/>
            <w:highlight w:val="white"/>
          </w:rPr>
          <w:t xml:space="preserve">  </w:t>
        </w:r>
        <w:r w:rsidRPr="00256C1C" w:rsidR="00402C04">
          <w:rPr>
            <w:rStyle w:val="Hyperlink"/>
            <w:rFonts w:asciiTheme="minorEastAsia" w:eastAsiaTheme="minorEastAsia" w:hAnsiTheme="minorEastAsia" w:hint="eastAsia"/>
            <w:noProof/>
            <w:highlight w:val="white"/>
          </w:rPr>
          <w:t>基金份额的上市交易</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_Toc129511041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15</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2" w:tooltip="Current Document" w:history="1">
        <w:r w:rsidRPr="00256C1C" w:rsidR="00402C04">
          <w:rPr>
            <w:rStyle w:val="Hyperlink"/>
            <w:rFonts w:asciiTheme="minorEastAsia" w:eastAsiaTheme="minorEastAsia" w:hAnsiTheme="minorEastAsia" w:cs="宋体" w:hint="eastAsia"/>
            <w:noProof/>
            <w:highlight w:val="white"/>
          </w:rPr>
          <w:t>第八部分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基金份额的申购与赎回</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_Toc129511042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17</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3" w:tooltip="Current Document" w:history="1">
        <w:r w:rsidRPr="00256C1C" w:rsidR="00402C04">
          <w:rPr>
            <w:rStyle w:val="Hyperlink"/>
            <w:rFonts w:asciiTheme="minorEastAsia" w:eastAsiaTheme="minorEastAsia" w:hAnsiTheme="minorEastAsia" w:cs="宋体" w:hint="eastAsia"/>
            <w:noProof/>
            <w:highlight w:val="white"/>
          </w:rPr>
          <w:t>第九部分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基金合同当事人及权利义务</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_Toc129511043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24</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4" w:tooltip="Current Document" w:history="1">
        <w:r w:rsidRPr="00256C1C" w:rsidR="00402C04">
          <w:rPr>
            <w:rStyle w:val="Hyperlink"/>
            <w:rFonts w:asciiTheme="minorEastAsia" w:eastAsiaTheme="minorEastAsia" w:hAnsiTheme="minorEastAsia" w:cs="宋体" w:hint="eastAsia"/>
            <w:noProof/>
            <w:highlight w:val="white"/>
          </w:rPr>
          <w:t>第十部分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基金份额持有人大会</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_Toc129511044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32</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5" w:tooltip="Current Document" w:history="1">
        <w:r w:rsidRPr="00256C1C" w:rsidR="00402C04">
          <w:rPr>
            <w:rStyle w:val="Hyperlink"/>
            <w:rFonts w:asciiTheme="minorEastAsia" w:eastAsiaTheme="minorEastAsia" w:hAnsiTheme="minorEastAsia" w:cs="宋体" w:hint="eastAsia"/>
            <w:noProof/>
            <w:highlight w:val="white"/>
          </w:rPr>
          <w:t>第十一部分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基金管理人、基金托管人的更换条件和程序</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_Toc129511045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41</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6" w:tooltip="Current Document" w:history="1">
        <w:r w:rsidRPr="00256C1C" w:rsidR="00402C04">
          <w:rPr>
            <w:rStyle w:val="Hyperlink"/>
            <w:rFonts w:asciiTheme="minorEastAsia" w:eastAsiaTheme="minorEastAsia" w:hAnsiTheme="minorEastAsia" w:cs="宋体" w:hint="eastAsia"/>
            <w:noProof/>
            <w:highlight w:val="white"/>
          </w:rPr>
          <w:t>第十二部分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基金的托管</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_Toc129511046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44</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7" w:tooltip="Current Document" w:history="1">
        <w:r w:rsidRPr="00256C1C" w:rsidR="00402C04">
          <w:rPr>
            <w:rStyle w:val="Hyperlink"/>
            <w:rFonts w:asciiTheme="minorEastAsia" w:eastAsiaTheme="minorEastAsia" w:hAnsiTheme="minorEastAsia" w:cs="宋体" w:hint="eastAsia"/>
            <w:noProof/>
            <w:highlight w:val="white"/>
          </w:rPr>
          <w:t>第十三部分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基金份额的登记结算</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_Toc129511047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45</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8" w:tooltip="Current Document" w:history="1">
        <w:r w:rsidRPr="00256C1C" w:rsidR="00402C04">
          <w:rPr>
            <w:rStyle w:val="Hyperlink"/>
            <w:rFonts w:asciiTheme="minorEastAsia" w:eastAsiaTheme="minorEastAsia" w:hAnsiTheme="minorEastAsia" w:cs="宋体" w:hint="eastAsia"/>
            <w:noProof/>
            <w:highlight w:val="white"/>
          </w:rPr>
          <w:t>第十四部分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基金的投资</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_Toc129511048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47</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49" w:tooltip="Current Document" w:history="1">
        <w:r w:rsidRPr="00256C1C" w:rsidR="00402C04">
          <w:rPr>
            <w:rStyle w:val="Hyperlink"/>
            <w:rFonts w:asciiTheme="minorEastAsia" w:eastAsiaTheme="minorEastAsia" w:hAnsiTheme="minorEastAsia" w:cs="宋体" w:hint="eastAsia"/>
            <w:noProof/>
            <w:highlight w:val="white"/>
          </w:rPr>
          <w:t>第十五部分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基金的财产</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_Toc129511049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54</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0" w:tooltip="Current Document" w:history="1">
        <w:r w:rsidRPr="00256C1C" w:rsidR="00402C04">
          <w:rPr>
            <w:rStyle w:val="Hyperlink"/>
            <w:rFonts w:asciiTheme="minorEastAsia" w:eastAsiaTheme="minorEastAsia" w:hAnsiTheme="minorEastAsia" w:cs="宋体" w:hint="eastAsia"/>
            <w:noProof/>
            <w:highlight w:val="white"/>
          </w:rPr>
          <w:t>第十六部分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基金资产估值</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_Toc129511050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55</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1" w:tooltip="Current Document" w:history="1">
        <w:r w:rsidRPr="00256C1C" w:rsidR="00402C04">
          <w:rPr>
            <w:rStyle w:val="Hyperlink"/>
            <w:rFonts w:asciiTheme="minorEastAsia" w:eastAsiaTheme="minorEastAsia" w:hAnsiTheme="minorEastAsia" w:cs="宋体" w:hint="eastAsia"/>
            <w:noProof/>
            <w:highlight w:val="white"/>
          </w:rPr>
          <w:t>第十七部分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基金费用与税收</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_Toc129511051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60</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2" w:tooltip="Current Document" w:history="1">
        <w:r w:rsidRPr="00256C1C" w:rsidR="00402C04">
          <w:rPr>
            <w:rStyle w:val="Hyperlink"/>
            <w:rFonts w:asciiTheme="minorEastAsia" w:eastAsiaTheme="minorEastAsia" w:hAnsiTheme="minorEastAsia" w:cs="宋体" w:hint="eastAsia"/>
            <w:noProof/>
            <w:highlight w:val="white"/>
          </w:rPr>
          <w:t>第十八部分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基金的收益与分配</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_Toc129511052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63</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3" w:tooltip="Current Document" w:history="1">
        <w:r w:rsidRPr="00256C1C" w:rsidR="00402C04">
          <w:rPr>
            <w:rStyle w:val="Hyperlink"/>
            <w:rFonts w:asciiTheme="minorEastAsia" w:eastAsiaTheme="minorEastAsia" w:hAnsiTheme="minorEastAsia" w:cs="宋体" w:hint="eastAsia"/>
            <w:noProof/>
            <w:highlight w:val="white"/>
          </w:rPr>
          <w:t>第十九部分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基金的会计与审计</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_Toc129511053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63</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4" w:tooltip="Current Document" w:history="1">
        <w:r w:rsidRPr="00256C1C" w:rsidR="00402C04">
          <w:rPr>
            <w:rStyle w:val="Hyperlink"/>
            <w:rFonts w:asciiTheme="minorEastAsia" w:eastAsiaTheme="minorEastAsia" w:hAnsiTheme="minorEastAsia" w:cs="宋体" w:hint="eastAsia"/>
            <w:noProof/>
            <w:highlight w:val="white"/>
          </w:rPr>
          <w:t>第二十部分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基金的信息披露</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_Toc129511054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66</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5" w:tooltip="Current Document" w:history="1">
        <w:r w:rsidRPr="00256C1C" w:rsidR="00402C04">
          <w:rPr>
            <w:rStyle w:val="Hyperlink"/>
            <w:rFonts w:asciiTheme="minorEastAsia" w:eastAsiaTheme="minorEastAsia" w:hAnsiTheme="minorEastAsia" w:cs="宋体" w:hint="eastAsia"/>
            <w:noProof/>
            <w:highlight w:val="white"/>
          </w:rPr>
          <w:t>第二十一部分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基金合同的变更、终止与基金财产的清算</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_Toc129511055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73</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6" w:tooltip="Current Document" w:history="1">
        <w:r w:rsidRPr="00256C1C" w:rsidR="00402C04">
          <w:rPr>
            <w:rStyle w:val="Hyperlink"/>
            <w:rFonts w:asciiTheme="minorEastAsia" w:eastAsiaTheme="minorEastAsia" w:hAnsiTheme="minorEastAsia" w:cs="宋体" w:hint="eastAsia"/>
            <w:noProof/>
            <w:highlight w:val="white"/>
          </w:rPr>
          <w:t>第二十二部分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违约责任</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_Toc129511056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75</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7" w:tooltip="Current Document" w:history="1">
        <w:r w:rsidRPr="00256C1C" w:rsidR="00402C04">
          <w:rPr>
            <w:rStyle w:val="Hyperlink"/>
            <w:rFonts w:asciiTheme="minorEastAsia" w:eastAsiaTheme="minorEastAsia" w:hAnsiTheme="minorEastAsia" w:cs="宋体" w:hint="eastAsia"/>
            <w:noProof/>
            <w:highlight w:val="white"/>
          </w:rPr>
          <w:t>第二十三部分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争议的处理和适用的法律</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_Toc129511057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76</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8" w:tooltip="Current Document" w:history="1">
        <w:r w:rsidRPr="00256C1C" w:rsidR="00402C04">
          <w:rPr>
            <w:rStyle w:val="Hyperlink"/>
            <w:rFonts w:asciiTheme="minorEastAsia" w:eastAsiaTheme="minorEastAsia" w:hAnsiTheme="minorEastAsia" w:cs="宋体" w:hint="eastAsia"/>
            <w:noProof/>
            <w:highlight w:val="white"/>
          </w:rPr>
          <w:t>第二十四部分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基金合同的效力</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_Toc129511058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77</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59" w:tooltip="Current Document" w:history="1">
        <w:r w:rsidRPr="00256C1C" w:rsidR="00402C04">
          <w:rPr>
            <w:rStyle w:val="Hyperlink"/>
            <w:rFonts w:asciiTheme="minorEastAsia" w:eastAsiaTheme="minorEastAsia" w:hAnsiTheme="minorEastAsia" w:cs="宋体" w:hint="eastAsia"/>
            <w:noProof/>
            <w:highlight w:val="white"/>
          </w:rPr>
          <w:t>第二十五部分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其他事项</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_Toc129511059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78</w:t>
        </w:r>
        <w:r w:rsidRPr="00256C1C" w:rsidR="00402C04">
          <w:rPr>
            <w:rFonts w:asciiTheme="minorEastAsia" w:eastAsiaTheme="minorEastAsia" w:hAnsiTheme="minorEastAsia"/>
            <w:noProof/>
          </w:rPr>
          <w:fldChar w:fldCharType="end"/>
        </w:r>
      </w:hyperlink>
    </w:p>
    <w:p w:rsidR="00C57945" w:rsidRPr="00256C1C">
      <w:pPr>
        <w:pStyle w:val="TOC1"/>
        <w:rPr>
          <w:rFonts w:asciiTheme="minorEastAsia" w:eastAsiaTheme="minorEastAsia" w:hAnsiTheme="minorEastAsia"/>
          <w:noProof/>
        </w:rPr>
      </w:pPr>
      <w:hyperlink w:anchor="_Toc129511060" w:tooltip="Current Document" w:history="1">
        <w:r w:rsidRPr="00256C1C" w:rsidR="00402C04">
          <w:rPr>
            <w:rStyle w:val="Hyperlink"/>
            <w:rFonts w:asciiTheme="minorEastAsia" w:eastAsiaTheme="minorEastAsia" w:hAnsiTheme="minorEastAsia" w:cs="宋体" w:hint="eastAsia"/>
            <w:noProof/>
            <w:highlight w:val="white"/>
          </w:rPr>
          <w:t>第二十六部分</w:t>
        </w:r>
        <w:r w:rsidRPr="00256C1C" w:rsidR="00402C04">
          <w:rPr>
            <w:rStyle w:val="Hyperlink"/>
            <w:rFonts w:asciiTheme="minorEastAsia" w:eastAsiaTheme="minorEastAsia" w:hAnsiTheme="minorEastAsia" w:cs="宋体"/>
            <w:noProof/>
            <w:highlight w:val="white"/>
          </w:rPr>
          <w:t xml:space="preserve">  </w:t>
        </w:r>
        <w:r w:rsidRPr="00256C1C" w:rsidR="00402C04">
          <w:rPr>
            <w:rStyle w:val="Hyperlink"/>
            <w:rFonts w:asciiTheme="minorEastAsia" w:eastAsiaTheme="minorEastAsia" w:hAnsiTheme="minorEastAsia" w:cs="宋体" w:hint="eastAsia"/>
            <w:noProof/>
            <w:highlight w:val="white"/>
          </w:rPr>
          <w:t>基金合同内容摘要</w:t>
        </w:r>
        <w:r w:rsidRPr="00256C1C" w:rsidR="00402C04">
          <w:rPr>
            <w:rFonts w:asciiTheme="minorEastAsia" w:eastAsiaTheme="minorEastAsia" w:hAnsiTheme="minorEastAsia"/>
            <w:noProof/>
            <w:highlight w:val="white"/>
          </w:rPr>
          <w:tab/>
        </w:r>
        <w:r w:rsidRPr="00256C1C" w:rsidR="00402C04">
          <w:rPr>
            <w:rFonts w:asciiTheme="minorEastAsia" w:eastAsiaTheme="minorEastAsia" w:hAnsiTheme="minorEastAsia"/>
            <w:noProof/>
          </w:rPr>
          <w:fldChar w:fldCharType="begin"/>
        </w:r>
        <w:r w:rsidRPr="00256C1C" w:rsidR="00402C04">
          <w:rPr>
            <w:rFonts w:asciiTheme="minorEastAsia" w:eastAsiaTheme="minorEastAsia" w:hAnsiTheme="minorEastAsia"/>
            <w:noProof/>
            <w:highlight w:val="white"/>
          </w:rPr>
          <w:instrText xml:space="preserve"> PAGEREF _Toc129511060 \h </w:instrText>
        </w:r>
        <w:r w:rsidRPr="00256C1C" w:rsidR="00402C04">
          <w:rPr>
            <w:rFonts w:asciiTheme="minorEastAsia" w:eastAsiaTheme="minorEastAsia" w:hAnsiTheme="minorEastAsia"/>
            <w:noProof/>
          </w:rPr>
          <w:fldChar w:fldCharType="separate"/>
        </w:r>
        <w:r w:rsidRPr="00256C1C" w:rsidR="00113A8B">
          <w:rPr>
            <w:rFonts w:asciiTheme="minorEastAsia" w:eastAsiaTheme="minorEastAsia" w:hAnsiTheme="minorEastAsia"/>
            <w:noProof/>
            <w:highlight w:val="white"/>
          </w:rPr>
          <w:t>79</w:t>
        </w:r>
        <w:r w:rsidRPr="00256C1C" w:rsidR="00402C04">
          <w:rPr>
            <w:rFonts w:asciiTheme="minorEastAsia" w:eastAsiaTheme="minorEastAsia" w:hAnsiTheme="minorEastAsia"/>
            <w:noProof/>
          </w:rPr>
          <w:fldChar w:fldCharType="end"/>
        </w:r>
      </w:hyperlink>
    </w:p>
    <w:p w:rsidR="00C57945" w:rsidRPr="00256C1C">
      <w:pPr>
        <w:pStyle w:val="Heading1"/>
        <w:spacing w:before="0" w:after="0"/>
        <w:jc w:val="left"/>
        <w:rPr>
          <w:rFonts w:asciiTheme="minorEastAsia" w:eastAsiaTheme="minorEastAsia" w:hAnsiTheme="minorEastAsia" w:cs="宋体"/>
          <w:b w:val="0"/>
          <w:color w:val="auto"/>
        </w:rPr>
        <w:sectPr>
          <w:headerReference w:type="default" r:id="rId8"/>
          <w:pgSz w:w="11906" w:h="16838"/>
          <w:pgMar w:top="1440" w:right="1800" w:bottom="1440" w:left="1800" w:header="851" w:footer="992" w:gutter="0"/>
          <w:pgNumType w:start="1"/>
          <w:cols w:space="720"/>
          <w:docGrid w:type="lines" w:linePitch="312"/>
        </w:sectPr>
      </w:pPr>
      <w:r w:rsidRPr="00256C1C">
        <w:rPr>
          <w:rFonts w:asciiTheme="minorEastAsia" w:eastAsiaTheme="minorEastAsia" w:hAnsiTheme="minorEastAsia" w:cs="宋体"/>
          <w:b w:val="0"/>
          <w:color w:val="auto"/>
        </w:rPr>
        <w:fldChar w:fldCharType="end"/>
      </w:r>
      <w:bookmarkStart w:id="25" w:name="_Toc15517"/>
      <w:bookmarkStart w:id="26" w:name="_Toc141703880"/>
      <w:bookmarkStart w:id="27" w:name="_Toc139991730"/>
      <w:bookmarkStart w:id="28" w:name="_Toc26897"/>
      <w:bookmarkStart w:id="29" w:name="_Toc4867"/>
      <w:bookmarkStart w:id="30" w:name="_Toc29629"/>
      <w:bookmarkStart w:id="31" w:name="_Toc6306"/>
      <w:bookmarkStart w:id="32" w:name="_Toc4966"/>
      <w:bookmarkStart w:id="33" w:name="_Toc8727"/>
      <w:bookmarkStart w:id="34" w:name="_Toc23386"/>
      <w:bookmarkStart w:id="35" w:name="_Toc30935"/>
      <w:bookmarkStart w:id="36" w:name="_Toc32639"/>
      <w:bookmarkStart w:id="37" w:name="_Toc123701389"/>
      <w:bookmarkStart w:id="38" w:name="_Toc123112229"/>
      <w:bookmarkStart w:id="39" w:name="_Toc123112268"/>
      <w:bookmarkStart w:id="40" w:name="_Toc233456271"/>
      <w:bookmarkEnd w:id="23"/>
    </w:p>
    <w:p w:rsidR="00C57945" w:rsidRPr="00256C1C">
      <w:pPr>
        <w:pStyle w:val="Heading1"/>
        <w:spacing w:before="0" w:after="0"/>
        <w:jc w:val="center"/>
        <w:rPr>
          <w:rFonts w:asciiTheme="minorEastAsia" w:eastAsiaTheme="minorEastAsia" w:hAnsiTheme="minorEastAsia" w:cs="宋体"/>
          <w:color w:val="auto"/>
          <w:sz w:val="30"/>
          <w:lang w:eastAsia="zh-CN"/>
        </w:rPr>
      </w:pPr>
      <w:bookmarkStart w:id="41" w:name="CTS_d8cf30113149458b8b8ff72e32adb333"/>
      <w:bookmarkStart w:id="42" w:name="_Toc11660"/>
      <w:bookmarkStart w:id="43" w:name="_Toc446339239"/>
      <w:bookmarkStart w:id="44" w:name="_Toc129511035"/>
      <w:bookmarkStart w:id="45" w:name="CLAUSE_d8cf30113149458b8b8ff72e32adb333"/>
      <w:bookmarkEnd w:id="41"/>
      <w:r w:rsidRPr="00256C1C">
        <w:rPr>
          <w:rFonts w:asciiTheme="minorEastAsia" w:eastAsiaTheme="minorEastAsia" w:hAnsiTheme="minorEastAsia" w:cs="宋体" w:hint="eastAsia"/>
          <w:color w:val="auto"/>
          <w:sz w:val="30"/>
          <w:highlight w:val="white"/>
          <w:lang w:eastAsia="zh-CN"/>
        </w:rPr>
        <w:t>第一部分</w:t>
      </w:r>
      <w:r w:rsidRPr="00256C1C">
        <w:rPr>
          <w:rFonts w:asciiTheme="minorEastAsia" w:eastAsiaTheme="minorEastAsia" w:hAnsiTheme="minorEastAsia" w:cs="宋体"/>
          <w:sz w:val="30"/>
          <w:highlight w:val="white"/>
          <w:lang w:eastAsia="zh-CN"/>
        </w:rPr>
        <w:t xml:space="preserve"> </w:t>
      </w:r>
      <w:r w:rsidRPr="00256C1C">
        <w:rPr>
          <w:rFonts w:asciiTheme="minorEastAsia" w:eastAsiaTheme="minorEastAsia" w:hAnsiTheme="minorEastAsia" w:cs="宋体" w:hint="eastAsia"/>
          <w:color w:val="auto"/>
          <w:sz w:val="30"/>
          <w:highlight w:val="white"/>
          <w:lang w:eastAsia="zh-CN"/>
        </w:rPr>
        <w:t>前言</w:t>
      </w:r>
      <w:bookmarkEnd w:id="25"/>
      <w:bookmarkEnd w:id="26"/>
      <w:bookmarkEnd w:id="27"/>
      <w:bookmarkEnd w:id="28"/>
      <w:bookmarkEnd w:id="29"/>
      <w:bookmarkEnd w:id="30"/>
      <w:bookmarkEnd w:id="31"/>
      <w:bookmarkEnd w:id="32"/>
      <w:bookmarkEnd w:id="33"/>
      <w:bookmarkEnd w:id="34"/>
      <w:bookmarkEnd w:id="35"/>
      <w:bookmarkEnd w:id="36"/>
      <w:bookmarkEnd w:id="42"/>
      <w:bookmarkEnd w:id="43"/>
      <w:bookmarkEnd w:id="44"/>
    </w:p>
    <w:p w:rsidR="00C57945" w:rsidRPr="00256C1C">
      <w:pPr>
        <w:spacing w:line="360" w:lineRule="auto"/>
        <w:rPr>
          <w:rFonts w:asciiTheme="minorEastAsia" w:eastAsiaTheme="minorEastAsia" w:hAnsiTheme="minorEastAsia" w:cs="宋体"/>
          <w:lang w:eastAsia="zh-CN"/>
        </w:rPr>
      </w:pPr>
      <w:bookmarkStart w:id="46" w:name="_Toc139991731"/>
      <w:bookmarkEnd w:id="37"/>
      <w:bookmarkEnd w:id="38"/>
      <w:bookmarkEnd w:id="39"/>
      <w:bookmarkEnd w:id="46"/>
    </w:p>
    <w:p w:rsidR="00C57945" w:rsidRPr="00256C1C">
      <w:pPr>
        <w:spacing w:line="360" w:lineRule="auto"/>
        <w:ind w:firstLine="480"/>
        <w:rPr>
          <w:rFonts w:asciiTheme="minorEastAsia" w:eastAsiaTheme="minorEastAsia" w:hAnsiTheme="minorEastAsia" w:cs="宋体"/>
          <w:sz w:val="24"/>
          <w:lang w:eastAsia="zh-CN"/>
        </w:rPr>
      </w:pPr>
      <w:bookmarkStart w:id="47" w:name="_Toc258829399"/>
      <w:r w:rsidRPr="00256C1C">
        <w:rPr>
          <w:rFonts w:asciiTheme="minorEastAsia" w:eastAsiaTheme="minorEastAsia" w:hAnsiTheme="minorEastAsia" w:cs="宋体" w:hint="eastAsia"/>
          <w:sz w:val="24"/>
          <w:highlight w:val="white"/>
          <w:lang w:eastAsia="zh-CN"/>
        </w:rPr>
        <w:t>一、订立本基金合同的目的、依据和原则</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sz w:val="24"/>
          <w:highlight w:val="white"/>
          <w:lang w:eastAsia="zh-CN"/>
        </w:rPr>
        <w:t>1</w:t>
      </w:r>
      <w:r w:rsidRPr="00256C1C">
        <w:rPr>
          <w:rFonts w:asciiTheme="minorEastAsia" w:eastAsiaTheme="minorEastAsia" w:hAnsiTheme="minorEastAsia" w:cs="宋体" w:hint="eastAsia"/>
          <w:sz w:val="24"/>
          <w:highlight w:val="white"/>
          <w:lang w:eastAsia="zh-CN"/>
        </w:rPr>
        <w:t>、订立本基金合同的目的是保护投资人合法权益，明确基金合同当事人的权利义务，规范基金运作。</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sz w:val="24"/>
          <w:highlight w:val="white"/>
          <w:lang w:eastAsia="zh-CN"/>
        </w:rPr>
        <w:t>2</w:t>
      </w:r>
      <w:r w:rsidRPr="00256C1C">
        <w:rPr>
          <w:rFonts w:asciiTheme="minorEastAsia" w:eastAsiaTheme="minorEastAsia" w:hAnsiTheme="minorEastAsia" w:cs="宋体" w:hint="eastAsia"/>
          <w:sz w:val="24"/>
          <w:highlight w:val="white"/>
          <w:lang w:eastAsia="zh-CN"/>
        </w:rPr>
        <w:t>、订立本基金合同的依据是《中华人民共和国民法典》、《中华人民共和国证券投资基金法》</w:t>
      </w:r>
      <w:r w:rsidRPr="00256C1C">
        <w:rPr>
          <w:rFonts w:asciiTheme="minorEastAsia" w:eastAsiaTheme="minorEastAsia" w:hAnsiTheme="minorEastAsia" w:cs="宋体" w:hint="eastAsia"/>
          <w:bCs/>
          <w:sz w:val="24"/>
          <w:highlight w:val="white"/>
          <w:lang w:eastAsia="zh-CN"/>
        </w:rPr>
        <w:t>（</w:t>
      </w:r>
      <w:r w:rsidRPr="00256C1C">
        <w:rPr>
          <w:rFonts w:asciiTheme="minorEastAsia" w:eastAsiaTheme="minorEastAsia" w:hAnsiTheme="minorEastAsia" w:cs="宋体" w:hint="eastAsia"/>
          <w:sz w:val="24"/>
          <w:highlight w:val="white"/>
          <w:lang w:eastAsia="zh-CN"/>
        </w:rPr>
        <w:t>以下简称“《基金法》”</w:t>
      </w:r>
      <w:r w:rsidRPr="00256C1C">
        <w:rPr>
          <w:rFonts w:asciiTheme="minorEastAsia" w:eastAsiaTheme="minorEastAsia" w:hAnsiTheme="minorEastAsia" w:cs="宋体" w:hint="eastAsia"/>
          <w:bCs/>
          <w:sz w:val="24"/>
          <w:highlight w:val="white"/>
          <w:lang w:eastAsia="zh-CN"/>
        </w:rPr>
        <w:t>）</w:t>
      </w:r>
      <w:r w:rsidRPr="00256C1C">
        <w:rPr>
          <w:rFonts w:asciiTheme="minorEastAsia" w:eastAsiaTheme="minorEastAsia" w:hAnsiTheme="minorEastAsia" w:cs="宋体" w:hint="eastAsia"/>
          <w:sz w:val="24"/>
          <w:highlight w:val="white"/>
          <w:lang w:eastAsia="zh-CN"/>
        </w:rPr>
        <w:t>、《公开募集证券投资基金运作管理办法》</w:t>
      </w:r>
      <w:r w:rsidRPr="00256C1C">
        <w:rPr>
          <w:rFonts w:asciiTheme="minorEastAsia" w:eastAsiaTheme="minorEastAsia" w:hAnsiTheme="minorEastAsia" w:cs="宋体" w:hint="eastAsia"/>
          <w:bCs/>
          <w:sz w:val="24"/>
          <w:highlight w:val="white"/>
          <w:lang w:eastAsia="zh-CN"/>
        </w:rPr>
        <w:t>（</w:t>
      </w:r>
      <w:r w:rsidRPr="00256C1C">
        <w:rPr>
          <w:rFonts w:asciiTheme="minorEastAsia" w:eastAsiaTheme="minorEastAsia" w:hAnsiTheme="minorEastAsia" w:cs="宋体" w:hint="eastAsia"/>
          <w:sz w:val="24"/>
          <w:highlight w:val="white"/>
          <w:lang w:eastAsia="zh-CN"/>
        </w:rPr>
        <w:t>以下简称“《运作办法》”）、《公开募集证券投资基金销售机构监督管理办法》（以下简称“《销售办法》”）、《公开募集证券投资基金信息披露管理办法》</w:t>
      </w:r>
      <w:r w:rsidRPr="00256C1C">
        <w:rPr>
          <w:rFonts w:asciiTheme="minorEastAsia" w:eastAsiaTheme="minorEastAsia" w:hAnsiTheme="minorEastAsia" w:cs="宋体" w:hint="eastAsia"/>
          <w:bCs/>
          <w:sz w:val="24"/>
          <w:highlight w:val="white"/>
          <w:lang w:eastAsia="zh-CN"/>
        </w:rPr>
        <w:t>（</w:t>
      </w:r>
      <w:r w:rsidRPr="00256C1C">
        <w:rPr>
          <w:rFonts w:asciiTheme="minorEastAsia" w:eastAsiaTheme="minorEastAsia" w:hAnsiTheme="minorEastAsia" w:cs="宋体" w:hint="eastAsia"/>
          <w:sz w:val="24"/>
          <w:highlight w:val="white"/>
          <w:lang w:eastAsia="zh-CN"/>
        </w:rPr>
        <w:t>以下简称“《信息披露办法》”</w:t>
      </w:r>
      <w:r w:rsidRPr="00256C1C">
        <w:rPr>
          <w:rFonts w:asciiTheme="minorEastAsia" w:eastAsiaTheme="minorEastAsia" w:hAnsiTheme="minorEastAsia" w:cs="宋体" w:hint="eastAsia"/>
          <w:bCs/>
          <w:sz w:val="24"/>
          <w:highlight w:val="white"/>
          <w:lang w:eastAsia="zh-CN"/>
        </w:rPr>
        <w:t>）</w:t>
      </w:r>
      <w:r w:rsidRPr="00256C1C">
        <w:rPr>
          <w:rFonts w:asciiTheme="minorEastAsia" w:eastAsiaTheme="minorEastAsia" w:hAnsiTheme="minorEastAsia" w:cs="宋体" w:hint="eastAsia"/>
          <w:sz w:val="24"/>
          <w:highlight w:val="white"/>
          <w:lang w:eastAsia="zh-CN"/>
        </w:rPr>
        <w:t>、</w:t>
      </w:r>
      <w:r w:rsidRPr="00256C1C">
        <w:rPr>
          <w:rFonts w:asciiTheme="minorEastAsia" w:eastAsiaTheme="minorEastAsia" w:hAnsiTheme="minorEastAsia" w:cs="宋体"/>
          <w:bCs/>
          <w:sz w:val="24"/>
          <w:highlight w:val="white"/>
          <w:lang w:eastAsia="zh-CN"/>
        </w:rPr>
        <w:t>《</w:t>
      </w:r>
      <w:r w:rsidRPr="00256C1C">
        <w:rPr>
          <w:rFonts w:asciiTheme="minorEastAsia" w:eastAsiaTheme="minorEastAsia" w:hAnsiTheme="minorEastAsia" w:cs="宋体" w:hint="eastAsia"/>
          <w:bCs/>
          <w:sz w:val="24"/>
          <w:highlight w:val="white"/>
          <w:lang w:eastAsia="zh-CN"/>
        </w:rPr>
        <w:t>公开募集开放式证券投资基金流动性风险管理规定</w:t>
      </w:r>
      <w:r w:rsidRPr="00256C1C">
        <w:rPr>
          <w:rFonts w:asciiTheme="minorEastAsia" w:eastAsiaTheme="minorEastAsia" w:hAnsiTheme="minorEastAsia" w:cs="宋体"/>
          <w:bCs/>
          <w:sz w:val="24"/>
          <w:highlight w:val="white"/>
          <w:lang w:eastAsia="zh-CN"/>
        </w:rPr>
        <w:t>》</w:t>
      </w:r>
      <w:r w:rsidRPr="00256C1C">
        <w:rPr>
          <w:rFonts w:asciiTheme="minorEastAsia" w:eastAsiaTheme="minorEastAsia" w:hAnsiTheme="minorEastAsia" w:cs="宋体" w:hint="eastAsia"/>
          <w:bCs/>
          <w:sz w:val="24"/>
          <w:highlight w:val="white"/>
          <w:lang w:eastAsia="zh-CN"/>
        </w:rPr>
        <w:t>（</w:t>
      </w:r>
      <w:r w:rsidRPr="00256C1C">
        <w:rPr>
          <w:rFonts w:asciiTheme="minorEastAsia" w:eastAsiaTheme="minorEastAsia" w:hAnsiTheme="minorEastAsia" w:cs="宋体"/>
          <w:bCs/>
          <w:sz w:val="24"/>
          <w:highlight w:val="white"/>
          <w:lang w:eastAsia="zh-CN"/>
        </w:rPr>
        <w:t>以下简称</w:t>
      </w:r>
      <w:r w:rsidRPr="00256C1C">
        <w:rPr>
          <w:rFonts w:asciiTheme="minorEastAsia" w:eastAsiaTheme="minorEastAsia" w:hAnsiTheme="minorEastAsia" w:cs="宋体" w:hint="eastAsia"/>
          <w:sz w:val="24"/>
          <w:highlight w:val="white"/>
          <w:lang w:eastAsia="zh-CN"/>
        </w:rPr>
        <w:t>“</w:t>
      </w:r>
      <w:r w:rsidRPr="00256C1C">
        <w:rPr>
          <w:rFonts w:asciiTheme="minorEastAsia" w:eastAsiaTheme="minorEastAsia" w:hAnsiTheme="minorEastAsia" w:cs="宋体" w:hint="eastAsia"/>
          <w:bCs/>
          <w:sz w:val="24"/>
          <w:highlight w:val="white"/>
          <w:lang w:eastAsia="zh-CN"/>
        </w:rPr>
        <w:t>《流动性风险管理规定》</w:t>
      </w:r>
      <w:r w:rsidRPr="00256C1C">
        <w:rPr>
          <w:rFonts w:asciiTheme="minorEastAsia" w:eastAsiaTheme="minorEastAsia" w:hAnsiTheme="minorEastAsia" w:cs="宋体" w:hint="eastAsia"/>
          <w:sz w:val="24"/>
          <w:highlight w:val="white"/>
          <w:lang w:eastAsia="zh-CN"/>
        </w:rPr>
        <w:t>”</w:t>
      </w:r>
      <w:r w:rsidRPr="00256C1C">
        <w:rPr>
          <w:rFonts w:asciiTheme="minorEastAsia" w:eastAsiaTheme="minorEastAsia" w:hAnsiTheme="minorEastAsia" w:cs="宋体" w:hint="eastAsia"/>
          <w:bCs/>
          <w:sz w:val="24"/>
          <w:highlight w:val="white"/>
          <w:lang w:eastAsia="zh-CN"/>
        </w:rPr>
        <w:t>）、</w:t>
      </w:r>
      <w:r w:rsidRPr="00256C1C">
        <w:rPr>
          <w:rFonts w:asciiTheme="minorEastAsia" w:eastAsiaTheme="minorEastAsia" w:hAnsiTheme="minorEastAsia" w:cs="宋体"/>
          <w:sz w:val="24"/>
          <w:highlight w:val="white"/>
          <w:lang w:eastAsia="zh-CN"/>
        </w:rPr>
        <w:t>《公开募集证券投资基金运作指引第3号——指数基金指引》（以下简称“《指数基金指引》”）和其他有关法律法规。</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sz w:val="24"/>
          <w:highlight w:val="white"/>
          <w:lang w:eastAsia="zh-CN"/>
        </w:rPr>
        <w:t>3</w:t>
      </w:r>
      <w:r w:rsidRPr="00256C1C">
        <w:rPr>
          <w:rFonts w:asciiTheme="minorEastAsia" w:eastAsiaTheme="minorEastAsia" w:hAnsiTheme="minorEastAsia" w:cs="宋体" w:hint="eastAsia"/>
          <w:sz w:val="24"/>
          <w:highlight w:val="white"/>
          <w:lang w:eastAsia="zh-CN"/>
        </w:rPr>
        <w:t>、订立本基金合同的原则是平等自愿、诚实信用、充分保护投资人合法权益。</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hint="eastAsia"/>
          <w:sz w:val="24"/>
          <w:highlight w:val="white"/>
          <w:lang w:eastAsia="zh-CN"/>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rsidR="00C57945" w:rsidRPr="00256C1C">
      <w:pPr>
        <w:spacing w:line="360" w:lineRule="auto"/>
        <w:ind w:firstLine="480"/>
        <w:rPr>
          <w:rFonts w:asciiTheme="minorEastAsia" w:eastAsiaTheme="minorEastAsia" w:hAnsiTheme="minorEastAsia" w:cs="宋体"/>
          <w:lang w:eastAsia="zh-CN"/>
        </w:rPr>
      </w:pPr>
      <w:r w:rsidRPr="00256C1C">
        <w:rPr>
          <w:rFonts w:asciiTheme="minorEastAsia" w:eastAsiaTheme="minorEastAsia" w:hAnsiTheme="minorEastAsia" w:cs="宋体" w:hint="eastAsia"/>
          <w:sz w:val="24"/>
          <w:highlight w:val="white"/>
          <w:lang w:eastAsia="zh-CN"/>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hint="eastAsia"/>
          <w:sz w:val="24"/>
          <w:highlight w:val="white"/>
          <w:lang w:eastAsia="zh-CN"/>
        </w:rPr>
        <w:t>三、</w:t>
      </w:r>
      <w:r w:rsidRPr="00256C1C">
        <w:rPr>
          <w:rFonts w:asciiTheme="minorEastAsia" w:eastAsiaTheme="minorEastAsia" w:hAnsiTheme="minorEastAsia" w:cs="宋体"/>
          <w:sz w:val="24"/>
          <w:lang w:eastAsia="zh-CN"/>
        </w:rPr>
        <w:t>易方达中证全指通信设备交易型开放式指数证券投资基金</w:t>
      </w:r>
      <w:r w:rsidRPr="00256C1C">
        <w:rPr>
          <w:rFonts w:asciiTheme="minorEastAsia" w:eastAsiaTheme="minorEastAsia" w:hAnsiTheme="minorEastAsia" w:cs="宋体"/>
          <w:sz w:val="24"/>
          <w:highlight w:val="white"/>
          <w:lang w:eastAsia="zh-CN"/>
        </w:rPr>
        <w:t>由基金管理人依照</w:t>
      </w:r>
      <w:r w:rsidRPr="00256C1C">
        <w:rPr>
          <w:rFonts w:asciiTheme="minorEastAsia" w:eastAsiaTheme="minorEastAsia" w:hAnsiTheme="minorEastAsia" w:cs="宋体" w:hint="eastAsia"/>
          <w:sz w:val="24"/>
          <w:highlight w:val="white"/>
          <w:lang w:eastAsia="zh-CN"/>
        </w:rPr>
        <w:t>《基金法》、基金合同及其他有关规定募集，并经中国证券监督管理委员会（以下简称“中国证监会”）注册。</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hint="eastAsia"/>
          <w:sz w:val="24"/>
          <w:highlight w:val="white"/>
          <w:lang w:eastAsia="zh-CN"/>
        </w:rPr>
        <w:t>中国证监会对本基金募集的注册，并不表明其对本基金的</w:t>
      </w:r>
      <w:r w:rsidRPr="00256C1C">
        <w:rPr>
          <w:rFonts w:asciiTheme="minorEastAsia" w:eastAsiaTheme="minorEastAsia" w:hAnsiTheme="minorEastAsia" w:cs="宋体" w:hint="eastAsia"/>
          <w:bCs/>
          <w:sz w:val="24"/>
          <w:highlight w:val="white"/>
          <w:lang w:eastAsia="zh-CN"/>
        </w:rPr>
        <w:t>投资</w:t>
      </w:r>
      <w:r w:rsidRPr="00256C1C">
        <w:rPr>
          <w:rFonts w:asciiTheme="minorEastAsia" w:eastAsiaTheme="minorEastAsia" w:hAnsiTheme="minorEastAsia" w:cs="宋体" w:hint="eastAsia"/>
          <w:sz w:val="24"/>
          <w:highlight w:val="white"/>
          <w:lang w:eastAsia="zh-CN"/>
        </w:rPr>
        <w:t>价值</w:t>
      </w:r>
      <w:r w:rsidRPr="00256C1C">
        <w:rPr>
          <w:rFonts w:asciiTheme="minorEastAsia" w:eastAsiaTheme="minorEastAsia" w:hAnsiTheme="minorEastAsia" w:cs="宋体" w:hint="eastAsia"/>
          <w:bCs/>
          <w:sz w:val="24"/>
          <w:highlight w:val="white"/>
          <w:lang w:eastAsia="zh-CN"/>
        </w:rPr>
        <w:t>、市场前景</w:t>
      </w:r>
      <w:r w:rsidRPr="00256C1C">
        <w:rPr>
          <w:rFonts w:asciiTheme="minorEastAsia" w:eastAsiaTheme="minorEastAsia" w:hAnsiTheme="minorEastAsia" w:cs="宋体" w:hint="eastAsia"/>
          <w:sz w:val="24"/>
          <w:highlight w:val="white"/>
          <w:lang w:eastAsia="zh-CN"/>
        </w:rPr>
        <w:t>和</w:t>
      </w:r>
      <w:r w:rsidRPr="00256C1C">
        <w:rPr>
          <w:rFonts w:asciiTheme="minorEastAsia" w:eastAsiaTheme="minorEastAsia" w:hAnsiTheme="minorEastAsia" w:cs="宋体" w:hint="eastAsia"/>
          <w:bCs/>
          <w:color w:val="000000"/>
          <w:sz w:val="24"/>
          <w:highlight w:val="white"/>
          <w:lang w:eastAsia="zh-CN"/>
        </w:rPr>
        <w:t>收益</w:t>
      </w:r>
      <w:r w:rsidRPr="00256C1C">
        <w:rPr>
          <w:rFonts w:asciiTheme="minorEastAsia" w:eastAsiaTheme="minorEastAsia" w:hAnsiTheme="minorEastAsia" w:cs="宋体" w:hint="eastAsia"/>
          <w:sz w:val="24"/>
          <w:highlight w:val="white"/>
          <w:lang w:eastAsia="zh-CN"/>
        </w:rPr>
        <w:t>做出实质性判断或保证，也不表明投资于本基金没有风险。</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hint="eastAsia"/>
          <w:sz w:val="24"/>
          <w:highlight w:val="white"/>
          <w:lang w:eastAsia="zh-CN"/>
        </w:rPr>
        <w:t>基金管理人依照恪尽职守、诚实信用、谨慎勤勉的原则管理和运用基金财产，但不保证投资于本基金一定盈利，也不保证最低收益。</w:t>
      </w:r>
    </w:p>
    <w:p w:rsidR="00C57945" w:rsidRPr="00256C1C">
      <w:pPr>
        <w:spacing w:line="360" w:lineRule="auto"/>
        <w:ind w:firstLine="480"/>
        <w:rPr>
          <w:rFonts w:asciiTheme="minorEastAsia" w:eastAsiaTheme="minorEastAsia" w:hAnsiTheme="minorEastAsia" w:cs="宋体"/>
          <w:b/>
          <w:u w:val="single"/>
          <w:lang w:eastAsia="zh-CN"/>
        </w:rPr>
      </w:pPr>
      <w:r w:rsidRPr="00256C1C">
        <w:rPr>
          <w:rFonts w:asciiTheme="minorEastAsia" w:eastAsiaTheme="minorEastAsia" w:hAnsiTheme="minorEastAsia" w:cs="宋体"/>
          <w:bCs/>
          <w:sz w:val="24"/>
          <w:highlight w:val="white"/>
          <w:lang w:eastAsia="zh-CN"/>
        </w:rPr>
        <w:t>投资者应当认真阅读基金招募说明书、基金合同、</w:t>
      </w:r>
      <w:r w:rsidRPr="00256C1C">
        <w:rPr>
          <w:rFonts w:asciiTheme="minorEastAsia" w:eastAsiaTheme="minorEastAsia" w:hAnsiTheme="minorEastAsia" w:cs="宋体" w:hint="eastAsia"/>
          <w:bCs/>
          <w:sz w:val="24"/>
          <w:highlight w:val="white"/>
          <w:lang w:eastAsia="zh-CN"/>
        </w:rPr>
        <w:t>基金产品资料概要</w:t>
      </w:r>
      <w:r w:rsidRPr="00256C1C">
        <w:rPr>
          <w:rFonts w:asciiTheme="minorEastAsia" w:eastAsiaTheme="minorEastAsia" w:hAnsiTheme="minorEastAsia" w:cs="宋体"/>
          <w:bCs/>
          <w:sz w:val="24"/>
          <w:highlight w:val="white"/>
          <w:lang w:eastAsia="zh-CN"/>
        </w:rPr>
        <w:t>等信息披露文件，自主判断基金的投资价值，自主做出投资决策，自行承担投资风险。</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sz w:val="24"/>
          <w:highlight w:val="white"/>
          <w:lang w:eastAsia="zh-CN"/>
        </w:rPr>
        <w:t>本基金为指数基金，投资者投资于本基金面临跟踪误差控制未达约定目标、指数编制机构停止服务、成份券停牌等潜在风险，详见本基金招募说明书。</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hint="eastAsia"/>
          <w:sz w:val="24"/>
          <w:highlight w:val="white"/>
          <w:lang w:eastAsia="zh-CN"/>
        </w:rPr>
        <w:t>四、基金管理人、基金托管人在本基金合同之外披露涉及本基金的信息，其内容涉及界定基金合同当事人之间权利义务关系的，如与基金合同有冲突，以基金合同为准。</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hint="eastAsia"/>
          <w:sz w:val="24"/>
          <w:highlight w:val="white"/>
          <w:lang w:eastAsia="zh-CN"/>
        </w:rPr>
        <w:t>五、本基金按照中国法律法规成立并运作，若基金合同的内容与届时有效的法律法规的强制性规定不一致，应当以届时有效的法律法规的规定为准。</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hint="eastAsia"/>
          <w:sz w:val="24"/>
          <w:highlight w:val="white"/>
          <w:lang w:eastAsia="zh-CN"/>
        </w:rPr>
        <w:t>六、</w:t>
      </w:r>
      <w:r w:rsidRPr="00256C1C">
        <w:rPr>
          <w:rFonts w:asciiTheme="minorEastAsia" w:eastAsiaTheme="minorEastAsia" w:hAnsiTheme="minorEastAsia" w:cs="宋体" w:hint="eastAsia"/>
          <w:bCs/>
          <w:sz w:val="24"/>
          <w:highlight w:val="white"/>
          <w:lang w:eastAsia="zh-CN"/>
        </w:rPr>
        <w:t>本基金的投资范围包括存托凭证，</w:t>
      </w:r>
      <w:r w:rsidRPr="00256C1C">
        <w:rPr>
          <w:rFonts w:asciiTheme="minorEastAsia" w:eastAsiaTheme="minorEastAsia" w:hAnsiTheme="minorEastAsia" w:cs="宋体"/>
          <w:sz w:val="24"/>
          <w:highlight w:val="white"/>
          <w:lang w:eastAsia="zh-CN"/>
        </w:rPr>
        <w:t>除与其他投资于股票的基金所面临的共同风险外</w:t>
      </w:r>
      <w:r w:rsidRPr="00256C1C">
        <w:rPr>
          <w:rFonts w:asciiTheme="minorEastAsia" w:eastAsiaTheme="minorEastAsia" w:hAnsiTheme="minorEastAsia" w:cs="宋体"/>
          <w:bCs/>
          <w:sz w:val="24"/>
          <w:highlight w:val="white"/>
          <w:lang w:eastAsia="zh-CN"/>
        </w:rPr>
        <w:t>，本基金还将面临投资存托凭证的特殊风险，详见本基金招募说明书</w:t>
      </w:r>
      <w:r w:rsidRPr="00256C1C">
        <w:rPr>
          <w:rFonts w:asciiTheme="minorEastAsia" w:eastAsiaTheme="minorEastAsia" w:hAnsiTheme="minorEastAsia" w:cs="宋体" w:hint="eastAsia"/>
          <w:sz w:val="24"/>
          <w:highlight w:val="white"/>
          <w:lang w:eastAsia="zh-CN"/>
        </w:rPr>
        <w:t>。</w:t>
      </w:r>
    </w:p>
    <w:p w:rsidR="00C57945" w:rsidRPr="00256C1C">
      <w:pPr>
        <w:spacing w:line="360" w:lineRule="auto"/>
        <w:ind w:firstLine="480"/>
        <w:rPr>
          <w:rFonts w:asciiTheme="minorEastAsia" w:eastAsiaTheme="minorEastAsia" w:hAnsiTheme="minorEastAsia" w:cs="宋体"/>
          <w:sz w:val="24"/>
          <w:lang w:eastAsia="zh-CN"/>
        </w:rPr>
      </w:pP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sz w:val="21"/>
          <w:highlight w:val="white"/>
          <w:lang w:eastAsia="zh-CN"/>
        </w:rPr>
        <w:br w:type="page"/>
      </w:r>
      <w:bookmarkStart w:id="48" w:name="_Toc31551"/>
      <w:bookmarkStart w:id="49" w:name="_Toc446339240"/>
      <w:bookmarkStart w:id="50" w:name="_Toc129511036"/>
      <w:r w:rsidRPr="00256C1C">
        <w:rPr>
          <w:rFonts w:asciiTheme="minorEastAsia" w:eastAsiaTheme="minorEastAsia" w:hAnsiTheme="minorEastAsia" w:cs="宋体" w:hint="eastAsia"/>
          <w:sz w:val="30"/>
          <w:highlight w:val="white"/>
          <w:lang w:eastAsia="zh-CN"/>
        </w:rPr>
        <w:t>第二部分</w:t>
      </w:r>
      <w:r w:rsidRPr="00256C1C">
        <w:rPr>
          <w:rFonts w:asciiTheme="minorEastAsia" w:eastAsiaTheme="minorEastAsia" w:hAnsiTheme="minorEastAsia" w:cs="宋体"/>
          <w:sz w:val="30"/>
          <w:highlight w:val="white"/>
          <w:lang w:eastAsia="zh-CN"/>
        </w:rPr>
        <w:t xml:space="preserve"> </w:t>
      </w:r>
      <w:bookmarkStart w:id="51" w:name="_Toc6617"/>
      <w:bookmarkStart w:id="52" w:name="_Toc2465"/>
      <w:bookmarkStart w:id="53" w:name="_Toc24860"/>
      <w:bookmarkStart w:id="54" w:name="_Toc13020"/>
      <w:bookmarkStart w:id="55" w:name="_Toc3224"/>
      <w:bookmarkStart w:id="56" w:name="_Toc21301"/>
      <w:bookmarkStart w:id="57" w:name="_Toc15067"/>
      <w:bookmarkStart w:id="58" w:name="_Toc819"/>
      <w:bookmarkStart w:id="59" w:name="_Toc22864"/>
      <w:bookmarkStart w:id="60" w:name="_Toc19592"/>
      <w:r w:rsidRPr="00256C1C">
        <w:rPr>
          <w:rFonts w:asciiTheme="minorEastAsia" w:eastAsiaTheme="minorEastAsia" w:hAnsiTheme="minorEastAsia" w:cs="宋体" w:hint="eastAsia"/>
          <w:color w:val="auto"/>
          <w:sz w:val="30"/>
          <w:highlight w:val="white"/>
          <w:lang w:eastAsia="zh-CN"/>
        </w:rPr>
        <w:t>释义</w:t>
      </w:r>
      <w:bookmarkEnd w:id="40"/>
      <w:bookmarkEnd w:id="47"/>
      <w:bookmarkEnd w:id="48"/>
      <w:bookmarkEnd w:id="49"/>
      <w:bookmarkEnd w:id="50"/>
      <w:bookmarkEnd w:id="51"/>
      <w:bookmarkEnd w:id="52"/>
      <w:bookmarkEnd w:id="53"/>
      <w:bookmarkEnd w:id="54"/>
      <w:bookmarkEnd w:id="55"/>
      <w:bookmarkEnd w:id="56"/>
      <w:bookmarkEnd w:id="57"/>
      <w:bookmarkEnd w:id="58"/>
      <w:bookmarkEnd w:id="59"/>
      <w:bookmarkEnd w:id="60"/>
    </w:p>
    <w:p w:rsidR="00C57945" w:rsidRPr="00256C1C">
      <w:pPr>
        <w:spacing w:line="360" w:lineRule="auto"/>
        <w:ind w:firstLine="42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在本基金合同中，除非文意另有所指，下列词语或简称具有如下含义：</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、基金或本基金：</w:t>
      </w:r>
      <w:r w:rsidRPr="00256C1C">
        <w:rPr>
          <w:rFonts w:asciiTheme="minorEastAsia" w:eastAsiaTheme="minorEastAsia" w:hAnsiTheme="minorEastAsia" w:cs="宋体"/>
          <w:sz w:val="24"/>
          <w:szCs w:val="24"/>
          <w:highlight w:val="white"/>
          <w:lang w:eastAsia="zh-CN"/>
        </w:rPr>
        <w:t>指</w:t>
      </w:r>
      <w:r w:rsidRPr="00256C1C">
        <w:rPr>
          <w:rFonts w:asciiTheme="minorEastAsia" w:eastAsiaTheme="minorEastAsia" w:hAnsiTheme="minorEastAsia" w:cs="宋体" w:hint="eastAsia"/>
          <w:sz w:val="24"/>
          <w:szCs w:val="24"/>
          <w:lang w:eastAsia="zh-CN"/>
        </w:rPr>
        <w:t>易方达中证全指通信设备交易型开放式指数证券投资基金</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、基金管理人：</w:t>
      </w:r>
      <w:r w:rsidRPr="00256C1C">
        <w:rPr>
          <w:rFonts w:asciiTheme="minorEastAsia" w:eastAsiaTheme="minorEastAsia" w:hAnsiTheme="minorEastAsia" w:cs="宋体"/>
          <w:sz w:val="24"/>
          <w:szCs w:val="24"/>
          <w:highlight w:val="white"/>
          <w:lang w:eastAsia="zh-CN"/>
        </w:rPr>
        <w:t>指</w:t>
      </w:r>
      <w:r w:rsidRPr="00256C1C">
        <w:rPr>
          <w:rFonts w:asciiTheme="minorEastAsia" w:eastAsiaTheme="minorEastAsia" w:hAnsiTheme="minorEastAsia" w:cs="宋体" w:hint="eastAsia"/>
          <w:sz w:val="24"/>
          <w:szCs w:val="24"/>
          <w:highlight w:val="white"/>
          <w:lang w:eastAsia="zh-CN"/>
        </w:rPr>
        <w:t>易方达基金管理有限公司</w:t>
      </w:r>
      <w:r w:rsidRPr="00256C1C">
        <w:rPr>
          <w:rFonts w:asciiTheme="minorEastAsia" w:eastAsiaTheme="minorEastAsia" w:hAnsiTheme="minorEastAsia" w:cs="宋体"/>
          <w:sz w:val="24"/>
          <w:szCs w:val="24"/>
          <w:highlight w:val="white"/>
          <w:lang w:eastAsia="zh-CN"/>
        </w:rPr>
        <w:t xml:space="preserve">          </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、基金托管人：</w:t>
      </w:r>
      <w:r w:rsidRPr="00256C1C">
        <w:rPr>
          <w:rFonts w:asciiTheme="minorEastAsia" w:eastAsiaTheme="minorEastAsia" w:hAnsiTheme="minorEastAsia" w:cs="宋体"/>
          <w:sz w:val="24"/>
          <w:szCs w:val="24"/>
          <w:highlight w:val="white"/>
          <w:lang w:eastAsia="zh-CN"/>
        </w:rPr>
        <w:t>指</w:t>
      </w:r>
      <w:r w:rsidRPr="00256C1C">
        <w:rPr>
          <w:rFonts w:asciiTheme="minorEastAsia" w:eastAsiaTheme="minorEastAsia" w:hAnsiTheme="minorEastAsia" w:cs="宋体" w:hint="eastAsia"/>
          <w:sz w:val="24"/>
          <w:szCs w:val="24"/>
          <w:lang w:eastAsia="zh-CN"/>
        </w:rPr>
        <w:t>中国建设银行股份有限公司</w:t>
      </w:r>
      <w:r w:rsidRPr="00256C1C">
        <w:rPr>
          <w:rFonts w:asciiTheme="minorEastAsia" w:eastAsiaTheme="minorEastAsia" w:hAnsiTheme="minorEastAsia" w:cs="宋体" w:hint="eastAsia"/>
          <w:sz w:val="24"/>
          <w:szCs w:val="24"/>
          <w:highlight w:val="white"/>
          <w:lang w:eastAsia="zh-CN"/>
        </w:rPr>
        <w:t xml:space="preserve"> </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4、基金合同或本基金合同：指</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lang w:eastAsia="zh-CN"/>
        </w:rPr>
        <w:t>易方达中证全指通信设备交易型开放式指数证券投资基金</w:t>
      </w:r>
      <w:r w:rsidRPr="00256C1C">
        <w:rPr>
          <w:rFonts w:asciiTheme="minorEastAsia" w:eastAsiaTheme="minorEastAsia" w:hAnsiTheme="minorEastAsia" w:cs="宋体"/>
          <w:bCs/>
          <w:sz w:val="24"/>
          <w:szCs w:val="24"/>
          <w:highlight w:val="white"/>
          <w:lang w:eastAsia="zh-CN"/>
        </w:rPr>
        <w:t>基金合同</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及对本基金合同的任何有效修订和补充</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、托管协议：指基金管理人与基金托管人就本基金签订之</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lang w:eastAsia="zh-CN"/>
        </w:rPr>
        <w:t>易方达中证全指通信设备交易型开放式指数证券投资基金</w:t>
      </w:r>
      <w:r w:rsidRPr="00256C1C">
        <w:rPr>
          <w:rFonts w:asciiTheme="minorEastAsia" w:eastAsiaTheme="minorEastAsia" w:hAnsiTheme="minorEastAsia" w:cs="宋体"/>
          <w:bCs/>
          <w:sz w:val="24"/>
          <w:szCs w:val="24"/>
          <w:highlight w:val="white"/>
          <w:lang w:eastAsia="zh-CN"/>
        </w:rPr>
        <w:t>托管协议</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及对该托管协议的任何有效修订和补充</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6、招募说明书：指</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lang w:eastAsia="zh-CN"/>
        </w:rPr>
        <w:t>易方达中证全指通信设备交易型开放式指数证券投资基金</w:t>
      </w:r>
      <w:r w:rsidRPr="00256C1C">
        <w:rPr>
          <w:rFonts w:asciiTheme="minorEastAsia" w:eastAsiaTheme="minorEastAsia" w:hAnsiTheme="minorEastAsia" w:cs="宋体"/>
          <w:bCs/>
          <w:sz w:val="24"/>
          <w:szCs w:val="24"/>
          <w:highlight w:val="white"/>
          <w:lang w:eastAsia="zh-CN"/>
        </w:rPr>
        <w:t>招募说明书</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及其更新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7、基金产品资料概要：指《</w:t>
      </w:r>
      <w:r w:rsidRPr="00256C1C">
        <w:rPr>
          <w:rFonts w:asciiTheme="minorEastAsia" w:eastAsiaTheme="minorEastAsia" w:hAnsiTheme="minorEastAsia" w:cs="宋体" w:hint="eastAsia"/>
          <w:sz w:val="24"/>
          <w:szCs w:val="24"/>
          <w:lang w:eastAsia="zh-CN"/>
        </w:rPr>
        <w:t>易方达中证全指通信设备交易型开放式指数证券投资基金</w:t>
      </w:r>
      <w:r w:rsidRPr="00256C1C">
        <w:rPr>
          <w:rFonts w:asciiTheme="minorEastAsia" w:eastAsiaTheme="minorEastAsia" w:hAnsiTheme="minorEastAsia" w:cs="宋体" w:hint="eastAsia"/>
          <w:sz w:val="24"/>
          <w:szCs w:val="24"/>
          <w:highlight w:val="white"/>
          <w:lang w:eastAsia="zh-CN"/>
        </w:rPr>
        <w:t>基金产品资料概要》及其更新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8</w:t>
      </w:r>
      <w:r w:rsidRPr="00256C1C">
        <w:rPr>
          <w:rFonts w:asciiTheme="minorEastAsia" w:eastAsiaTheme="minorEastAsia" w:hAnsiTheme="minorEastAsia" w:cs="宋体" w:hint="eastAsia"/>
          <w:sz w:val="24"/>
          <w:szCs w:val="24"/>
          <w:highlight w:val="white"/>
          <w:lang w:eastAsia="zh-CN"/>
        </w:rPr>
        <w:t>、基金份额发售公告：指</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lang w:eastAsia="zh-CN"/>
        </w:rPr>
        <w:t>易方达中证全指通信设备交易型开放式指数证券投资基金</w:t>
      </w:r>
      <w:r w:rsidRPr="00256C1C">
        <w:rPr>
          <w:rFonts w:asciiTheme="minorEastAsia" w:eastAsiaTheme="minorEastAsia" w:hAnsiTheme="minorEastAsia" w:cs="宋体"/>
          <w:bCs/>
          <w:sz w:val="24"/>
          <w:szCs w:val="24"/>
          <w:highlight w:val="white"/>
          <w:lang w:eastAsia="zh-CN"/>
        </w:rPr>
        <w:t>基金份额发售公告</w:t>
      </w:r>
      <w:r w:rsidRPr="00256C1C">
        <w:rPr>
          <w:rFonts w:asciiTheme="minorEastAsia" w:eastAsiaTheme="minorEastAsia" w:hAnsiTheme="minorEastAsia" w:cs="宋体" w:hint="eastAsia"/>
          <w:bCs/>
          <w:sz w:val="24"/>
          <w:szCs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9、基金份额上市交易公告书：指《</w:t>
      </w:r>
      <w:r w:rsidRPr="00256C1C">
        <w:rPr>
          <w:rFonts w:asciiTheme="minorEastAsia" w:eastAsiaTheme="minorEastAsia" w:hAnsiTheme="minorEastAsia" w:cs="宋体" w:hint="eastAsia"/>
          <w:sz w:val="24"/>
          <w:szCs w:val="24"/>
          <w:lang w:eastAsia="zh-CN"/>
        </w:rPr>
        <w:t>易方达中证全指通信设备交易型开放式指数证券投资基金</w:t>
      </w:r>
      <w:r w:rsidRPr="00256C1C">
        <w:rPr>
          <w:rFonts w:asciiTheme="minorEastAsia" w:eastAsiaTheme="minorEastAsia" w:hAnsiTheme="minorEastAsia" w:hint="eastAsia"/>
          <w:bCs/>
          <w:sz w:val="24"/>
          <w:highlight w:val="white"/>
          <w:lang w:eastAsia="zh-CN"/>
        </w:rPr>
        <w:t>上市交易公告书》</w:t>
      </w:r>
    </w:p>
    <w:p w:rsidR="00C57945" w:rsidRPr="00256C1C">
      <w:pPr>
        <w:spacing w:line="360" w:lineRule="auto"/>
        <w:ind w:firstLine="48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10、交易型开放式指数证券投资基金：指《上海证券交易所交易型开放式指数基金业务实施细则》定义的“交易型开放式指数基金”，简称“ETF（Exchange Traded Fund）”</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color w:val="000000"/>
          <w:sz w:val="24"/>
          <w:szCs w:val="24"/>
          <w:highlight w:val="white"/>
          <w:lang w:eastAsia="zh-CN"/>
        </w:rPr>
        <w:t>11、标的指数：指</w:t>
      </w:r>
      <w:r w:rsidRPr="00256C1C">
        <w:rPr>
          <w:rFonts w:asciiTheme="minorEastAsia" w:eastAsiaTheme="minorEastAsia" w:hAnsiTheme="minorEastAsia" w:cs="宋体"/>
          <w:sz w:val="24"/>
          <w:szCs w:val="24"/>
          <w:lang w:eastAsia="zh-CN"/>
        </w:rPr>
        <w:t>中证全指通信设备指数</w:t>
      </w:r>
      <w:r w:rsidRPr="00256C1C">
        <w:rPr>
          <w:rFonts w:asciiTheme="minorEastAsia" w:eastAsiaTheme="minorEastAsia" w:hAnsiTheme="minorEastAsia" w:cs="宋体"/>
          <w:color w:val="000000"/>
          <w:sz w:val="24"/>
          <w:szCs w:val="24"/>
          <w:highlight w:val="white"/>
          <w:lang w:eastAsia="zh-CN"/>
        </w:rPr>
        <w:t>及其未来可能发生的变更</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hint="eastAsia"/>
          <w:bCs/>
          <w:sz w:val="24"/>
          <w:highlight w:val="white"/>
          <w:lang w:eastAsia="zh-CN"/>
        </w:rPr>
        <w:t>1</w:t>
      </w:r>
      <w:r w:rsidRPr="00256C1C">
        <w:rPr>
          <w:rFonts w:asciiTheme="minorEastAsia" w:eastAsiaTheme="minorEastAsia" w:hAnsiTheme="minorEastAsia"/>
          <w:bCs/>
          <w:sz w:val="24"/>
          <w:highlight w:val="white"/>
          <w:lang w:eastAsia="zh-CN"/>
        </w:rPr>
        <w:t>2</w:t>
      </w:r>
      <w:r w:rsidRPr="00256C1C">
        <w:rPr>
          <w:rFonts w:asciiTheme="minorEastAsia" w:eastAsiaTheme="minorEastAsia" w:hAnsiTheme="minorEastAsia" w:hint="eastAsia"/>
          <w:bCs/>
          <w:sz w:val="24"/>
          <w:highlight w:val="white"/>
          <w:lang w:eastAsia="zh-CN"/>
        </w:rPr>
        <w:t>、ETF联接基金：指将绝大部分基金财产投资于本基金，与本基金的投资目标类似，采用开放式运作方式的基金</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1</w:t>
      </w:r>
      <w:r w:rsidRPr="00256C1C">
        <w:rPr>
          <w:rFonts w:asciiTheme="minorEastAsia" w:eastAsiaTheme="minorEastAsia" w:hAnsiTheme="minorEastAsia" w:cs="宋体"/>
          <w:bCs/>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、法律法规：指中国现行有效并公布实施的法律、行政法规、规范性文件、司法解释、行政规章以及其他对基金合同当事人有约束力的决定、决议、通知等</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14</w:t>
      </w:r>
      <w:r w:rsidRPr="00256C1C">
        <w:rPr>
          <w:rFonts w:asciiTheme="minorEastAsia" w:eastAsiaTheme="minorEastAsia" w:hAnsiTheme="minorEastAsia" w:cs="宋体" w:hint="eastAsia"/>
          <w:sz w:val="24"/>
          <w:szCs w:val="24"/>
          <w:highlight w:val="white"/>
          <w:lang w:eastAsia="zh-CN"/>
        </w:rPr>
        <w:t>、《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15</w:t>
      </w:r>
      <w:r w:rsidRPr="00256C1C">
        <w:rPr>
          <w:rFonts w:asciiTheme="minorEastAsia" w:eastAsiaTheme="minorEastAsia" w:hAnsiTheme="minorEastAsia" w:cs="宋体" w:hint="eastAsia"/>
          <w:sz w:val="24"/>
          <w:szCs w:val="24"/>
          <w:highlight w:val="white"/>
          <w:lang w:eastAsia="zh-CN"/>
        </w:rPr>
        <w:t>、《销售办法》：指中国证监会2020年8月28日颁布、同年10月1日实施的《公开募集证券投资基金销售机构监督管理办法》及颁布机关对其不时做出的修订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16</w:t>
      </w:r>
      <w:r w:rsidRPr="00256C1C">
        <w:rPr>
          <w:rFonts w:asciiTheme="minorEastAsia" w:eastAsiaTheme="minorEastAsia" w:hAnsiTheme="minorEastAsia" w:cs="宋体" w:hint="eastAsia"/>
          <w:sz w:val="24"/>
          <w:szCs w:val="24"/>
          <w:highlight w:val="white"/>
          <w:lang w:eastAsia="zh-CN"/>
        </w:rPr>
        <w:t>、《信息披露办法》：指中国证监会2019年7月26日颁布、同年9月1日实施的《公开募集证券投资基金信息披露管理办法》及颁布机关对其不时做出的修订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17</w:t>
      </w:r>
      <w:r w:rsidRPr="00256C1C">
        <w:rPr>
          <w:rFonts w:asciiTheme="minorEastAsia" w:eastAsiaTheme="minorEastAsia" w:hAnsiTheme="minorEastAsia" w:cs="宋体" w:hint="eastAsia"/>
          <w:sz w:val="24"/>
          <w:szCs w:val="24"/>
          <w:highlight w:val="white"/>
          <w:lang w:eastAsia="zh-CN"/>
        </w:rPr>
        <w:t>、《运作办法》：指中国证监会2014年7月7日颁布、同年8月8日实施的《公开募集证券投资基金运作管理办法》及颁布机关对其不时做出的修订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18</w:t>
      </w:r>
      <w:r w:rsidRPr="00256C1C">
        <w:rPr>
          <w:rFonts w:asciiTheme="minorEastAsia" w:eastAsiaTheme="minorEastAsia" w:hAnsiTheme="minorEastAsia" w:cs="宋体" w:hint="eastAsia"/>
          <w:sz w:val="24"/>
          <w:szCs w:val="24"/>
          <w:highlight w:val="white"/>
          <w:lang w:eastAsia="zh-CN"/>
        </w:rPr>
        <w:t>、《流动性风险管理规定》：指中国证监会2017年8月31日颁布、同年10月1日实施的《公开募集开放式证券投资基金流动性风险管理规定》及颁布机关对其不时做出的修订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19、《指数基金指引》：指中国证监会2021年1月22日颁布、同年2月1日实施的《公开募集证券投资基金运作指引第3号——指数基金指引》及颁布机关对其不时做出的修订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20</w:t>
      </w:r>
      <w:r w:rsidRPr="00256C1C">
        <w:rPr>
          <w:rFonts w:asciiTheme="minorEastAsia" w:eastAsiaTheme="minorEastAsia" w:hAnsiTheme="minorEastAsia" w:cs="宋体" w:hint="eastAsia"/>
          <w:sz w:val="24"/>
          <w:szCs w:val="24"/>
          <w:highlight w:val="white"/>
          <w:lang w:eastAsia="zh-CN"/>
        </w:rPr>
        <w:t>、中国证监会：指中国证券监督管理委员会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21</w:t>
      </w:r>
      <w:r w:rsidRPr="00256C1C">
        <w:rPr>
          <w:rFonts w:asciiTheme="minorEastAsia" w:eastAsiaTheme="minorEastAsia" w:hAnsiTheme="minorEastAsia" w:cs="宋体" w:hint="eastAsia"/>
          <w:sz w:val="24"/>
          <w:szCs w:val="24"/>
          <w:highlight w:val="white"/>
          <w:lang w:eastAsia="zh-CN"/>
        </w:rPr>
        <w:t>、银行业监督管理机构：指中国人民银行和</w:t>
      </w:r>
      <w:r w:rsidRPr="00256C1C">
        <w:rPr>
          <w:rFonts w:asciiTheme="minorEastAsia" w:eastAsiaTheme="minorEastAsia" w:hAnsiTheme="minorEastAsia" w:cs="宋体"/>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或国家金融监督管理总局</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2</w:t>
      </w:r>
      <w:r w:rsidRPr="00256C1C">
        <w:rPr>
          <w:rFonts w:asciiTheme="minorEastAsia" w:eastAsiaTheme="minorEastAsia" w:hAnsiTheme="minorEastAsia" w:cs="宋体"/>
          <w:bCs/>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、基金合同当事人：指受基金合同约束，根据基金合同享有权利并承担义务的法律主体，包括基金管理人、基金托管人和基金份额持有人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2</w:t>
      </w:r>
      <w:r w:rsidRPr="00256C1C">
        <w:rPr>
          <w:rFonts w:asciiTheme="minorEastAsia" w:eastAsiaTheme="minorEastAsia" w:hAnsiTheme="minorEastAsia" w:cs="宋体"/>
          <w:bCs/>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、个人投资者：指依据有关法律法规规定可投资于证券投资基金的自然人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2</w:t>
      </w: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、机构投资者：指依法可以投资证券投资基金的、在中华人民共和国境内合法登记并存续或经有关政府部门批准设立并存续的企业法人、事业法人、社会团体或其他组织</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25</w:t>
      </w:r>
      <w:r w:rsidRPr="00256C1C">
        <w:rPr>
          <w:rFonts w:asciiTheme="minorEastAsia" w:eastAsiaTheme="minorEastAsia" w:hAnsiTheme="minorEastAsia" w:cs="宋体" w:hint="eastAsia"/>
          <w:bCs/>
          <w:sz w:val="24"/>
          <w:szCs w:val="24"/>
          <w:highlight w:val="white"/>
          <w:lang w:eastAsia="zh-CN"/>
        </w:rPr>
        <w:t>、合格境外投资者：指符合相关法律法规规定使用来自境外的资金进行境内证券期货投资的境外机构投资者，包括合格境外机构投资者和人民币合格境外机构投资者</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2</w:t>
      </w:r>
      <w:r w:rsidRPr="00256C1C">
        <w:rPr>
          <w:rFonts w:asciiTheme="minorEastAsia" w:eastAsiaTheme="minorEastAsia" w:hAnsiTheme="minorEastAsia" w:cs="宋体"/>
          <w:bCs/>
          <w:sz w:val="24"/>
          <w:szCs w:val="24"/>
          <w:highlight w:val="white"/>
          <w:lang w:eastAsia="zh-CN"/>
        </w:rPr>
        <w:t>6</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投资人、</w:t>
      </w:r>
      <w:r w:rsidRPr="00256C1C">
        <w:rPr>
          <w:rFonts w:asciiTheme="minorEastAsia" w:eastAsiaTheme="minorEastAsia" w:hAnsiTheme="minorEastAsia" w:cs="宋体"/>
          <w:sz w:val="24"/>
          <w:szCs w:val="24"/>
          <w:highlight w:val="white"/>
          <w:lang w:eastAsia="zh-CN"/>
        </w:rPr>
        <w:t>投资者</w:t>
      </w:r>
      <w:r w:rsidRPr="00256C1C">
        <w:rPr>
          <w:rFonts w:asciiTheme="minorEastAsia" w:eastAsiaTheme="minorEastAsia" w:hAnsiTheme="minorEastAsia" w:cs="宋体" w:hint="eastAsia"/>
          <w:sz w:val="24"/>
          <w:szCs w:val="24"/>
          <w:highlight w:val="white"/>
          <w:lang w:eastAsia="zh-CN"/>
        </w:rPr>
        <w:t>：指个人投资者、机构投资者、</w:t>
      </w:r>
      <w:r w:rsidRPr="00256C1C">
        <w:rPr>
          <w:rFonts w:asciiTheme="minorEastAsia" w:eastAsiaTheme="minorEastAsia" w:hAnsiTheme="minorEastAsia" w:cs="宋体" w:hint="eastAsia"/>
          <w:bCs/>
          <w:sz w:val="24"/>
          <w:szCs w:val="24"/>
          <w:highlight w:val="white"/>
          <w:lang w:eastAsia="zh-CN"/>
        </w:rPr>
        <w:t>合格境外投资者</w:t>
      </w:r>
      <w:r w:rsidRPr="00256C1C">
        <w:rPr>
          <w:rFonts w:asciiTheme="minorEastAsia" w:eastAsiaTheme="minorEastAsia" w:hAnsiTheme="minorEastAsia" w:cs="宋体" w:hint="eastAsia"/>
          <w:sz w:val="24"/>
          <w:szCs w:val="24"/>
          <w:highlight w:val="white"/>
          <w:lang w:eastAsia="zh-CN"/>
        </w:rPr>
        <w:t>以及法律法规或中国证监会允许购买证券投资基金的其他投资人的合称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2</w:t>
      </w:r>
      <w:r w:rsidRPr="00256C1C">
        <w:rPr>
          <w:rFonts w:asciiTheme="minorEastAsia" w:eastAsiaTheme="minorEastAsia" w:hAnsiTheme="minorEastAsia" w:cs="宋体"/>
          <w:bCs/>
          <w:sz w:val="24"/>
          <w:szCs w:val="24"/>
          <w:highlight w:val="white"/>
          <w:lang w:eastAsia="zh-CN"/>
        </w:rPr>
        <w:t>7</w:t>
      </w:r>
      <w:r w:rsidRPr="00256C1C">
        <w:rPr>
          <w:rFonts w:asciiTheme="minorEastAsia" w:eastAsiaTheme="minorEastAsia" w:hAnsiTheme="minorEastAsia" w:cs="宋体" w:hint="eastAsia"/>
          <w:sz w:val="24"/>
          <w:szCs w:val="24"/>
          <w:highlight w:val="white"/>
          <w:lang w:eastAsia="zh-CN"/>
        </w:rPr>
        <w:t>、基金份额持有人：指依基金合同和招募说明书合法取得基金份额的投资人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28</w:t>
      </w:r>
      <w:r w:rsidRPr="00256C1C">
        <w:rPr>
          <w:rFonts w:asciiTheme="minorEastAsia" w:eastAsiaTheme="minorEastAsia" w:hAnsiTheme="minorEastAsia" w:cs="宋体" w:hint="eastAsia"/>
          <w:sz w:val="24"/>
          <w:szCs w:val="24"/>
          <w:highlight w:val="white"/>
          <w:lang w:eastAsia="zh-CN"/>
        </w:rPr>
        <w:t>、基金销售业务：指基金管理人或销售机构宣传推介基金，发售基金份额，办理基金份额的申购、赎回、转换、转托管及定期定额投资等业务</w:t>
      </w:r>
    </w:p>
    <w:p w:rsidR="00C57945" w:rsidRPr="00256C1C">
      <w:pPr>
        <w:spacing w:line="360" w:lineRule="auto"/>
        <w:ind w:firstLine="480"/>
        <w:rPr>
          <w:rFonts w:asciiTheme="minorEastAsia" w:eastAsiaTheme="minorEastAsia" w:hAnsiTheme="minorEastAsia"/>
          <w:bCs/>
          <w:sz w:val="24"/>
          <w:lang w:eastAsia="zh-CN"/>
        </w:rPr>
      </w:pPr>
      <w:r w:rsidRPr="00256C1C">
        <w:rPr>
          <w:rFonts w:asciiTheme="minorEastAsia" w:eastAsiaTheme="minorEastAsia" w:hAnsiTheme="minorEastAsia" w:cs="宋体"/>
          <w:bCs/>
          <w:sz w:val="24"/>
          <w:szCs w:val="24"/>
          <w:highlight w:val="white"/>
          <w:lang w:eastAsia="zh-CN"/>
        </w:rPr>
        <w:t>29</w:t>
      </w:r>
      <w:r w:rsidRPr="00256C1C">
        <w:rPr>
          <w:rFonts w:asciiTheme="minorEastAsia" w:eastAsiaTheme="minorEastAsia" w:hAnsiTheme="minorEastAsia" w:cs="宋体" w:hint="eastAsia"/>
          <w:sz w:val="24"/>
          <w:szCs w:val="24"/>
          <w:highlight w:val="white"/>
          <w:lang w:eastAsia="zh-CN"/>
        </w:rPr>
        <w:t>、销售机构：指</w:t>
      </w:r>
      <w:r w:rsidRPr="00256C1C">
        <w:rPr>
          <w:rFonts w:asciiTheme="minorEastAsia" w:eastAsiaTheme="minorEastAsia" w:hAnsiTheme="minorEastAsia" w:cs="宋体" w:hint="eastAsia"/>
          <w:bCs/>
          <w:sz w:val="24"/>
          <w:szCs w:val="24"/>
          <w:highlight w:val="white"/>
          <w:lang w:eastAsia="zh-CN"/>
        </w:rPr>
        <w:t>易方达</w:t>
      </w:r>
      <w:r w:rsidRPr="00256C1C">
        <w:rPr>
          <w:rFonts w:asciiTheme="minorEastAsia" w:eastAsiaTheme="minorEastAsia" w:hAnsiTheme="minorEastAsia" w:cs="宋体" w:hint="eastAsia"/>
          <w:sz w:val="24"/>
          <w:szCs w:val="24"/>
          <w:highlight w:val="white"/>
          <w:lang w:eastAsia="zh-CN"/>
        </w:rPr>
        <w:t>基金管理有限公司以及符合《销售办法》和中国证监会规定的其他条件，取得基金销售业务资格并与基金管理人签订了基金销售服务协议，办理基金销售业务的</w:t>
      </w:r>
      <w:r w:rsidRPr="00256C1C">
        <w:rPr>
          <w:rFonts w:asciiTheme="minorEastAsia" w:eastAsiaTheme="minorEastAsia" w:hAnsiTheme="minorEastAsia"/>
          <w:bCs/>
          <w:sz w:val="24"/>
          <w:highlight w:val="white"/>
          <w:lang w:eastAsia="zh-CN"/>
        </w:rPr>
        <w:t>机构，</w:t>
      </w:r>
      <w:r w:rsidRPr="00256C1C">
        <w:rPr>
          <w:rFonts w:asciiTheme="minorEastAsia" w:eastAsiaTheme="minorEastAsia" w:hAnsiTheme="minorEastAsia" w:hint="eastAsia"/>
          <w:bCs/>
          <w:sz w:val="24"/>
          <w:highlight w:val="white"/>
          <w:lang w:eastAsia="zh-CN"/>
        </w:rPr>
        <w:t>包括发售代理机构和办理申购赎回业务的申购赎回代理券商</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30</w:t>
      </w:r>
      <w:r w:rsidRPr="00256C1C">
        <w:rPr>
          <w:rFonts w:asciiTheme="minorEastAsia" w:eastAsiaTheme="minorEastAsia" w:hAnsiTheme="minorEastAsia" w:hint="eastAsia"/>
          <w:bCs/>
          <w:sz w:val="24"/>
          <w:highlight w:val="white"/>
          <w:lang w:eastAsia="zh-CN"/>
        </w:rPr>
        <w:t>、发售代理机构：指符合《销售办法》和中国证监会规定的其他条件，由基金管理人指定的、在募集期间代理本基金发售业务的机构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31</w:t>
      </w:r>
      <w:r w:rsidRPr="00256C1C">
        <w:rPr>
          <w:rFonts w:asciiTheme="minorEastAsia" w:eastAsiaTheme="minorEastAsia" w:hAnsiTheme="minorEastAsia" w:hint="eastAsia"/>
          <w:bCs/>
          <w:sz w:val="24"/>
          <w:highlight w:val="white"/>
          <w:lang w:eastAsia="zh-CN"/>
        </w:rPr>
        <w:t>、申购赎回代理券商：指符合《销售办法》和中国证监会规定的其他条件，由基金管理人指定的、在《基金合同》生效后代理办理本基金申购、赎回业务的证券公司，又称为代办证券公司</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bCs/>
          <w:sz w:val="24"/>
          <w:szCs w:val="24"/>
          <w:highlight w:val="white"/>
          <w:lang w:eastAsia="zh-CN"/>
        </w:rPr>
        <w:t>32</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bCs/>
          <w:sz w:val="24"/>
          <w:highlight w:val="white"/>
          <w:lang w:eastAsia="zh-CN"/>
        </w:rPr>
        <w:t>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业务：指基金登记、存管、过户、清算和结算业务，具体内容包括投资人基金账户的建立和管理、基金份额</w:t>
      </w:r>
      <w:r w:rsidRPr="00256C1C">
        <w:rPr>
          <w:rFonts w:asciiTheme="minorEastAsia" w:eastAsiaTheme="minorEastAsia" w:hAnsiTheme="minorEastAsia" w:hint="eastAsia"/>
          <w:bCs/>
          <w:sz w:val="24"/>
          <w:highlight w:val="white"/>
          <w:lang w:eastAsia="zh-CN"/>
        </w:rPr>
        <w:t>注册</w:t>
      </w:r>
      <w:r w:rsidRPr="00256C1C">
        <w:rPr>
          <w:rFonts w:asciiTheme="minorEastAsia" w:eastAsiaTheme="minorEastAsia" w:hAnsiTheme="minorEastAsia"/>
          <w:bCs/>
          <w:sz w:val="24"/>
          <w:highlight w:val="white"/>
          <w:lang w:eastAsia="zh-CN"/>
        </w:rPr>
        <w:t>登记、基金</w:t>
      </w:r>
      <w:r w:rsidRPr="00256C1C">
        <w:rPr>
          <w:rFonts w:asciiTheme="minorEastAsia" w:eastAsiaTheme="minorEastAsia" w:hAnsiTheme="minorEastAsia" w:hint="eastAsia"/>
          <w:bCs/>
          <w:sz w:val="24"/>
          <w:highlight w:val="white"/>
          <w:lang w:eastAsia="zh-CN"/>
        </w:rPr>
        <w:t>交易</w:t>
      </w:r>
      <w:r w:rsidRPr="00256C1C">
        <w:rPr>
          <w:rFonts w:asciiTheme="minorEastAsia" w:eastAsiaTheme="minorEastAsia" w:hAnsiTheme="minorEastAsia"/>
          <w:bCs/>
          <w:sz w:val="24"/>
          <w:highlight w:val="white"/>
          <w:lang w:eastAsia="zh-CN"/>
        </w:rPr>
        <w:t>的确认、清算和结算、代理发放红利、建立并保管基金份额持有人名册等</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33</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机构：指办理登记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业务的机构。</w:t>
      </w:r>
      <w:r w:rsidRPr="00256C1C">
        <w:rPr>
          <w:rFonts w:asciiTheme="minorEastAsia" w:eastAsiaTheme="minorEastAsia" w:hAnsiTheme="minorEastAsia" w:hint="eastAsia"/>
          <w:bCs/>
          <w:sz w:val="24"/>
          <w:highlight w:val="white"/>
          <w:lang w:eastAsia="zh-CN"/>
        </w:rPr>
        <w:t>本</w:t>
      </w:r>
      <w:r w:rsidRPr="00256C1C">
        <w:rPr>
          <w:rFonts w:asciiTheme="minorEastAsia" w:eastAsiaTheme="minorEastAsia" w:hAnsiTheme="minorEastAsia"/>
          <w:bCs/>
          <w:sz w:val="24"/>
          <w:highlight w:val="white"/>
          <w:lang w:eastAsia="zh-CN"/>
        </w:rPr>
        <w:t>基金的登记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机构</w:t>
      </w:r>
      <w:r w:rsidRPr="00256C1C">
        <w:rPr>
          <w:rFonts w:asciiTheme="minorEastAsia" w:eastAsiaTheme="minorEastAsia" w:hAnsiTheme="minorEastAsia" w:hint="eastAsia"/>
          <w:bCs/>
          <w:sz w:val="24"/>
          <w:highlight w:val="white"/>
          <w:lang w:eastAsia="zh-CN"/>
        </w:rPr>
        <w:t>是中国证券登记结算有限责任公司</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34</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基金账户：指登记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机构为投资人开立的、记录其持有的、基金管理人所管理的基金份额余额及其变动情况的账户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35、</w:t>
      </w:r>
      <w:r w:rsidRPr="00256C1C">
        <w:rPr>
          <w:rFonts w:asciiTheme="minorEastAsia" w:eastAsiaTheme="minorEastAsia" w:hAnsiTheme="minorEastAsia"/>
          <w:bCs/>
          <w:sz w:val="24"/>
          <w:highlight w:val="white"/>
          <w:lang w:eastAsia="zh-CN"/>
        </w:rPr>
        <w:t>基金合同生效日：指基金募集达到法律法规规定及基金合同规定的条件，基金管理人向中国证监会办理基金备案手续完毕，并获得中国证监会书面确认的日期</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36</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基金合同终止日：指基金合同规定的基金合同终止事由出现后，基金财产清算完毕，清算结果报中国证监会备案并予以公告的日期</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37</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基金募集期：指自基金份额发售之日起至发售结束之日止的期间，最长不得超过</w:t>
      </w:r>
      <w:r w:rsidRPr="00256C1C">
        <w:rPr>
          <w:rFonts w:asciiTheme="minorEastAsia" w:eastAsiaTheme="minorEastAsia" w:hAnsiTheme="minorEastAsia" w:hint="eastAsia"/>
          <w:bCs/>
          <w:sz w:val="24"/>
          <w:highlight w:val="white"/>
          <w:lang w:eastAsia="zh-CN"/>
        </w:rPr>
        <w:t>3</w:t>
      </w:r>
      <w:r w:rsidRPr="00256C1C">
        <w:rPr>
          <w:rFonts w:asciiTheme="minorEastAsia" w:eastAsiaTheme="minorEastAsia" w:hAnsiTheme="minorEastAsia"/>
          <w:bCs/>
          <w:sz w:val="24"/>
          <w:highlight w:val="white"/>
          <w:lang w:eastAsia="zh-CN"/>
        </w:rPr>
        <w:t>个月</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38、</w:t>
      </w:r>
      <w:r w:rsidRPr="00256C1C">
        <w:rPr>
          <w:rFonts w:asciiTheme="minorEastAsia" w:eastAsiaTheme="minorEastAsia" w:hAnsiTheme="minorEastAsia"/>
          <w:bCs/>
          <w:sz w:val="24"/>
          <w:highlight w:val="white"/>
          <w:lang w:eastAsia="zh-CN"/>
        </w:rPr>
        <w:t>存续期：指基金合同生效</w:t>
      </w:r>
      <w:r w:rsidRPr="00256C1C">
        <w:rPr>
          <w:rFonts w:asciiTheme="minorEastAsia" w:eastAsiaTheme="minorEastAsia" w:hAnsiTheme="minorEastAsia" w:hint="eastAsia"/>
          <w:bCs/>
          <w:sz w:val="24"/>
          <w:highlight w:val="white"/>
          <w:lang w:eastAsia="zh-CN"/>
        </w:rPr>
        <w:t>日</w:t>
      </w:r>
      <w:r w:rsidRPr="00256C1C">
        <w:rPr>
          <w:rFonts w:asciiTheme="minorEastAsia" w:eastAsiaTheme="minorEastAsia" w:hAnsiTheme="minorEastAsia"/>
          <w:bCs/>
          <w:sz w:val="24"/>
          <w:highlight w:val="white"/>
          <w:lang w:eastAsia="zh-CN"/>
        </w:rPr>
        <w:t>至终止</w:t>
      </w:r>
      <w:r w:rsidRPr="00256C1C">
        <w:rPr>
          <w:rFonts w:asciiTheme="minorEastAsia" w:eastAsiaTheme="minorEastAsia" w:hAnsiTheme="minorEastAsia" w:hint="eastAsia"/>
          <w:bCs/>
          <w:sz w:val="24"/>
          <w:highlight w:val="white"/>
          <w:lang w:eastAsia="zh-CN"/>
        </w:rPr>
        <w:t>日</w:t>
      </w:r>
      <w:r w:rsidRPr="00256C1C">
        <w:rPr>
          <w:rFonts w:asciiTheme="minorEastAsia" w:eastAsiaTheme="minorEastAsia" w:hAnsiTheme="minorEastAsia"/>
          <w:bCs/>
          <w:sz w:val="24"/>
          <w:highlight w:val="white"/>
          <w:lang w:eastAsia="zh-CN"/>
        </w:rPr>
        <w:t>之间的不定期期限</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39</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工作日：指上海证券交易所、深圳证券交易所的交易日</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40</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T日：指销售机构在规定时间受理投资人申购、赎回或其他业务申请的开放日</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41</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T+n日：指自T日起第n个工作日（不包含T日）</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hint="eastAsia"/>
          <w:sz w:val="24"/>
          <w:highlight w:val="white"/>
          <w:lang w:eastAsia="zh-CN"/>
        </w:rPr>
        <w:t>n为自然数</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42</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开放日：指为投资人办理基金份额申购、赎回或其他业务的工作日</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43</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开放时间：指开放日基金接受申购、赎回或其他交易的时间段</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44、</w:t>
      </w:r>
      <w:r w:rsidRPr="00256C1C">
        <w:rPr>
          <w:rFonts w:asciiTheme="minorEastAsia" w:eastAsiaTheme="minorEastAsia" w:hAnsiTheme="minorEastAsia"/>
          <w:bCs/>
          <w:sz w:val="24"/>
          <w:highlight w:val="white"/>
          <w:lang w:eastAsia="zh-CN"/>
        </w:rPr>
        <w:t>《业务规则》：指</w:t>
      </w:r>
      <w:r w:rsidRPr="00256C1C">
        <w:rPr>
          <w:rFonts w:asciiTheme="minorEastAsia" w:eastAsiaTheme="minorEastAsia" w:hAnsiTheme="minorEastAsia" w:hint="eastAsia"/>
          <w:bCs/>
          <w:sz w:val="24"/>
          <w:highlight w:val="white"/>
          <w:lang w:eastAsia="zh-CN"/>
        </w:rPr>
        <w:t>上海证券交易所、登记结算机构、基金管理人及基金销售机构的相关业务规则及其不时做出的修订</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45</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认购：指在基金募集期内，投资人根据基金合同和招募说明书</w:t>
      </w:r>
      <w:r w:rsidRPr="00256C1C">
        <w:rPr>
          <w:rFonts w:asciiTheme="minorEastAsia" w:eastAsiaTheme="minorEastAsia" w:hAnsiTheme="minorEastAsia" w:hint="eastAsia"/>
          <w:bCs/>
          <w:sz w:val="24"/>
          <w:highlight w:val="white"/>
          <w:lang w:eastAsia="zh-CN"/>
        </w:rPr>
        <w:t>的规定</w:t>
      </w:r>
      <w:r w:rsidRPr="00256C1C">
        <w:rPr>
          <w:rFonts w:asciiTheme="minorEastAsia" w:eastAsiaTheme="minorEastAsia" w:hAnsiTheme="minorEastAsia"/>
          <w:bCs/>
          <w:sz w:val="24"/>
          <w:highlight w:val="white"/>
          <w:lang w:eastAsia="zh-CN"/>
        </w:rPr>
        <w:t>申请购买基金份额的行为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46</w:t>
      </w:r>
      <w:r w:rsidRPr="00256C1C">
        <w:rPr>
          <w:rFonts w:asciiTheme="minorEastAsia" w:eastAsiaTheme="minorEastAsia" w:hAnsiTheme="minorEastAsia" w:hint="eastAsia"/>
          <w:bCs/>
          <w:sz w:val="24"/>
          <w:highlight w:val="white"/>
          <w:lang w:eastAsia="zh-CN"/>
        </w:rPr>
        <w:t>、发售：指在本基金募集期内，销售机构向投资人销售本基金基金份额的行为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47</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申购：指基金合同生效后，投资人根据基金合同和招募说明书规定</w:t>
      </w:r>
      <w:r w:rsidRPr="00256C1C">
        <w:rPr>
          <w:rFonts w:asciiTheme="minorEastAsia" w:eastAsiaTheme="minorEastAsia" w:hAnsiTheme="minorEastAsia" w:hint="eastAsia"/>
          <w:bCs/>
          <w:sz w:val="24"/>
          <w:highlight w:val="white"/>
          <w:lang w:eastAsia="zh-CN"/>
        </w:rPr>
        <w:t>的条件，以基金合同规定的对价向基金管理人</w:t>
      </w:r>
      <w:r w:rsidRPr="00256C1C">
        <w:rPr>
          <w:rFonts w:asciiTheme="minorEastAsia" w:eastAsiaTheme="minorEastAsia" w:hAnsiTheme="minorEastAsia"/>
          <w:bCs/>
          <w:sz w:val="24"/>
          <w:highlight w:val="white"/>
          <w:lang w:eastAsia="zh-CN"/>
        </w:rPr>
        <w:t>购买基金份额的行为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48</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赎回：指基金合同生效后，基金份额持有人按基金合同和招募说明书规定的条件</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要求将基金份额兑换为</w:t>
      </w:r>
      <w:r w:rsidRPr="00256C1C">
        <w:rPr>
          <w:rFonts w:asciiTheme="minorEastAsia" w:eastAsiaTheme="minorEastAsia" w:hAnsiTheme="minorEastAsia" w:hint="eastAsia"/>
          <w:bCs/>
          <w:sz w:val="24"/>
          <w:highlight w:val="white"/>
          <w:lang w:eastAsia="zh-CN"/>
        </w:rPr>
        <w:t>基金合同所规定对价</w:t>
      </w:r>
      <w:r w:rsidRPr="00256C1C">
        <w:rPr>
          <w:rFonts w:asciiTheme="minorEastAsia" w:eastAsiaTheme="minorEastAsia" w:hAnsiTheme="minorEastAsia"/>
          <w:bCs/>
          <w:sz w:val="24"/>
          <w:highlight w:val="white"/>
          <w:lang w:eastAsia="zh-CN"/>
        </w:rPr>
        <w:t>的行为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49</w:t>
      </w:r>
      <w:r w:rsidRPr="00256C1C">
        <w:rPr>
          <w:rFonts w:asciiTheme="minorEastAsia" w:eastAsiaTheme="minorEastAsia" w:hAnsiTheme="minorEastAsia" w:hint="eastAsia"/>
          <w:bCs/>
          <w:sz w:val="24"/>
          <w:highlight w:val="white"/>
          <w:lang w:eastAsia="zh-CN"/>
        </w:rPr>
        <w:t>、申购赎回清单：指由基金管理人编制的用以公告申购对价、赎回对价等信息的文件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50</w:t>
      </w:r>
      <w:r w:rsidRPr="00256C1C">
        <w:rPr>
          <w:rFonts w:asciiTheme="minorEastAsia" w:eastAsiaTheme="minorEastAsia" w:hAnsiTheme="minorEastAsia" w:hint="eastAsia"/>
          <w:bCs/>
          <w:sz w:val="24"/>
          <w:highlight w:val="white"/>
          <w:lang w:eastAsia="zh-CN"/>
        </w:rPr>
        <w:t>、申购对价：指投资人申购基金份额时，按基金合同和招募说明书规定应交付的组合证券、现金替代、现金差额及其他对价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51</w:t>
      </w:r>
      <w:r w:rsidRPr="00256C1C">
        <w:rPr>
          <w:rFonts w:asciiTheme="minorEastAsia" w:eastAsiaTheme="minorEastAsia" w:hAnsiTheme="minorEastAsia" w:hint="eastAsia"/>
          <w:bCs/>
          <w:sz w:val="24"/>
          <w:highlight w:val="white"/>
          <w:lang w:eastAsia="zh-CN"/>
        </w:rPr>
        <w:t>、赎回对价：指基金份额持有人赎回基金份额时，基金管理人按基金合同和招募说明书规定应交付给赎回人的组合证券、现金替代、现金差额及其他对价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52</w:t>
      </w:r>
      <w:r w:rsidRPr="00256C1C">
        <w:rPr>
          <w:rFonts w:asciiTheme="minorEastAsia" w:eastAsiaTheme="minorEastAsia" w:hAnsiTheme="minorEastAsia" w:hint="eastAsia"/>
          <w:bCs/>
          <w:sz w:val="24"/>
          <w:highlight w:val="white"/>
          <w:lang w:eastAsia="zh-CN"/>
        </w:rPr>
        <w:t>、组合证券：指本基金标的指数所包含的全部或部分证券</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53</w:t>
      </w:r>
      <w:r w:rsidRPr="00256C1C">
        <w:rPr>
          <w:rFonts w:asciiTheme="minorEastAsia" w:eastAsiaTheme="minorEastAsia" w:hAnsiTheme="minorEastAsia" w:hint="eastAsia"/>
          <w:bCs/>
          <w:sz w:val="24"/>
          <w:highlight w:val="white"/>
          <w:lang w:eastAsia="zh-CN"/>
        </w:rPr>
        <w:t>、现金替代：指申购、赎回过程中，投资人按基金合同和招募说明书的规定，用于替代组合证券中部分证券的一定数量的现金</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54</w:t>
      </w:r>
      <w:r w:rsidRPr="00256C1C">
        <w:rPr>
          <w:rFonts w:asciiTheme="minorEastAsia" w:eastAsiaTheme="minorEastAsia" w:hAnsiTheme="minorEastAsia" w:hint="eastAsia"/>
          <w:bCs/>
          <w:sz w:val="24"/>
          <w:highlight w:val="white"/>
          <w:lang w:eastAsia="zh-CN"/>
        </w:rPr>
        <w:t>、现金差额：指最小申购、赎回单位的资产净值与按T日收盘价计算的最小申购、赎回单位中的组合证券市值和现金替代之差；投资者申购、赎回时应支付或应获得的现金差额根据最小申购、赎回单位对应的现金差额、申购或赎回的基金份额数计算</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55、预估现金部分：指由基金管理人估计并在T日申购赎回清单中公布的当日现金差额的估计值，</w:t>
      </w:r>
      <w:r w:rsidRPr="00256C1C">
        <w:rPr>
          <w:rFonts w:asciiTheme="minorEastAsia" w:eastAsiaTheme="minorEastAsia" w:hAnsiTheme="minorEastAsia"/>
          <w:bCs/>
          <w:sz w:val="24"/>
          <w:highlight w:val="white"/>
          <w:lang w:eastAsia="zh-CN"/>
        </w:rPr>
        <w:t>预估现金部分由申购赎回代理券商预先冻结</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56</w:t>
      </w:r>
      <w:r w:rsidRPr="00256C1C">
        <w:rPr>
          <w:rFonts w:asciiTheme="minorEastAsia" w:eastAsiaTheme="minorEastAsia" w:hAnsiTheme="minorEastAsia" w:hint="eastAsia"/>
          <w:bCs/>
          <w:sz w:val="24"/>
          <w:highlight w:val="white"/>
          <w:lang w:eastAsia="zh-CN"/>
        </w:rPr>
        <w:t>、最小申购、赎回单位：指本基金申购、赎回份额的最低数量，投资人申购、赎回的基金份额应为最小申购、赎回单位的整数倍</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57</w:t>
      </w:r>
      <w:r w:rsidRPr="00256C1C">
        <w:rPr>
          <w:rFonts w:asciiTheme="minorEastAsia" w:eastAsiaTheme="minorEastAsia" w:hAnsiTheme="minorEastAsia" w:hint="eastAsia"/>
          <w:bCs/>
          <w:sz w:val="24"/>
          <w:highlight w:val="white"/>
          <w:lang w:eastAsia="zh-CN"/>
        </w:rPr>
        <w:t>、基金份额参考净值：指基金管理人或基金管理人委托的机构在开市后根据申购赎回清单和组合证券内各只证券的实时成交数据计算，并通过上海证券交易所发布的基金份额参考净值，简称“IOPV”</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58</w:t>
      </w:r>
      <w:r w:rsidRPr="00256C1C">
        <w:rPr>
          <w:rFonts w:asciiTheme="minorEastAsia" w:eastAsiaTheme="minorEastAsia" w:hAnsiTheme="minorEastAsia" w:hint="eastAsia"/>
          <w:bCs/>
          <w:sz w:val="24"/>
          <w:highlight w:val="white"/>
          <w:lang w:eastAsia="zh-CN"/>
        </w:rPr>
        <w:t>、基金份额折算：指基金管理人根据基金运作的需要，在基金资产净值不变的前提下，按照一定比例调整基金份额总额及基金份额净值</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59、</w:t>
      </w:r>
      <w:r w:rsidRPr="00256C1C">
        <w:rPr>
          <w:rFonts w:asciiTheme="minorEastAsia" w:eastAsiaTheme="minorEastAsia" w:hAnsiTheme="minorEastAsia"/>
          <w:bCs/>
          <w:sz w:val="24"/>
          <w:highlight w:val="white"/>
          <w:lang w:eastAsia="zh-CN"/>
        </w:rPr>
        <w:t>元：指人民币元</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60</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基金收益：指基金投资所得红利、股息、债券利息、买卖证券价差、银行存款利息、已实现的其他合法收入及因运用基金财产带来的成本和费用的节约</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61</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基金资产总值：指基金拥有的各类有价证券、银行存款本息、基金应收申购款及其他资产的价值总和</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62</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基金资产净值：指基金资产总值减去基金负债后的价值</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63</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基金份额净值：指计算日基金资产净值除以计算日基金份额总数</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64</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基金资产估值：指计算评估基金资产和负债的价值，以确定基金资产净值和基金份额净值的过程</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bCs/>
          <w:sz w:val="24"/>
          <w:highlight w:val="white"/>
          <w:lang w:eastAsia="zh-CN"/>
        </w:rPr>
        <w:t>65</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hint="eastAsia"/>
          <w:sz w:val="24"/>
          <w:highlight w:val="white"/>
          <w:lang w:eastAsia="zh-CN"/>
        </w:rPr>
        <w:t>规定媒介：指符合中国证监会规定条件的全国性报刊（以下简称规定报刊）及《信息披露办法》规定的互联网网站（以下简称规定网站，包括基金管理人网站、基金托管人网站、中国证监会基金电子披露网站）等媒介</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sz w:val="24"/>
          <w:highlight w:val="white"/>
          <w:lang w:eastAsia="zh-CN"/>
        </w:rPr>
        <w:t>66</w:t>
      </w:r>
      <w:r w:rsidRPr="00256C1C">
        <w:rPr>
          <w:rFonts w:asciiTheme="minorEastAsia" w:eastAsiaTheme="minorEastAsia" w:hAnsiTheme="minorEastAsia" w:hint="eastAsia"/>
          <w:sz w:val="24"/>
          <w:highlight w:val="white"/>
          <w:lang w:eastAsia="zh-CN"/>
        </w:rPr>
        <w:t>、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bCs/>
          <w:sz w:val="24"/>
          <w:highlight w:val="white"/>
          <w:lang w:eastAsia="zh-CN"/>
        </w:rPr>
        <w:t>67</w:t>
      </w:r>
      <w:r w:rsidRPr="00256C1C">
        <w:rPr>
          <w:rFonts w:asciiTheme="minorEastAsia" w:eastAsiaTheme="minorEastAsia" w:hAnsiTheme="minorEastAsia" w:hint="eastAsia"/>
          <w:bCs/>
          <w:sz w:val="24"/>
          <w:highlight w:val="white"/>
          <w:lang w:eastAsia="zh-CN"/>
        </w:rPr>
        <w:t>、转融通证券出借业务：指本基金以一定费率通过证券交易所综合业务平台向中国证券金融股份有限公司出借证券，中国证券金融股份有限公司到期归还所借证券及相应权益补偿并支付费用的业务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sz w:val="24"/>
          <w:highlight w:val="white"/>
          <w:lang w:eastAsia="zh-CN"/>
        </w:rPr>
        <w:t>68</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不可抗力：指本</w:t>
      </w:r>
      <w:r w:rsidRPr="00256C1C">
        <w:rPr>
          <w:rFonts w:asciiTheme="minorEastAsia" w:eastAsiaTheme="minorEastAsia" w:hAnsiTheme="minorEastAsia" w:hint="eastAsia"/>
          <w:bCs/>
          <w:sz w:val="24"/>
          <w:highlight w:val="white"/>
          <w:lang w:eastAsia="zh-CN"/>
        </w:rPr>
        <w:t>基金</w:t>
      </w:r>
      <w:r w:rsidRPr="00256C1C">
        <w:rPr>
          <w:rFonts w:asciiTheme="minorEastAsia" w:eastAsiaTheme="minorEastAsia" w:hAnsiTheme="minorEastAsia"/>
          <w:bCs/>
          <w:sz w:val="24"/>
          <w:highlight w:val="white"/>
          <w:lang w:eastAsia="zh-CN"/>
        </w:rPr>
        <w:t>合同当事人不能预见、不能避免且不能克服的客观事件</w:t>
      </w: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highlight w:val="white"/>
          <w:lang w:eastAsia="zh-CN"/>
        </w:rPr>
        <w:br w:type="page"/>
      </w:r>
      <w:bookmarkStart w:id="61" w:name="_Toc545"/>
      <w:bookmarkStart w:id="62" w:name="_Toc20318"/>
      <w:bookmarkStart w:id="63" w:name="_Toc446339241"/>
      <w:bookmarkStart w:id="64" w:name="_Toc5246"/>
      <w:bookmarkStart w:id="65" w:name="_Toc733"/>
      <w:bookmarkStart w:id="66" w:name="_Toc6683"/>
      <w:bookmarkStart w:id="67" w:name="_Toc13288"/>
      <w:bookmarkStart w:id="68" w:name="_Toc18631"/>
      <w:bookmarkStart w:id="69" w:name="_Toc6149"/>
      <w:bookmarkStart w:id="70" w:name="_Toc24571"/>
      <w:bookmarkStart w:id="71" w:name="_Toc20627"/>
      <w:bookmarkStart w:id="72" w:name="_Toc22708"/>
      <w:bookmarkStart w:id="73" w:name="_Toc129511037"/>
      <w:r w:rsidRPr="00256C1C">
        <w:rPr>
          <w:rFonts w:asciiTheme="minorEastAsia" w:eastAsiaTheme="minorEastAsia" w:hAnsiTheme="minorEastAsia" w:cs="宋体" w:hint="eastAsia"/>
          <w:sz w:val="30"/>
          <w:highlight w:val="white"/>
          <w:lang w:eastAsia="zh-CN"/>
        </w:rPr>
        <w:t>第三</w:t>
      </w:r>
      <w:r w:rsidRPr="00256C1C">
        <w:rPr>
          <w:rFonts w:asciiTheme="minorEastAsia" w:eastAsiaTheme="minorEastAsia" w:hAnsiTheme="minorEastAsia" w:cs="宋体" w:hint="eastAsia"/>
          <w:color w:val="auto"/>
          <w:sz w:val="30"/>
          <w:highlight w:val="white"/>
          <w:lang w:eastAsia="zh-CN"/>
        </w:rPr>
        <w:t>部分</w:t>
      </w:r>
      <w:r w:rsidRPr="00256C1C">
        <w:rPr>
          <w:rFonts w:asciiTheme="minorEastAsia" w:eastAsiaTheme="minorEastAsia" w:hAnsiTheme="minorEastAsia" w:cs="宋体"/>
          <w:color w:val="auto"/>
          <w:sz w:val="30"/>
          <w:highlight w:val="white"/>
          <w:lang w:eastAsia="zh-CN"/>
        </w:rPr>
        <w:t xml:space="preserve"> </w:t>
      </w:r>
      <w:r w:rsidRPr="00256C1C">
        <w:rPr>
          <w:rFonts w:asciiTheme="minorEastAsia" w:eastAsiaTheme="minorEastAsia" w:hAnsiTheme="minorEastAsia" w:cs="宋体" w:hint="eastAsia"/>
          <w:color w:val="auto"/>
          <w:sz w:val="30"/>
          <w:highlight w:val="white"/>
          <w:lang w:eastAsia="zh-CN"/>
        </w:rPr>
        <w:t>基金的基本情况</w:t>
      </w:r>
      <w:bookmarkStart w:id="74" w:name="_Toc79392573"/>
      <w:bookmarkEnd w:id="61"/>
      <w:bookmarkEnd w:id="62"/>
      <w:bookmarkEnd w:id="63"/>
      <w:bookmarkEnd w:id="64"/>
      <w:bookmarkEnd w:id="65"/>
      <w:bookmarkEnd w:id="66"/>
      <w:bookmarkEnd w:id="67"/>
      <w:bookmarkEnd w:id="68"/>
      <w:bookmarkEnd w:id="69"/>
      <w:bookmarkEnd w:id="70"/>
      <w:bookmarkEnd w:id="71"/>
      <w:bookmarkEnd w:id="72"/>
      <w:bookmarkEnd w:id="73"/>
    </w:p>
    <w:p w:rsidR="00C57945" w:rsidRPr="00256C1C">
      <w:pPr>
        <w:spacing w:line="360" w:lineRule="auto"/>
        <w:rPr>
          <w:rFonts w:asciiTheme="minorEastAsia" w:eastAsiaTheme="minorEastAsia" w:hAnsiTheme="minorEastAsia"/>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bookmarkStart w:id="75" w:name="_Hlt88031774"/>
      <w:bookmarkEnd w:id="75"/>
      <w:r w:rsidRPr="00256C1C">
        <w:rPr>
          <w:rFonts w:asciiTheme="minorEastAsia" w:eastAsiaTheme="minorEastAsia" w:hAnsiTheme="minorEastAsia" w:cs="宋体" w:hint="eastAsia"/>
          <w:sz w:val="24"/>
          <w:szCs w:val="24"/>
          <w:highlight w:val="white"/>
          <w:lang w:eastAsia="zh-CN"/>
        </w:rPr>
        <w:t>一、基金名称</w:t>
      </w:r>
      <w:bookmarkEnd w:id="74"/>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lang w:eastAsia="zh-CN"/>
        </w:rPr>
        <w:t>易方达中证全指通信设备交易型开放式指数证券投资基金</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bookmarkStart w:id="76" w:name="_Toc79392574"/>
      <w:r w:rsidRPr="00256C1C">
        <w:rPr>
          <w:rFonts w:asciiTheme="minorEastAsia" w:eastAsiaTheme="minorEastAsia" w:hAnsiTheme="minorEastAsia" w:cs="宋体" w:hint="eastAsia"/>
          <w:sz w:val="24"/>
          <w:szCs w:val="24"/>
          <w:highlight w:val="white"/>
          <w:lang w:eastAsia="zh-CN"/>
        </w:rPr>
        <w:t>二、基金的类别</w:t>
      </w:r>
      <w:bookmarkEnd w:id="76"/>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股票型证券投资基金、指数基金</w:t>
      </w:r>
    </w:p>
    <w:p w:rsidR="00C57945" w:rsidRPr="00256C1C">
      <w:pPr>
        <w:spacing w:line="360" w:lineRule="auto"/>
        <w:ind w:left="796" w:hanging="256"/>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bookmarkStart w:id="77" w:name="_Toc79392575"/>
      <w:r w:rsidRPr="00256C1C">
        <w:rPr>
          <w:rFonts w:asciiTheme="minorEastAsia" w:eastAsiaTheme="minorEastAsia" w:hAnsiTheme="minorEastAsia" w:cs="宋体" w:hint="eastAsia"/>
          <w:sz w:val="24"/>
          <w:szCs w:val="24"/>
          <w:highlight w:val="white"/>
          <w:lang w:eastAsia="zh-CN"/>
        </w:rPr>
        <w:t>三、基金的运作方式</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lang w:eastAsia="zh-CN"/>
        </w:rPr>
        <w:t>交易型开放式</w:t>
      </w:r>
    </w:p>
    <w:p w:rsidR="00C57945" w:rsidRPr="00256C1C">
      <w:pPr>
        <w:spacing w:line="360" w:lineRule="auto"/>
        <w:ind w:left="796" w:hanging="256"/>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四</w:t>
      </w: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cs="宋体" w:hint="eastAsia"/>
          <w:sz w:val="24"/>
          <w:szCs w:val="24"/>
          <w:highlight w:val="white"/>
          <w:lang w:eastAsia="zh-CN"/>
        </w:rPr>
        <w:t>基金的投资目标</w:t>
      </w:r>
      <w:bookmarkEnd w:id="77"/>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紧密跟踪标的指数，追求跟踪偏离度和跟踪误差的最小化。</w:t>
      </w:r>
    </w:p>
    <w:p w:rsidR="00C57945" w:rsidRPr="00256C1C">
      <w:pPr>
        <w:spacing w:line="360" w:lineRule="auto"/>
        <w:ind w:firstLine="480" w:firstLineChars="200"/>
        <w:rPr>
          <w:rFonts w:asciiTheme="minorEastAsia" w:eastAsiaTheme="minorEastAsia" w:hAnsiTheme="minorEastAsia" w:cs="宋体"/>
          <w:sz w:val="24"/>
          <w:szCs w:val="24"/>
          <w:lang w:eastAsia="zh-CN"/>
        </w:rPr>
      </w:pP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hint="eastAsia"/>
          <w:sz w:val="24"/>
          <w:szCs w:val="24"/>
          <w:highlight w:val="white"/>
          <w:lang w:eastAsia="zh-CN"/>
        </w:rPr>
        <w:t>五、</w:t>
      </w:r>
      <w:r w:rsidRPr="00256C1C">
        <w:rPr>
          <w:rFonts w:asciiTheme="minorEastAsia" w:eastAsiaTheme="minorEastAsia" w:hAnsiTheme="minorEastAsia"/>
          <w:bCs/>
          <w:sz w:val="24"/>
          <w:highlight w:val="white"/>
          <w:lang w:eastAsia="zh-CN"/>
        </w:rPr>
        <w:t>标的指数</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sz w:val="24"/>
          <w:szCs w:val="24"/>
          <w:lang w:eastAsia="zh-CN"/>
        </w:rPr>
        <w:t>中证全指通信设备指数</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bookmarkStart w:id="78" w:name="_Toc79392576"/>
      <w:r w:rsidRPr="00256C1C">
        <w:rPr>
          <w:rFonts w:asciiTheme="minorEastAsia" w:eastAsiaTheme="minorEastAsia" w:hAnsiTheme="minorEastAsia" w:cs="宋体" w:hint="eastAsia"/>
          <w:sz w:val="24"/>
          <w:szCs w:val="24"/>
          <w:highlight w:val="white"/>
          <w:lang w:eastAsia="zh-CN"/>
        </w:rPr>
        <w:t>六、基金的最低募集份额总额</w:t>
      </w:r>
      <w:bookmarkEnd w:id="78"/>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本基金的最低募集份额总额为2亿份。</w:t>
      </w:r>
    </w:p>
    <w:p w:rsidR="00C57945" w:rsidRPr="00256C1C">
      <w:pPr>
        <w:spacing w:line="360" w:lineRule="auto"/>
        <w:ind w:firstLine="480"/>
        <w:rPr>
          <w:rFonts w:asciiTheme="minorEastAsia" w:eastAsiaTheme="minorEastAsia" w:hAnsiTheme="minorEastAsia" w:cs="宋体"/>
          <w:bCs/>
          <w:sz w:val="24"/>
          <w:szCs w:val="24"/>
          <w:lang w:eastAsia="zh-CN"/>
        </w:rPr>
      </w:pPr>
    </w:p>
    <w:p w:rsidR="00C57945" w:rsidRPr="00256C1C">
      <w:pPr>
        <w:spacing w:line="360" w:lineRule="auto"/>
        <w:ind w:firstLine="480"/>
        <w:rPr>
          <w:rFonts w:asciiTheme="minorEastAsia" w:eastAsiaTheme="minorEastAsia" w:hAnsiTheme="minorEastAsia" w:cs="宋体"/>
          <w:bCs/>
          <w:sz w:val="24"/>
          <w:szCs w:val="24"/>
          <w:lang w:eastAsia="zh-CN"/>
        </w:rPr>
      </w:pPr>
      <w:bookmarkStart w:id="79" w:name="_Toc79392577"/>
      <w:r w:rsidRPr="00256C1C">
        <w:rPr>
          <w:rFonts w:asciiTheme="minorEastAsia" w:eastAsiaTheme="minorEastAsia" w:hAnsiTheme="minorEastAsia" w:cs="宋体" w:hint="eastAsia"/>
          <w:sz w:val="24"/>
          <w:szCs w:val="24"/>
          <w:highlight w:val="white"/>
          <w:lang w:eastAsia="zh-CN"/>
        </w:rPr>
        <w:t>七、基金</w:t>
      </w:r>
      <w:r w:rsidRPr="00256C1C">
        <w:rPr>
          <w:rFonts w:asciiTheme="minorEastAsia" w:eastAsiaTheme="minorEastAsia" w:hAnsiTheme="minorEastAsia" w:cs="宋体" w:hint="eastAsia"/>
          <w:bCs/>
          <w:sz w:val="24"/>
          <w:szCs w:val="24"/>
          <w:highlight w:val="white"/>
          <w:lang w:eastAsia="zh-CN"/>
        </w:rPr>
        <w:t>份额面值</w:t>
      </w:r>
      <w:bookmarkEnd w:id="79"/>
      <w:r w:rsidRPr="00256C1C">
        <w:rPr>
          <w:rFonts w:asciiTheme="minorEastAsia" w:eastAsiaTheme="minorEastAsia" w:hAnsiTheme="minorEastAsia" w:cs="宋体" w:hint="eastAsia"/>
          <w:bCs/>
          <w:sz w:val="24"/>
          <w:szCs w:val="24"/>
          <w:highlight w:val="white"/>
          <w:lang w:eastAsia="zh-CN"/>
        </w:rPr>
        <w:t>和认购费用</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本基金基金份额发售面值为人民币</w:t>
      </w:r>
      <w:r w:rsidRPr="00256C1C">
        <w:rPr>
          <w:rFonts w:asciiTheme="minorEastAsia" w:eastAsiaTheme="minorEastAsia" w:hAnsiTheme="minorEastAsia" w:cs="宋体"/>
          <w:bCs/>
          <w:sz w:val="24"/>
          <w:szCs w:val="24"/>
          <w:highlight w:val="white"/>
          <w:lang w:eastAsia="zh-CN"/>
        </w:rPr>
        <w:t>1.00</w:t>
      </w:r>
      <w:r w:rsidRPr="00256C1C">
        <w:rPr>
          <w:rFonts w:asciiTheme="minorEastAsia" w:eastAsiaTheme="minorEastAsia" w:hAnsiTheme="minorEastAsia" w:cs="宋体" w:hint="eastAsia"/>
          <w:bCs/>
          <w:sz w:val="24"/>
          <w:szCs w:val="24"/>
          <w:highlight w:val="white"/>
          <w:lang w:eastAsia="zh-CN"/>
        </w:rPr>
        <w:t>元。</w:t>
      </w:r>
    </w:p>
    <w:p w:rsidR="00C57945" w:rsidRPr="00256C1C">
      <w:pPr>
        <w:spacing w:line="360" w:lineRule="auto"/>
        <w:ind w:firstLine="480"/>
        <w:jc w:val="left"/>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本基金认购费率按招募说明书的规定执行。</w:t>
      </w:r>
    </w:p>
    <w:p w:rsidR="00C57945" w:rsidRPr="00256C1C">
      <w:pPr>
        <w:spacing w:line="360" w:lineRule="auto"/>
        <w:ind w:firstLine="480"/>
        <w:jc w:val="left"/>
        <w:rPr>
          <w:rFonts w:asciiTheme="minorEastAsia" w:eastAsiaTheme="minorEastAsia" w:hAnsiTheme="minorEastAsia" w:cs="宋体"/>
          <w:bCs/>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bookmarkStart w:id="80" w:name="_Toc79392578"/>
      <w:r w:rsidRPr="00256C1C">
        <w:rPr>
          <w:rFonts w:asciiTheme="minorEastAsia" w:eastAsiaTheme="minorEastAsia" w:hAnsiTheme="minorEastAsia" w:cs="宋体" w:hint="eastAsia"/>
          <w:bCs/>
          <w:sz w:val="24"/>
          <w:szCs w:val="24"/>
          <w:highlight w:val="white"/>
          <w:lang w:eastAsia="zh-CN"/>
        </w:rPr>
        <w:t>八、基金</w:t>
      </w:r>
      <w:r w:rsidRPr="00256C1C">
        <w:rPr>
          <w:rFonts w:asciiTheme="minorEastAsia" w:eastAsiaTheme="minorEastAsia" w:hAnsiTheme="minorEastAsia" w:cs="宋体" w:hint="eastAsia"/>
          <w:sz w:val="24"/>
          <w:szCs w:val="24"/>
          <w:highlight w:val="white"/>
          <w:lang w:eastAsia="zh-CN"/>
        </w:rPr>
        <w:t>存续期限</w:t>
      </w:r>
      <w:bookmarkEnd w:id="80"/>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不定期</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九、</w:t>
      </w:r>
      <w:r w:rsidRPr="00256C1C">
        <w:rPr>
          <w:rFonts w:asciiTheme="minorEastAsia" w:eastAsiaTheme="minorEastAsia" w:hAnsiTheme="minorEastAsia" w:hint="eastAsia"/>
          <w:bCs/>
          <w:sz w:val="24"/>
          <w:highlight w:val="white"/>
          <w:lang w:eastAsia="zh-CN"/>
        </w:rPr>
        <w:t>发行联接基金或增设新的份额类别</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hint="eastAsia"/>
          <w:bCs/>
          <w:sz w:val="24"/>
          <w:highlight w:val="white"/>
          <w:lang w:eastAsia="zh-CN"/>
        </w:rPr>
        <w:t>在不违反法律法规及对基金份额持有人利益无实质不利影响的前提下，基金管理人可根据基金发展需要，募集并管理以本基金为目标ETF的一只或多只联接基金，或为本基金增设新的份额类别，或开通场外申购、赎回等相关业务并制定、公布相应的交易规则等，而无需召开基金份额持有人大会审议。</w:t>
      </w:r>
    </w:p>
    <w:p w:rsidR="00C57945" w:rsidRPr="00256C1C">
      <w:pPr>
        <w:pStyle w:val="Heading1"/>
        <w:spacing w:before="0" w:after="0"/>
        <w:ind w:firstLine="525"/>
        <w:jc w:val="center"/>
        <w:rPr>
          <w:rFonts w:asciiTheme="minorEastAsia" w:eastAsiaTheme="minorEastAsia" w:hAnsiTheme="minorEastAsia" w:cs="宋体"/>
          <w:b w:val="0"/>
          <w:sz w:val="30"/>
          <w:lang w:eastAsia="zh-CN"/>
        </w:rPr>
      </w:pPr>
      <w:r w:rsidRPr="00256C1C">
        <w:rPr>
          <w:rFonts w:asciiTheme="minorEastAsia" w:eastAsiaTheme="minorEastAsia" w:hAnsiTheme="minorEastAsia" w:cs="宋体"/>
          <w:b w:val="0"/>
          <w:color w:val="auto"/>
          <w:sz w:val="21"/>
          <w:highlight w:val="white"/>
          <w:lang w:eastAsia="zh-CN"/>
        </w:rPr>
        <w:br w:type="page"/>
      </w:r>
      <w:bookmarkStart w:id="81" w:name="_Toc27189"/>
      <w:bookmarkStart w:id="82" w:name="_Toc90742688"/>
      <w:bookmarkStart w:id="83" w:name="_Toc3266"/>
      <w:bookmarkStart w:id="84" w:name="_Toc6714"/>
      <w:bookmarkStart w:id="85" w:name="_Toc90742321"/>
      <w:bookmarkStart w:id="86" w:name="_Toc22074"/>
      <w:bookmarkStart w:id="87" w:name="_Toc90742390"/>
      <w:bookmarkStart w:id="88" w:name="_Toc29784"/>
      <w:bookmarkStart w:id="89" w:name="_Toc7151"/>
      <w:bookmarkStart w:id="90" w:name="_Toc15203"/>
      <w:bookmarkStart w:id="91" w:name="_Toc27226"/>
      <w:bookmarkStart w:id="92" w:name="_Toc446339242"/>
      <w:bookmarkStart w:id="93" w:name="_Toc24682"/>
      <w:bookmarkStart w:id="94" w:name="_Toc16265"/>
      <w:bookmarkStart w:id="95" w:name="_Toc29948"/>
      <w:bookmarkStart w:id="96" w:name="_Toc129511038"/>
      <w:r w:rsidRPr="00256C1C">
        <w:rPr>
          <w:rFonts w:asciiTheme="minorEastAsia" w:eastAsiaTheme="minorEastAsia" w:hAnsiTheme="minorEastAsia" w:cs="宋体" w:hint="eastAsia"/>
          <w:color w:val="auto"/>
          <w:sz w:val="30"/>
          <w:highlight w:val="white"/>
          <w:lang w:eastAsia="zh-CN"/>
        </w:rPr>
        <w:t>第四部分 基金份额的发售</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C57945" w:rsidRPr="00256C1C">
      <w:pPr>
        <w:spacing w:line="360" w:lineRule="auto"/>
        <w:ind w:firstLine="42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一、基金份额的发售时间、发售方式、发售对象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、发售时间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自基金份额发售之日起最长不得超过</w:t>
      </w: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个月，具体发售时间见基金份额发售公告。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、发售方式</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hint="eastAsia"/>
          <w:bCs/>
          <w:sz w:val="24"/>
          <w:highlight w:val="white"/>
          <w:lang w:eastAsia="zh-CN"/>
        </w:rPr>
        <w:t>投资人可选择网上现金认购、网下现金认购和网下股票认购三种方式。网上现金认购是指投资人通过具有基金销售业务资格的上海证券交易所会员用上海证券交易所网上系统以现金进行的认购；网下现金认购是指投资人通过基金管理人及其指定的发售代理机构以现金进行的认购；网下股票认购是指投资人通过基金管理人及其指定的发售代理机构以股票进行的认购</w:t>
      </w:r>
      <w:r w:rsidRPr="00256C1C">
        <w:rPr>
          <w:rFonts w:asciiTheme="minorEastAsia" w:eastAsiaTheme="minorEastAsia" w:hAnsiTheme="minorEastAsia" w:cs="宋体" w:hint="eastAsia"/>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本基金将通过基金销售机构公开发售。基金销售机构对认购申请的受理并不代表该申请一定成功，而仅代表销售机构确实接收到认购申请。认购的确认以登记结算机构的确认结果为准。</w:t>
      </w:r>
      <w:r w:rsidRPr="00256C1C">
        <w:rPr>
          <w:rFonts w:asciiTheme="minorEastAsia" w:eastAsiaTheme="minorEastAsia" w:hAnsiTheme="minorEastAsia" w:cs="宋体"/>
          <w:bCs/>
          <w:sz w:val="24"/>
          <w:szCs w:val="24"/>
          <w:highlight w:val="white"/>
          <w:lang w:eastAsia="zh-CN"/>
        </w:rPr>
        <w:t>对于认购申请和认购份额的确认情况，</w:t>
      </w:r>
      <w:r w:rsidRPr="00256C1C">
        <w:rPr>
          <w:rFonts w:asciiTheme="minorEastAsia" w:eastAsiaTheme="minorEastAsia" w:hAnsiTheme="minorEastAsia" w:cs="宋体" w:hint="eastAsia"/>
          <w:bCs/>
          <w:sz w:val="24"/>
          <w:szCs w:val="24"/>
          <w:highlight w:val="white"/>
          <w:lang w:eastAsia="zh-CN"/>
        </w:rPr>
        <w:t>投资人应及时查询并妥善行使合法权利</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、发售对象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符合法律法规规定的可投资于证券投资基金的个人投资者、机构投资者、合格境外投资者以及法律法规或中国证监会允许购买证券投资基金的其他投资人。</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二、基金份额的认购</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、认购费用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本基金的认购费率由基金管理人决定，并在招募说明书中列示。基金认购费用不列入基金财产。</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bCs/>
          <w:sz w:val="24"/>
          <w:highlight w:val="white"/>
          <w:lang w:eastAsia="zh-CN"/>
        </w:rPr>
        <w:t>募集期</w:t>
      </w:r>
      <w:r w:rsidRPr="00256C1C">
        <w:rPr>
          <w:rFonts w:asciiTheme="minorEastAsia" w:eastAsiaTheme="minorEastAsia" w:hAnsiTheme="minorEastAsia" w:hint="eastAsia"/>
          <w:bCs/>
          <w:sz w:val="24"/>
          <w:highlight w:val="white"/>
          <w:lang w:eastAsia="zh-CN"/>
        </w:rPr>
        <w:t>资金及股票</w:t>
      </w:r>
      <w:r w:rsidRPr="00256C1C">
        <w:rPr>
          <w:rFonts w:asciiTheme="minorEastAsia" w:eastAsiaTheme="minorEastAsia" w:hAnsiTheme="minorEastAsia"/>
          <w:bCs/>
          <w:sz w:val="24"/>
          <w:highlight w:val="white"/>
          <w:lang w:eastAsia="zh-CN"/>
        </w:rPr>
        <w:t>的处理方式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基金募集期间募集的资金存入专门账户，在募集行为结束前，任何人不得动用。</w:t>
      </w:r>
      <w:r w:rsidRPr="00256C1C">
        <w:rPr>
          <w:rFonts w:asciiTheme="minorEastAsia" w:eastAsiaTheme="minorEastAsia" w:hAnsiTheme="minorEastAsia" w:hint="eastAsia"/>
          <w:bCs/>
          <w:sz w:val="24"/>
          <w:highlight w:val="white"/>
          <w:lang w:eastAsia="zh-CN"/>
        </w:rPr>
        <w:t>有效认购款项在募集期间产生的利息将折算为基金份额归基金份额持有人所有，具体利息折份额数量以基金管理人及登记结算机构的记录为准。</w:t>
      </w:r>
      <w:r w:rsidRPr="00256C1C">
        <w:rPr>
          <w:rFonts w:asciiTheme="minorEastAsia" w:eastAsiaTheme="minorEastAsia" w:hAnsiTheme="minorEastAsia"/>
          <w:bCs/>
          <w:sz w:val="24"/>
          <w:highlight w:val="white"/>
          <w:lang w:eastAsia="zh-CN"/>
        </w:rPr>
        <w:t>基金募集期的股票由</w:t>
      </w:r>
      <w:r w:rsidRPr="00256C1C">
        <w:rPr>
          <w:rFonts w:asciiTheme="minorEastAsia" w:eastAsiaTheme="minorEastAsia" w:hAnsiTheme="minorEastAsia" w:hint="eastAsia"/>
          <w:bCs/>
          <w:sz w:val="24"/>
          <w:highlight w:val="white"/>
          <w:lang w:eastAsia="zh-CN"/>
        </w:rPr>
        <w:t>发售代理机构</w:t>
      </w:r>
      <w:r w:rsidRPr="00256C1C">
        <w:rPr>
          <w:rFonts w:asciiTheme="minorEastAsia" w:eastAsiaTheme="minorEastAsia" w:hAnsiTheme="minorEastAsia"/>
          <w:bCs/>
          <w:sz w:val="24"/>
          <w:highlight w:val="white"/>
          <w:lang w:eastAsia="zh-CN"/>
        </w:rPr>
        <w:t>予以冻结，网下股票认购所募集的股票在网下股票认购日至登记结算机构进行股票过户日的冻结期间所产生的权益归投资者所有。</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、基金认购份额的计算</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基金认购份额具体的计算方法在招募说明书中列示。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bCs/>
          <w:sz w:val="24"/>
          <w:highlight w:val="white"/>
          <w:lang w:eastAsia="zh-CN"/>
        </w:rPr>
        <w:t>基金份额认购的限制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基金管理人可以对每个账户的认购</w:t>
      </w:r>
      <w:r w:rsidRPr="00256C1C">
        <w:rPr>
          <w:rFonts w:asciiTheme="minorEastAsia" w:eastAsiaTheme="minorEastAsia" w:hAnsiTheme="minorEastAsia" w:hint="eastAsia"/>
          <w:bCs/>
          <w:sz w:val="24"/>
          <w:highlight w:val="white"/>
          <w:lang w:eastAsia="zh-CN"/>
        </w:rPr>
        <w:t>和持有基金份额</w:t>
      </w:r>
      <w:r w:rsidRPr="00256C1C">
        <w:rPr>
          <w:rFonts w:asciiTheme="minorEastAsia" w:eastAsiaTheme="minorEastAsia" w:hAnsiTheme="minorEastAsia"/>
          <w:bCs/>
          <w:sz w:val="24"/>
          <w:highlight w:val="white"/>
          <w:lang w:eastAsia="zh-CN"/>
        </w:rPr>
        <w:t>进行限制，具体限制请参看招募说明书</w:t>
      </w:r>
      <w:r w:rsidRPr="00256C1C">
        <w:rPr>
          <w:rFonts w:asciiTheme="minorEastAsia" w:eastAsiaTheme="minorEastAsia" w:hAnsiTheme="minorEastAsia" w:hint="eastAsia"/>
          <w:bCs/>
          <w:sz w:val="24"/>
          <w:highlight w:val="white"/>
          <w:lang w:eastAsia="zh-CN"/>
        </w:rPr>
        <w:t>或相关公告</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5、基金认购的其他具体规定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投资人认购原则、认购时间安排、投资人认购应提交的文件和办理的手续等事项，由基金管理人根据相关法律法规以及本基金合同的规定，在招募说明书或基金份额发售公告中确定并披露。</w:t>
      </w: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color w:val="auto"/>
          <w:sz w:val="21"/>
          <w:highlight w:val="white"/>
          <w:lang w:eastAsia="zh-CN"/>
        </w:rPr>
        <w:br w:type="page"/>
      </w:r>
      <w:bookmarkStart w:id="97" w:name="_Toc18797"/>
      <w:bookmarkStart w:id="98" w:name="_Toc18329"/>
      <w:bookmarkStart w:id="99" w:name="_Toc18526"/>
      <w:bookmarkStart w:id="100" w:name="_Toc17912"/>
      <w:bookmarkStart w:id="101" w:name="_Toc6559"/>
      <w:bookmarkStart w:id="102" w:name="_Toc14893"/>
      <w:bookmarkStart w:id="103" w:name="_Toc139991735"/>
      <w:bookmarkStart w:id="104" w:name="_Toc26986"/>
      <w:bookmarkStart w:id="105" w:name="_Toc21988"/>
      <w:bookmarkStart w:id="106" w:name="_Toc1823"/>
      <w:bookmarkStart w:id="107" w:name="_Toc446339243"/>
      <w:bookmarkStart w:id="108" w:name="_Toc4741"/>
      <w:bookmarkStart w:id="109" w:name="_Toc141703885"/>
      <w:bookmarkStart w:id="110" w:name="_Toc7848"/>
      <w:bookmarkStart w:id="111" w:name="_Toc129511039"/>
      <w:r w:rsidRPr="00256C1C">
        <w:rPr>
          <w:rFonts w:asciiTheme="minorEastAsia" w:eastAsiaTheme="minorEastAsia" w:hAnsiTheme="minorEastAsia" w:cs="宋体" w:hint="eastAsia"/>
          <w:color w:val="auto"/>
          <w:sz w:val="30"/>
          <w:highlight w:val="white"/>
          <w:lang w:eastAsia="zh-CN"/>
        </w:rPr>
        <w:t>第五部分 基金备案</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C57945" w:rsidRPr="00256C1C">
      <w:pPr>
        <w:spacing w:line="360" w:lineRule="auto"/>
        <w:ind w:firstLine="54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一、基金备案的条件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本基金自基金份额发售之日起</w:t>
      </w: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个月内，</w:t>
      </w:r>
      <w:r w:rsidRPr="00256C1C">
        <w:rPr>
          <w:rFonts w:asciiTheme="minorEastAsia" w:eastAsiaTheme="minorEastAsia" w:hAnsiTheme="minorEastAsia"/>
          <w:bCs/>
          <w:sz w:val="24"/>
          <w:highlight w:val="white"/>
          <w:lang w:eastAsia="zh-CN"/>
        </w:rPr>
        <w:t>在基金募集份额总额不少于</w:t>
      </w:r>
      <w:r w:rsidRPr="00256C1C">
        <w:rPr>
          <w:rFonts w:asciiTheme="minorEastAsia" w:eastAsiaTheme="minorEastAsia" w:hAnsiTheme="minorEastAsia" w:hint="eastAsia"/>
          <w:bCs/>
          <w:sz w:val="24"/>
          <w:highlight w:val="white"/>
          <w:lang w:eastAsia="zh-CN"/>
        </w:rPr>
        <w:t>2</w:t>
      </w:r>
      <w:r w:rsidRPr="00256C1C">
        <w:rPr>
          <w:rFonts w:asciiTheme="minorEastAsia" w:eastAsiaTheme="minorEastAsia" w:hAnsiTheme="minorEastAsia"/>
          <w:bCs/>
          <w:sz w:val="24"/>
          <w:highlight w:val="white"/>
          <w:lang w:eastAsia="zh-CN"/>
        </w:rPr>
        <w:t>亿份，基金募集金额</w:t>
      </w:r>
      <w:r w:rsidRPr="00256C1C">
        <w:rPr>
          <w:rFonts w:asciiTheme="minorEastAsia" w:eastAsiaTheme="minorEastAsia" w:hAnsiTheme="minorEastAsia" w:hint="eastAsia"/>
          <w:bCs/>
          <w:sz w:val="24"/>
          <w:highlight w:val="white"/>
          <w:lang w:eastAsia="zh-CN"/>
        </w:rPr>
        <w:t>（含募集的股票市值）</w:t>
      </w:r>
      <w:r w:rsidRPr="00256C1C">
        <w:rPr>
          <w:rFonts w:asciiTheme="minorEastAsia" w:eastAsiaTheme="minorEastAsia" w:hAnsiTheme="minorEastAsia"/>
          <w:bCs/>
          <w:sz w:val="24"/>
          <w:highlight w:val="white"/>
          <w:lang w:eastAsia="zh-CN"/>
        </w:rPr>
        <w:t>不少于</w:t>
      </w:r>
      <w:r w:rsidRPr="00256C1C">
        <w:rPr>
          <w:rFonts w:asciiTheme="minorEastAsia" w:eastAsiaTheme="minorEastAsia" w:hAnsiTheme="minorEastAsia" w:hint="eastAsia"/>
          <w:bCs/>
          <w:sz w:val="24"/>
          <w:highlight w:val="white"/>
          <w:lang w:eastAsia="zh-CN"/>
        </w:rPr>
        <w:t>2</w:t>
      </w:r>
      <w:r w:rsidRPr="00256C1C">
        <w:rPr>
          <w:rFonts w:asciiTheme="minorEastAsia" w:eastAsiaTheme="minorEastAsia" w:hAnsiTheme="minorEastAsia"/>
          <w:bCs/>
          <w:sz w:val="24"/>
          <w:highlight w:val="white"/>
          <w:lang w:eastAsia="zh-CN"/>
        </w:rPr>
        <w:t>亿元人民币且基金认购人数不少于</w:t>
      </w:r>
      <w:r w:rsidRPr="00256C1C">
        <w:rPr>
          <w:rFonts w:asciiTheme="minorEastAsia" w:eastAsiaTheme="minorEastAsia" w:hAnsiTheme="minorEastAsia" w:hint="eastAsia"/>
          <w:bCs/>
          <w:sz w:val="24"/>
          <w:highlight w:val="white"/>
          <w:lang w:eastAsia="zh-CN"/>
        </w:rPr>
        <w:t>200</w:t>
      </w:r>
      <w:r w:rsidRPr="00256C1C">
        <w:rPr>
          <w:rFonts w:asciiTheme="minorEastAsia" w:eastAsiaTheme="minorEastAsia" w:hAnsiTheme="minorEastAsia"/>
          <w:bCs/>
          <w:sz w:val="24"/>
          <w:highlight w:val="white"/>
          <w:lang w:eastAsia="zh-CN"/>
        </w:rPr>
        <w:t>人的条件下，</w:t>
      </w:r>
      <w:r w:rsidRPr="00256C1C">
        <w:rPr>
          <w:rFonts w:asciiTheme="minorEastAsia" w:eastAsiaTheme="minorEastAsia" w:hAnsiTheme="minorEastAsia" w:cs="宋体"/>
          <w:sz w:val="24"/>
          <w:szCs w:val="24"/>
          <w:highlight w:val="white"/>
          <w:lang w:eastAsia="zh-CN"/>
        </w:rPr>
        <w:t>基金募集期届满或基金管理人依据法律法规及招募说明书可以决定停止基金发售，并在10</w:t>
      </w:r>
      <w:r w:rsidRPr="00256C1C">
        <w:rPr>
          <w:rFonts w:asciiTheme="minorEastAsia" w:eastAsiaTheme="minorEastAsia" w:hAnsiTheme="minorEastAsia" w:cs="宋体" w:hint="eastAsia"/>
          <w:sz w:val="24"/>
          <w:szCs w:val="24"/>
          <w:highlight w:val="white"/>
          <w:lang w:eastAsia="zh-CN"/>
        </w:rPr>
        <w:t>日内聘请法定验资机构验资。基金管理人自收到验资报告之日起</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日内，向中国证监会办理基金备案手续。</w:t>
      </w:r>
    </w:p>
    <w:p w:rsidR="00C57945" w:rsidRPr="00256C1C">
      <w:pPr>
        <w:spacing w:line="360" w:lineRule="auto"/>
        <w:ind w:firstLine="480"/>
        <w:jc w:val="left"/>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二、基金合同不能生效时募集资金的处理方式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如果募集期限届满，未满足</w:t>
      </w:r>
      <w:r w:rsidRPr="00256C1C">
        <w:rPr>
          <w:rFonts w:asciiTheme="minorEastAsia" w:eastAsiaTheme="minorEastAsia" w:hAnsiTheme="minorEastAsia" w:cs="宋体" w:hint="eastAsia"/>
          <w:bCs/>
          <w:sz w:val="24"/>
          <w:szCs w:val="24"/>
          <w:highlight w:val="white"/>
          <w:lang w:eastAsia="zh-CN"/>
        </w:rPr>
        <w:t>基金备案</w:t>
      </w:r>
      <w:r w:rsidRPr="00256C1C">
        <w:rPr>
          <w:rFonts w:asciiTheme="minorEastAsia" w:eastAsiaTheme="minorEastAsia" w:hAnsiTheme="minorEastAsia" w:cs="宋体" w:hint="eastAsia"/>
          <w:sz w:val="24"/>
          <w:szCs w:val="24"/>
          <w:highlight w:val="white"/>
          <w:lang w:eastAsia="zh-CN"/>
        </w:rPr>
        <w:t>条件，基金管理人应当承担下列责任：</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、以其固有财产承担因募集行为而产生的债务和费用；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、在基金募集期限届满后</w:t>
      </w:r>
      <w:r w:rsidRPr="00256C1C">
        <w:rPr>
          <w:rFonts w:asciiTheme="minorEastAsia" w:eastAsiaTheme="minorEastAsia" w:hAnsiTheme="minorEastAsia" w:cs="宋体"/>
          <w:sz w:val="24"/>
          <w:szCs w:val="24"/>
          <w:highlight w:val="white"/>
          <w:lang w:eastAsia="zh-CN"/>
        </w:rPr>
        <w:t>30</w:t>
      </w:r>
      <w:r w:rsidRPr="00256C1C">
        <w:rPr>
          <w:rFonts w:asciiTheme="minorEastAsia" w:eastAsiaTheme="minorEastAsia" w:hAnsiTheme="minorEastAsia" w:cs="宋体" w:hint="eastAsia"/>
          <w:sz w:val="24"/>
          <w:szCs w:val="24"/>
          <w:highlight w:val="white"/>
          <w:lang w:eastAsia="zh-CN"/>
        </w:rPr>
        <w:t>日内返还投资者已缴纳的款项，并加计银行同期活期存款利息</w:t>
      </w:r>
      <w:r w:rsidRPr="00256C1C">
        <w:rPr>
          <w:rFonts w:asciiTheme="minorEastAsia" w:eastAsiaTheme="minorEastAsia" w:hAnsiTheme="minorEastAsia" w:hint="eastAsia"/>
          <w:bCs/>
          <w:sz w:val="24"/>
          <w:highlight w:val="white"/>
          <w:lang w:eastAsia="zh-CN"/>
        </w:rPr>
        <w:t>，对于基金募集期间网下股票认购所冻结的股票，应予以解冻</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、如基金募集失败，基金管理人、基金托管人及销售机构不得请求报酬。基金管理人、基金托管人和销售机构为基金募集支付之一切费用应由各方各自承担。</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三、基金存续期内的基金份额持有人数量和资产规模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lang w:eastAsia="zh-CN"/>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法律法规或</w:t>
      </w:r>
      <w:r w:rsidRPr="00256C1C">
        <w:rPr>
          <w:rFonts w:asciiTheme="minorEastAsia" w:eastAsiaTheme="minorEastAsia" w:hAnsiTheme="minorEastAsia" w:cs="宋体" w:hint="eastAsia"/>
          <w:bCs/>
          <w:sz w:val="24"/>
          <w:szCs w:val="24"/>
          <w:highlight w:val="white"/>
          <w:lang w:eastAsia="zh-CN"/>
        </w:rPr>
        <w:t>中国证监会</w:t>
      </w:r>
      <w:r w:rsidRPr="00256C1C">
        <w:rPr>
          <w:rFonts w:asciiTheme="minorEastAsia" w:eastAsiaTheme="minorEastAsia" w:hAnsiTheme="minorEastAsia" w:cs="宋体" w:hint="eastAsia"/>
          <w:sz w:val="24"/>
          <w:szCs w:val="24"/>
          <w:highlight w:val="white"/>
          <w:lang w:eastAsia="zh-CN"/>
        </w:rPr>
        <w:t>另有规定时，从其规定。</w:t>
      </w:r>
    </w:p>
    <w:p w:rsidR="00C57945" w:rsidRPr="00256C1C">
      <w:pPr>
        <w:pStyle w:val="Heading1"/>
        <w:spacing w:before="0" w:after="0"/>
        <w:jc w:val="center"/>
        <w:rPr>
          <w:rFonts w:asciiTheme="minorEastAsia" w:eastAsiaTheme="minorEastAsia" w:hAnsiTheme="minorEastAsia"/>
          <w:color w:val="auto"/>
          <w:sz w:val="30"/>
          <w:lang w:eastAsia="zh-CN"/>
        </w:rPr>
      </w:pPr>
      <w:bookmarkStart w:id="112" w:name="_Toc10463"/>
      <w:bookmarkStart w:id="113" w:name="_Toc446339244"/>
      <w:bookmarkStart w:id="114" w:name="_Toc610"/>
      <w:bookmarkStart w:id="115" w:name="_Toc7920"/>
      <w:bookmarkStart w:id="116" w:name="_Toc23261"/>
      <w:bookmarkStart w:id="117" w:name="_Toc17244"/>
      <w:bookmarkStart w:id="118" w:name="_Toc23822"/>
      <w:bookmarkStart w:id="119" w:name="_Toc1270"/>
      <w:bookmarkStart w:id="120" w:name="_Toc11081"/>
      <w:bookmarkStart w:id="121" w:name="_Toc1427"/>
      <w:bookmarkStart w:id="122" w:name="_Toc123102453"/>
      <w:bookmarkStart w:id="123" w:name="_Toc123112234"/>
      <w:bookmarkStart w:id="124" w:name="_Toc123051452"/>
      <w:bookmarkStart w:id="125" w:name="_Toc4003"/>
      <w:bookmarkStart w:id="126" w:name="_Toc98560352"/>
      <w:bookmarkStart w:id="127" w:name="_Toc79392606"/>
      <w:bookmarkStart w:id="128" w:name="_Toc139991736"/>
      <w:bookmarkStart w:id="129" w:name="_Toc141703886"/>
      <w:bookmarkStart w:id="130" w:name="_Toc48649707"/>
      <w:bookmarkStart w:id="131" w:name="_Toc20733"/>
      <w:r w:rsidRPr="00256C1C">
        <w:rPr>
          <w:rFonts w:asciiTheme="minorEastAsia" w:eastAsiaTheme="minorEastAsia" w:hAnsiTheme="minorEastAsia" w:cs="宋体"/>
          <w:b w:val="0"/>
          <w:bCs/>
          <w:color w:val="auto"/>
          <w:sz w:val="21"/>
          <w:highlight w:val="white"/>
          <w:lang w:eastAsia="zh-CN"/>
        </w:rPr>
        <w:br w:type="page"/>
      </w:r>
      <w:bookmarkStart w:id="132" w:name="_Toc497228178"/>
      <w:bookmarkStart w:id="133" w:name="_Toc532853913"/>
      <w:bookmarkStart w:id="134" w:name="_Toc129511040"/>
      <w:r w:rsidRPr="00256C1C">
        <w:rPr>
          <w:rFonts w:asciiTheme="minorEastAsia" w:eastAsiaTheme="minorEastAsia" w:hAnsiTheme="minorEastAsia"/>
          <w:color w:val="auto"/>
          <w:sz w:val="30"/>
          <w:highlight w:val="white"/>
          <w:lang w:eastAsia="zh-CN"/>
        </w:rPr>
        <w:t xml:space="preserve">第六部分 </w:t>
      </w:r>
      <w:r w:rsidRPr="00256C1C">
        <w:rPr>
          <w:rFonts w:asciiTheme="minorEastAsia" w:eastAsiaTheme="minorEastAsia" w:hAnsiTheme="minorEastAsia" w:hint="eastAsia"/>
          <w:color w:val="auto"/>
          <w:sz w:val="30"/>
          <w:highlight w:val="white"/>
          <w:lang w:eastAsia="zh-CN"/>
        </w:rPr>
        <w:t>基金份额折算与变更登记</w:t>
      </w:r>
      <w:bookmarkEnd w:id="132"/>
      <w:bookmarkEnd w:id="133"/>
      <w:bookmarkEnd w:id="134"/>
    </w:p>
    <w:p w:rsidR="00C57945" w:rsidRPr="00256C1C">
      <w:pPr>
        <w:rPr>
          <w:rFonts w:asciiTheme="minorEastAsia" w:eastAsiaTheme="minorEastAsia" w:hAnsiTheme="minorEastAsia"/>
          <w:lang w:eastAsia="zh-CN"/>
        </w:rPr>
      </w:pP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基金份额折算是指基金管理人根据基金运作的需要，在基金资产净值不变的前提下，按照一定比例调整基金份额总额及基金份额净值。基金份额折算由基金管理人向登记结算机构申请办理，并由登记结算机构进行基金份额的变更登记。</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本基金存续期间，基金管理人可根据实际需要对基金份额进行折算，</w:t>
      </w:r>
      <w:r w:rsidRPr="00256C1C">
        <w:rPr>
          <w:rFonts w:asciiTheme="minorEastAsia" w:eastAsiaTheme="minorEastAsia" w:hAnsiTheme="minorEastAsia"/>
          <w:bCs/>
          <w:sz w:val="24"/>
          <w:highlight w:val="white"/>
          <w:lang w:eastAsia="zh-CN"/>
        </w:rPr>
        <w:t>并根据相关法规规定进行信息披露</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如未来本基金增加基金份额的类别，基金管理人在实施份额折算时，可对全部份额类别进行折算，也可根据需要只对其中部分类别的份额进行折算。</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基金份额折算后，本基金的基金份额总额与基金份额持有人持有的基金份额数额将发生调整，但调整后的基金份额持有人持有的基金份额占基金份额总额的比例不发生变化。基金份额折算对基金份额持有人的权益无实质性不利影响的前提下，无需召开基金份额持有人大会审议。</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如果基金份额折算过程中发生不可抗力，基金管理人可延迟办理基金份额折算。</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基金份额折算的具体方法在份额折算公告中列示。</w:t>
      </w:r>
    </w:p>
    <w:p w:rsidR="00C57945" w:rsidRPr="00256C1C">
      <w:pPr>
        <w:widowControl/>
        <w:jc w:val="left"/>
        <w:rPr>
          <w:rFonts w:asciiTheme="minorEastAsia" w:eastAsiaTheme="minorEastAsia" w:hAnsiTheme="minorEastAsia"/>
          <w:b/>
          <w:sz w:val="30"/>
          <w:lang w:eastAsia="zh-CN"/>
        </w:rPr>
      </w:pPr>
      <w:bookmarkStart w:id="135" w:name="_Toc383179346"/>
      <w:bookmarkStart w:id="136" w:name="_Toc532853914"/>
      <w:bookmarkStart w:id="137" w:name="_Toc497228179"/>
      <w:bookmarkStart w:id="138" w:name="_Toc129511041"/>
      <w:r w:rsidRPr="00256C1C">
        <w:rPr>
          <w:rFonts w:asciiTheme="minorEastAsia" w:eastAsiaTheme="minorEastAsia" w:hAnsiTheme="minorEastAsia"/>
          <w:sz w:val="30"/>
          <w:highlight w:val="white"/>
          <w:lang w:eastAsia="zh-CN"/>
        </w:rPr>
        <w:br w:type="page"/>
      </w:r>
    </w:p>
    <w:p w:rsidR="00C57945" w:rsidRPr="00256C1C">
      <w:pPr>
        <w:pStyle w:val="Heading1"/>
        <w:spacing w:before="0" w:after="0"/>
        <w:jc w:val="center"/>
        <w:rPr>
          <w:rFonts w:asciiTheme="minorEastAsia" w:eastAsiaTheme="minorEastAsia" w:hAnsiTheme="minorEastAsia"/>
          <w:color w:val="auto"/>
          <w:sz w:val="30"/>
          <w:lang w:eastAsia="zh-CN"/>
        </w:rPr>
      </w:pPr>
      <w:r w:rsidRPr="00256C1C">
        <w:rPr>
          <w:rFonts w:asciiTheme="minorEastAsia" w:eastAsiaTheme="minorEastAsia" w:hAnsiTheme="minorEastAsia" w:hint="eastAsia"/>
          <w:color w:val="auto"/>
          <w:sz w:val="30"/>
          <w:highlight w:val="white"/>
          <w:lang w:eastAsia="zh-CN"/>
        </w:rPr>
        <w:t>第七部分 基金份额的上市交易</w:t>
      </w:r>
      <w:bookmarkEnd w:id="135"/>
      <w:bookmarkEnd w:id="136"/>
      <w:bookmarkEnd w:id="137"/>
      <w:bookmarkEnd w:id="138"/>
    </w:p>
    <w:p w:rsidR="00C57945" w:rsidRPr="00256C1C">
      <w:pPr>
        <w:rPr>
          <w:rFonts w:asciiTheme="minorEastAsia" w:eastAsiaTheme="minorEastAsia" w:hAnsiTheme="minorEastAsia"/>
          <w:lang w:eastAsia="zh-CN"/>
        </w:rPr>
      </w:pP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一、基金份额的上市</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基金合同生效后，具备下列条件的，基金管理人可依据《上海证券交易所证券投资基金上市规则》，向上海证券交易所申请基金份额上市：</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1、基金场内资产净值不少于2亿元；</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2、基金场内份额持有人不少于1000人；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3、符合上海证券交易所规定的其他条件。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二、基金份额的上市交易</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本基金基金份额在上海证券交易所的上市交易需遵照《上海证券交易所交易规则》、《上海证券交易所证券投资基金上市规则》、《上海证券交易所交易型开放式指数基金业务实施细则》等有关规定。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三、基金份额上市交易后，有下列情形之一的，上海证券交易所可终止基金的上市交易：</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1、基金合同终止；</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2、基金份额持有人大会决定提前终止上市；</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3、基金合同约定的终止上市的其他情形；</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4、上海证券交易所认为应当终止上市的其他情形。</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若本基金不再具备上市条件而被上海证券交易所终止上市的，本基金可由交易型开放式基金变更为跟踪标的指数的非上市的开放式指数基金，而无需召开基金份额持有人大会审议。</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若届时本基金管理人已有以该指数作为标的指数的指数基金，基金管理人将本着维护基金份额持有人合法权益的原则，履行适当的程序后与该指数基金合并或者选取其他合适的指数作为标的指数。具体情况见基金管理人届时公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四、基金份额参考净值（IOPV）的计算与公告详见本基金招募说明书。</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五、在不违反法律法规并且不损害届时基金份额持有人利益的前提下，基金管理人在与基金托管人协商一致后，可申请在其他证券交易所（含境外证券交易所）同时挂牌交易，而无需召开基金份额持有人大会审议。</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六、法律法规、监管部门和登记结算机构、上海证券交易所业务规则对上市交易的规定内容进行调整的，本基金参照执行，而无需召开基金份额持有人大会审议。</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七、若上海证券交易所、中国证券登记结算有限责任公司增加了基金上市交易的新功能，基金管理人可以在履行适当的程序后增加相应功能。</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八、法律法规、监管部门或上海证券交易所对上市交易另有规定的，从其规定。</w:t>
      </w:r>
    </w:p>
    <w:p w:rsidR="00C57945" w:rsidRPr="00256C1C">
      <w:pPr>
        <w:widowControl/>
        <w:jc w:val="left"/>
        <w:rPr>
          <w:rFonts w:asciiTheme="minorEastAsia" w:eastAsiaTheme="minorEastAsia" w:hAnsiTheme="minorEastAsia" w:cs="宋体"/>
          <w:b/>
          <w:sz w:val="30"/>
          <w:lang w:eastAsia="zh-CN"/>
        </w:rPr>
      </w:pPr>
      <w:bookmarkStart w:id="139" w:name="_Toc129511042"/>
      <w:r w:rsidRPr="00256C1C">
        <w:rPr>
          <w:rFonts w:asciiTheme="minorEastAsia" w:eastAsiaTheme="minorEastAsia" w:hAnsiTheme="minorEastAsia" w:cs="宋体"/>
          <w:sz w:val="30"/>
          <w:highlight w:val="white"/>
          <w:lang w:eastAsia="zh-CN"/>
        </w:rPr>
        <w:br w:type="page"/>
      </w: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hint="eastAsia"/>
          <w:color w:val="auto"/>
          <w:sz w:val="30"/>
          <w:highlight w:val="white"/>
          <w:lang w:eastAsia="zh-CN"/>
        </w:rPr>
        <w:t>第八部分 基金份额的申购与赎回</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9"/>
    </w:p>
    <w:p w:rsidR="00C57945" w:rsidRPr="00256C1C">
      <w:pPr>
        <w:spacing w:line="360" w:lineRule="auto"/>
        <w:ind w:firstLine="540"/>
        <w:rPr>
          <w:rFonts w:asciiTheme="minorEastAsia" w:eastAsiaTheme="minorEastAsia" w:hAnsiTheme="minorEastAsia" w:cs="宋体"/>
          <w:bCs/>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一、申购和赎回场所</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投资人应当在申购赎回代理券商办理基金申购、赎回业务的营业场所或按申购赎回代理券商提供的其他方式办理基金的申购和赎回。</w:t>
      </w:r>
      <w:r w:rsidRPr="00256C1C">
        <w:rPr>
          <w:rFonts w:asciiTheme="minorEastAsia" w:eastAsiaTheme="minorEastAsia" w:hAnsiTheme="minorEastAsia"/>
          <w:sz w:val="24"/>
          <w:highlight w:val="white"/>
          <w:lang w:eastAsia="zh-CN"/>
        </w:rPr>
        <w:t>基金管理人可根据情况变更或增减</w:t>
      </w:r>
      <w:r w:rsidRPr="00256C1C">
        <w:rPr>
          <w:rFonts w:asciiTheme="minorEastAsia" w:eastAsiaTheme="minorEastAsia" w:hAnsiTheme="minorEastAsia"/>
          <w:bCs/>
          <w:sz w:val="24"/>
          <w:highlight w:val="white"/>
          <w:lang w:eastAsia="zh-CN"/>
        </w:rPr>
        <w:t>申购赎回代理券商，</w:t>
      </w:r>
      <w:r w:rsidRPr="00256C1C">
        <w:rPr>
          <w:rFonts w:asciiTheme="minorEastAsia" w:eastAsiaTheme="minorEastAsia" w:hAnsiTheme="minorEastAsia"/>
          <w:sz w:val="24"/>
          <w:highlight w:val="white"/>
          <w:lang w:eastAsia="zh-CN"/>
        </w:rPr>
        <w:t>并在基金管理人网站公示</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二、申购和赎回的开放日及时间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、开放日及开放时间</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sz w:val="24"/>
          <w:szCs w:val="24"/>
          <w:highlight w:val="white"/>
          <w:lang w:eastAsia="zh-CN"/>
        </w:rPr>
        <w:t>投资人在开放日办理基金份额的申购和赎回，</w:t>
      </w:r>
      <w:r w:rsidRPr="00256C1C">
        <w:rPr>
          <w:rFonts w:asciiTheme="minorEastAsia" w:eastAsiaTheme="minorEastAsia" w:hAnsiTheme="minorEastAsia" w:cs="宋体" w:hint="eastAsia"/>
          <w:bCs/>
          <w:sz w:val="24"/>
          <w:szCs w:val="24"/>
          <w:highlight w:val="white"/>
          <w:lang w:eastAsia="zh-CN"/>
        </w:rPr>
        <w:t>本基金的开放日为上海证券交易所、深圳证券交易所的交易日</w:t>
      </w:r>
      <w:r w:rsidRPr="00256C1C">
        <w:rPr>
          <w:rFonts w:asciiTheme="minorEastAsia" w:eastAsiaTheme="minorEastAsia" w:hAnsiTheme="minorEastAsia" w:cs="宋体" w:hint="eastAsia"/>
          <w:sz w:val="24"/>
          <w:szCs w:val="24"/>
          <w:highlight w:val="white"/>
          <w:lang w:eastAsia="zh-CN"/>
        </w:rPr>
        <w:t>，但基金管理人根据法律法规、中国证监会的要求或本基金合同的规定公告暂停申购、赎回时除外。</w:t>
      </w:r>
      <w:r w:rsidRPr="00256C1C">
        <w:rPr>
          <w:rFonts w:asciiTheme="minorEastAsia" w:eastAsiaTheme="minorEastAsia" w:hAnsiTheme="minorEastAsia" w:cs="宋体" w:hint="eastAsia"/>
          <w:bCs/>
          <w:sz w:val="24"/>
          <w:szCs w:val="24"/>
          <w:highlight w:val="white"/>
          <w:lang w:eastAsia="zh-CN"/>
        </w:rPr>
        <w:t>开放日的具体业务办理时间见招募说明书或相关公告。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基金合同生效后，若出现新的证券</w:t>
      </w:r>
      <w:r w:rsidRPr="00256C1C">
        <w:rPr>
          <w:rFonts w:asciiTheme="minorEastAsia" w:eastAsiaTheme="minorEastAsia" w:hAnsiTheme="minorEastAsia" w:cs="宋体"/>
          <w:bCs/>
          <w:sz w:val="24"/>
          <w:szCs w:val="24"/>
          <w:highlight w:val="white"/>
          <w:lang w:eastAsia="zh-CN"/>
        </w:rPr>
        <w:t>/</w:t>
      </w:r>
      <w:r w:rsidRPr="00256C1C">
        <w:rPr>
          <w:rFonts w:asciiTheme="minorEastAsia" w:eastAsiaTheme="minorEastAsia" w:hAnsiTheme="minorEastAsia" w:cs="宋体" w:hint="eastAsia"/>
          <w:bCs/>
          <w:sz w:val="24"/>
          <w:szCs w:val="24"/>
          <w:highlight w:val="white"/>
          <w:lang w:eastAsia="zh-CN"/>
        </w:rPr>
        <w:t>期货</w:t>
      </w:r>
      <w:r w:rsidRPr="00256C1C">
        <w:rPr>
          <w:rFonts w:asciiTheme="minorEastAsia" w:eastAsiaTheme="minorEastAsia" w:hAnsiTheme="minorEastAsia" w:cs="宋体" w:hint="eastAsia"/>
          <w:sz w:val="24"/>
          <w:szCs w:val="24"/>
          <w:highlight w:val="white"/>
          <w:lang w:eastAsia="zh-CN"/>
        </w:rPr>
        <w:t>交易市场、</w:t>
      </w:r>
      <w:r w:rsidRPr="00256C1C">
        <w:rPr>
          <w:rFonts w:asciiTheme="minorEastAsia" w:eastAsiaTheme="minorEastAsia" w:hAnsiTheme="minorEastAsia" w:cs="宋体" w:hint="eastAsia"/>
          <w:bCs/>
          <w:sz w:val="24"/>
          <w:szCs w:val="24"/>
          <w:highlight w:val="white"/>
          <w:lang w:eastAsia="zh-CN"/>
        </w:rPr>
        <w:t>证券</w:t>
      </w:r>
      <w:r w:rsidRPr="00256C1C">
        <w:rPr>
          <w:rFonts w:asciiTheme="minorEastAsia" w:eastAsiaTheme="minorEastAsia" w:hAnsiTheme="minorEastAsia" w:cs="宋体"/>
          <w:bCs/>
          <w:sz w:val="24"/>
          <w:szCs w:val="24"/>
          <w:highlight w:val="white"/>
          <w:lang w:eastAsia="zh-CN"/>
        </w:rPr>
        <w:t>/</w:t>
      </w:r>
      <w:r w:rsidRPr="00256C1C">
        <w:rPr>
          <w:rFonts w:asciiTheme="minorEastAsia" w:eastAsiaTheme="minorEastAsia" w:hAnsiTheme="minorEastAsia" w:cs="宋体" w:hint="eastAsia"/>
          <w:bCs/>
          <w:sz w:val="24"/>
          <w:szCs w:val="24"/>
          <w:highlight w:val="white"/>
          <w:lang w:eastAsia="zh-CN"/>
        </w:rPr>
        <w:t>期货交易所</w:t>
      </w:r>
      <w:r w:rsidRPr="00256C1C">
        <w:rPr>
          <w:rFonts w:asciiTheme="minorEastAsia" w:eastAsiaTheme="minorEastAsia" w:hAnsiTheme="minorEastAsia" w:cs="宋体" w:hint="eastAsia"/>
          <w:sz w:val="24"/>
          <w:szCs w:val="24"/>
          <w:highlight w:val="white"/>
          <w:lang w:eastAsia="zh-CN"/>
        </w:rPr>
        <w:t>交易时间变更、其他特殊情况或根据业务需要，基金管理人将视情况对前述开放日及开放时间进行相应的调整，但应在实施前依照《信息披露办法》的有关规定在规定媒介上公告。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、申购、赎回开始日及业务办理时间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基金管理人可根据实际情况依法决定本基金开始办理申购的具体日期</w:t>
      </w:r>
      <w:r w:rsidRPr="00256C1C">
        <w:rPr>
          <w:rFonts w:asciiTheme="minorEastAsia" w:eastAsiaTheme="minorEastAsia" w:hAnsiTheme="minorEastAsia" w:cs="宋体" w:hint="eastAsia"/>
          <w:sz w:val="24"/>
          <w:szCs w:val="24"/>
          <w:highlight w:val="white"/>
          <w:lang w:eastAsia="zh-CN"/>
        </w:rPr>
        <w:t>，具体业务办理时间在申购开始公告中规定。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基金管理人自基金合同生效之日起不超过</w:t>
      </w:r>
      <w:r w:rsidRPr="00256C1C">
        <w:rPr>
          <w:rFonts w:asciiTheme="minorEastAsia" w:eastAsiaTheme="minorEastAsia" w:hAnsiTheme="minorEastAsia" w:cs="宋体" w:hint="eastAsia"/>
          <w:bCs/>
          <w:sz w:val="24"/>
          <w:szCs w:val="24"/>
          <w:highlight w:val="white"/>
          <w:lang w:eastAsia="zh-CN"/>
        </w:rPr>
        <w:t>三个月</w:t>
      </w:r>
      <w:r w:rsidRPr="00256C1C">
        <w:rPr>
          <w:rFonts w:asciiTheme="minorEastAsia" w:eastAsiaTheme="minorEastAsia" w:hAnsiTheme="minorEastAsia" w:cs="宋体" w:hint="eastAsia"/>
          <w:sz w:val="24"/>
          <w:szCs w:val="24"/>
          <w:highlight w:val="white"/>
          <w:lang w:eastAsia="zh-CN"/>
        </w:rPr>
        <w:t>开始办理赎回，具体业务办理时间在赎回开始公告中规定。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在确定申购开始与赎回开始时间后，基金管理人应在申购、赎回开放前依照《信息披露办法》的有关规定在规定媒介上公告申购与赎回的开始时间。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三、申购与赎回的原则</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hint="eastAsia"/>
          <w:bCs/>
          <w:sz w:val="24"/>
          <w:highlight w:val="white"/>
          <w:lang w:eastAsia="zh-CN"/>
        </w:rPr>
        <w:t>本基金采用份额申购和份额赎回的方式，即申购和赎回均以份额申请；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2、本基金的申购对价、赎回对价包括组合证券、现金替代、现金差额及其他对价；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3、申购、赎回申请提交后不得撤销；</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4、申购、赎回应遵守上海证券交易所和中国证券登记结算有限责任公司的相关业务规则和规定；</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sz w:val="24"/>
          <w:highlight w:val="white"/>
          <w:lang w:eastAsia="zh-CN"/>
        </w:rPr>
        <w:t>5、办理申购、赎回业务时，应当遵循基金份额持有人利益优先原则</w:t>
      </w:r>
      <w:r w:rsidRPr="00256C1C">
        <w:rPr>
          <w:rFonts w:asciiTheme="minorEastAsia" w:eastAsiaTheme="minorEastAsia" w:hAnsiTheme="minorEastAsia" w:hint="eastAsia"/>
          <w:sz w:val="24"/>
          <w:highlight w:val="white"/>
          <w:lang w:eastAsia="zh-CN"/>
        </w:rPr>
        <w:t>，确保投资者的合法权益不受损害并得到公平对待</w:t>
      </w:r>
      <w:r w:rsidRPr="00256C1C">
        <w:rPr>
          <w:rFonts w:asciiTheme="minorEastAsia" w:eastAsiaTheme="minorEastAsia" w:hAnsiTheme="minorEastAsia"/>
          <w:sz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基金管理人可根据基金运作的实际情况，在对基金份额持有人利益无实质不利影响的前提下调整上述原则，或</w:t>
      </w:r>
      <w:bookmarkStart w:id="140" w:name="_Hlk97736126"/>
      <w:r w:rsidRPr="00256C1C">
        <w:rPr>
          <w:rFonts w:asciiTheme="minorEastAsia" w:eastAsiaTheme="minorEastAsia" w:hAnsiTheme="minorEastAsia" w:hint="eastAsia"/>
          <w:bCs/>
          <w:sz w:val="24"/>
          <w:highlight w:val="white"/>
          <w:lang w:eastAsia="zh-CN"/>
        </w:rPr>
        <w:t>依据上海证券交易所或登记结算机构相关规则</w:t>
      </w:r>
      <w:bookmarkEnd w:id="140"/>
      <w:r w:rsidRPr="00256C1C">
        <w:rPr>
          <w:rFonts w:asciiTheme="minorEastAsia" w:eastAsiaTheme="minorEastAsia" w:hAnsiTheme="minorEastAsia" w:hint="eastAsia"/>
          <w:bCs/>
          <w:sz w:val="24"/>
          <w:highlight w:val="white"/>
          <w:lang w:eastAsia="zh-CN"/>
        </w:rPr>
        <w:t>及其变更调整上述规则</w:t>
      </w:r>
      <w:r w:rsidRPr="00256C1C">
        <w:rPr>
          <w:rFonts w:asciiTheme="minorEastAsia" w:eastAsiaTheme="minorEastAsia" w:hAnsiTheme="minorEastAsia"/>
          <w:bCs/>
          <w:sz w:val="24"/>
          <w:highlight w:val="white"/>
          <w:lang w:eastAsia="zh-CN"/>
        </w:rPr>
        <w:t>。基金管理人必须在新规则开始实施前依照《信息披露办法》的有关规定在规定媒介上公告</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四、申购与赎回的程序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、申购和赎回的申请方式</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投资人必须根据</w:t>
      </w:r>
      <w:r w:rsidRPr="00256C1C">
        <w:rPr>
          <w:rFonts w:asciiTheme="minorEastAsia" w:eastAsiaTheme="minorEastAsia" w:hAnsiTheme="minorEastAsia" w:hint="eastAsia"/>
          <w:bCs/>
          <w:sz w:val="24"/>
          <w:highlight w:val="white"/>
          <w:lang w:eastAsia="zh-CN"/>
        </w:rPr>
        <w:t>申购赎回代理券商</w:t>
      </w:r>
      <w:r w:rsidRPr="00256C1C">
        <w:rPr>
          <w:rFonts w:asciiTheme="minorEastAsia" w:eastAsiaTheme="minorEastAsia" w:hAnsiTheme="minorEastAsia"/>
          <w:bCs/>
          <w:sz w:val="24"/>
          <w:highlight w:val="white"/>
          <w:lang w:eastAsia="zh-CN"/>
        </w:rPr>
        <w:t>规定的程序，在开放日的具体业务办理时间内提出申购或赎回的申请。</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投资人在提交申购申请时，须根据申购赎回清单备足相应数量的股票和现金；投资人在提交赎回申请时，必须有足够的基金份额余额和现金。投资人办理申购、赎回等业务时应提交的文件和办理手续、办理时间、处理规则等在遵守基金合同和招募说明书规定的前提下，以各销售机构的具体规定为准。</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2、</w:t>
      </w:r>
      <w:r w:rsidRPr="00256C1C">
        <w:rPr>
          <w:rFonts w:asciiTheme="minorEastAsia" w:eastAsiaTheme="minorEastAsia" w:hAnsiTheme="minorEastAsia"/>
          <w:bCs/>
          <w:sz w:val="24"/>
          <w:highlight w:val="white"/>
          <w:lang w:eastAsia="zh-CN"/>
        </w:rPr>
        <w:t>申购和赎回申请的确认</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本基金申购申请、赎回申请的确认根据登记结算机构的相关规定办理，具体见本基金招募说明书。如投资人未能提供符合要求的申购对价，则申购申请失败。如投资人持有的符合要求的可用基金份额不足或未能根据要求准备足额的现金，或本基金投资组合内不具备足额的符合要求的赎回对价，则赎回申请失败。</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hint="eastAsia"/>
          <w:sz w:val="24"/>
          <w:highlight w:val="white"/>
          <w:lang w:eastAsia="zh-CN"/>
        </w:rPr>
        <w:t>基金销售机构受理</w:t>
      </w:r>
      <w:r w:rsidRPr="00256C1C">
        <w:rPr>
          <w:rFonts w:asciiTheme="minorEastAsia" w:eastAsiaTheme="minorEastAsia" w:hAnsiTheme="minorEastAsia" w:hint="eastAsia"/>
          <w:bCs/>
          <w:sz w:val="24"/>
          <w:highlight w:val="white"/>
          <w:lang w:eastAsia="zh-CN"/>
        </w:rPr>
        <w:t>的</w:t>
      </w:r>
      <w:r w:rsidRPr="00256C1C">
        <w:rPr>
          <w:rFonts w:asciiTheme="minorEastAsia" w:eastAsiaTheme="minorEastAsia" w:hAnsiTheme="minorEastAsia" w:hint="eastAsia"/>
          <w:sz w:val="24"/>
          <w:highlight w:val="white"/>
          <w:lang w:eastAsia="zh-CN"/>
        </w:rPr>
        <w:t>申购、赎回申请并不代表该申购、赎回申请一定成功。申购、赎回的确认以登记结算机构的确认结果为准。投资人可通过其办理申购、赎回的申购赎回代理券商或以申购赎回代理券商规定的其他方式查询有关申请的确认情况。</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3、申购和赎回的清算交收与登记</w:t>
      </w:r>
    </w:p>
    <w:p w:rsidR="00C57945" w:rsidRPr="00256C1C">
      <w:pPr>
        <w:spacing w:line="360" w:lineRule="auto"/>
        <w:ind w:firstLine="48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本基金申购</w:t>
      </w:r>
      <w:r w:rsidRPr="00256C1C">
        <w:rPr>
          <w:rFonts w:asciiTheme="minorEastAsia" w:eastAsiaTheme="minorEastAsia" w:hAnsiTheme="minorEastAsia"/>
          <w:sz w:val="24"/>
          <w:highlight w:val="white"/>
          <w:lang w:eastAsia="zh-CN"/>
        </w:rPr>
        <w:t>、</w:t>
      </w:r>
      <w:r w:rsidRPr="00256C1C">
        <w:rPr>
          <w:rFonts w:asciiTheme="minorEastAsia" w:eastAsiaTheme="minorEastAsia" w:hAnsiTheme="minorEastAsia"/>
          <w:bCs/>
          <w:sz w:val="24"/>
          <w:highlight w:val="white"/>
          <w:lang w:eastAsia="zh-CN"/>
        </w:rPr>
        <w:t>赎回过程中涉及的基金份额、组合证券、现金替代、现金差额及其他对价的清算交收适用</w:t>
      </w:r>
      <w:r w:rsidRPr="00256C1C">
        <w:rPr>
          <w:rFonts w:asciiTheme="minorEastAsia" w:eastAsiaTheme="minorEastAsia" w:hAnsiTheme="minorEastAsia" w:hint="eastAsia"/>
          <w:bCs/>
          <w:sz w:val="24"/>
          <w:highlight w:val="white"/>
          <w:lang w:eastAsia="zh-CN"/>
        </w:rPr>
        <w:t>上海</w:t>
      </w:r>
      <w:r w:rsidRPr="00256C1C">
        <w:rPr>
          <w:rFonts w:asciiTheme="minorEastAsia" w:eastAsiaTheme="minorEastAsia" w:hAnsiTheme="minorEastAsia"/>
          <w:bCs/>
          <w:sz w:val="24"/>
          <w:highlight w:val="white"/>
          <w:lang w:eastAsia="zh-CN"/>
        </w:rPr>
        <w:t>证券交易所、中国证券登记结算有限责任公司相关业务</w:t>
      </w:r>
      <w:r w:rsidRPr="00256C1C">
        <w:rPr>
          <w:rFonts w:asciiTheme="minorEastAsia" w:eastAsiaTheme="minorEastAsia" w:hAnsiTheme="minorEastAsia" w:hint="eastAsia"/>
          <w:bCs/>
          <w:sz w:val="24"/>
          <w:highlight w:val="white"/>
          <w:lang w:eastAsia="zh-CN"/>
        </w:rPr>
        <w:t>规则</w:t>
      </w:r>
      <w:r w:rsidRPr="00256C1C">
        <w:rPr>
          <w:rFonts w:asciiTheme="minorEastAsia" w:eastAsiaTheme="minorEastAsia" w:hAnsiTheme="minorEastAsia"/>
          <w:bCs/>
          <w:sz w:val="24"/>
          <w:highlight w:val="white"/>
          <w:lang w:eastAsia="zh-CN"/>
        </w:rPr>
        <w:t>和参与各方相关协议</w:t>
      </w:r>
      <w:r w:rsidRPr="00256C1C">
        <w:rPr>
          <w:rFonts w:asciiTheme="minorEastAsia" w:eastAsiaTheme="minorEastAsia" w:hAnsiTheme="minorEastAsia" w:hint="eastAsia"/>
          <w:bCs/>
          <w:sz w:val="24"/>
          <w:highlight w:val="white"/>
          <w:lang w:eastAsia="zh-CN"/>
        </w:rPr>
        <w:t>及其不时修订</w:t>
      </w:r>
      <w:r w:rsidRPr="00256C1C">
        <w:rPr>
          <w:rFonts w:asciiTheme="minorEastAsia" w:eastAsiaTheme="minorEastAsia" w:hAnsiTheme="minorEastAsia"/>
          <w:bCs/>
          <w:sz w:val="24"/>
          <w:highlight w:val="white"/>
          <w:lang w:eastAsia="zh-CN"/>
        </w:rPr>
        <w:t>的有关规定</w:t>
      </w:r>
      <w:r w:rsidRPr="00256C1C">
        <w:rPr>
          <w:rFonts w:asciiTheme="minorEastAsia" w:eastAsiaTheme="minorEastAsia" w:hAnsiTheme="minorEastAsia" w:hint="eastAsia"/>
          <w:bCs/>
          <w:sz w:val="24"/>
          <w:highlight w:val="white"/>
          <w:lang w:eastAsia="zh-CN"/>
        </w:rPr>
        <w:t>，详见本基金招募说明书及其更新</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如果登记结算机构和基金管理人在清算交收时发现不能正常履约的情形，则依据</w:t>
      </w:r>
      <w:r w:rsidRPr="00256C1C">
        <w:rPr>
          <w:rFonts w:asciiTheme="minorEastAsia" w:eastAsiaTheme="minorEastAsia" w:hAnsiTheme="minorEastAsia" w:hint="eastAsia"/>
          <w:bCs/>
          <w:sz w:val="24"/>
          <w:highlight w:val="white"/>
          <w:lang w:eastAsia="zh-CN"/>
        </w:rPr>
        <w:t>上海</w:t>
      </w:r>
      <w:r w:rsidRPr="00256C1C">
        <w:rPr>
          <w:rFonts w:asciiTheme="minorEastAsia" w:eastAsiaTheme="minorEastAsia" w:hAnsiTheme="minorEastAsia"/>
          <w:bCs/>
          <w:sz w:val="24"/>
          <w:highlight w:val="white"/>
          <w:lang w:eastAsia="zh-CN"/>
        </w:rPr>
        <w:t>证券交易所、中国证券登记结算有限责任公司相关业务</w:t>
      </w:r>
      <w:r w:rsidRPr="00256C1C">
        <w:rPr>
          <w:rFonts w:asciiTheme="minorEastAsia" w:eastAsiaTheme="minorEastAsia" w:hAnsiTheme="minorEastAsia" w:hint="eastAsia"/>
          <w:bCs/>
          <w:sz w:val="24"/>
          <w:highlight w:val="white"/>
          <w:lang w:eastAsia="zh-CN"/>
        </w:rPr>
        <w:t>规则</w:t>
      </w:r>
      <w:r w:rsidRPr="00256C1C">
        <w:rPr>
          <w:rFonts w:asciiTheme="minorEastAsia" w:eastAsiaTheme="minorEastAsia" w:hAnsiTheme="minorEastAsia"/>
          <w:bCs/>
          <w:sz w:val="24"/>
          <w:highlight w:val="white"/>
          <w:lang w:eastAsia="zh-CN"/>
        </w:rPr>
        <w:t>和参与各方相关协议</w:t>
      </w:r>
      <w:r w:rsidRPr="00256C1C">
        <w:rPr>
          <w:rFonts w:asciiTheme="minorEastAsia" w:eastAsiaTheme="minorEastAsia" w:hAnsiTheme="minorEastAsia" w:hint="eastAsia"/>
          <w:bCs/>
          <w:sz w:val="24"/>
          <w:highlight w:val="white"/>
          <w:lang w:eastAsia="zh-CN"/>
        </w:rPr>
        <w:t>及其不时修订</w:t>
      </w:r>
      <w:r w:rsidRPr="00256C1C">
        <w:rPr>
          <w:rFonts w:asciiTheme="minorEastAsia" w:eastAsiaTheme="minorEastAsia" w:hAnsiTheme="minorEastAsia"/>
          <w:bCs/>
          <w:sz w:val="24"/>
          <w:highlight w:val="white"/>
          <w:lang w:eastAsia="zh-CN"/>
        </w:rPr>
        <w:t>的有关规定进行处理。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登记结算机构和基金管理人可在法律法规允许的范围内，对申购与赎回的程序以及清算交收和登记的办理时间、方式、处理规则等进行调整。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五、申购和赎回的数量限制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1、投资者参与本基金的日常申购、赎回，需按最小申购、赎回单位的整数倍提交申请。最小申购、赎回单位由基金管理人确定和调整，具体请参见本基金招募说明书的规定。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2、</w:t>
      </w:r>
      <w:r w:rsidRPr="00256C1C">
        <w:rPr>
          <w:rFonts w:asciiTheme="minorEastAsia" w:eastAsiaTheme="minorEastAsia" w:hAnsiTheme="minorEastAsia"/>
          <w:bCs/>
          <w:sz w:val="24"/>
          <w:highlight w:val="white"/>
          <w:lang w:eastAsia="zh-CN"/>
        </w:rPr>
        <w:t>基金管理人可以规定投资人每个基金交易账户的最低基金份额余额，具体规定请参见招募说明书</w:t>
      </w:r>
      <w:r w:rsidRPr="00256C1C">
        <w:rPr>
          <w:rFonts w:asciiTheme="minorEastAsia" w:eastAsiaTheme="minorEastAsia" w:hAnsiTheme="minorEastAsia" w:hint="eastAsia"/>
          <w:bCs/>
          <w:sz w:val="24"/>
          <w:highlight w:val="white"/>
          <w:lang w:eastAsia="zh-CN"/>
        </w:rPr>
        <w:t>或相关公告</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w:t>
      </w:r>
      <w:r w:rsidRPr="00256C1C">
        <w:rPr>
          <w:rFonts w:asciiTheme="minorEastAsia" w:eastAsiaTheme="minorEastAsia" w:hAnsiTheme="minorEastAsia"/>
          <w:bCs/>
          <w:sz w:val="24"/>
          <w:highlight w:val="white"/>
          <w:lang w:eastAsia="zh-CN"/>
        </w:rPr>
        <w:t>基金管理人可以规定单个投资人累计持有的基金份额上限</w:t>
      </w:r>
      <w:r w:rsidRPr="00256C1C">
        <w:rPr>
          <w:rFonts w:asciiTheme="minorEastAsia" w:eastAsiaTheme="minorEastAsia" w:hAnsiTheme="minorEastAsia" w:hint="eastAsia"/>
          <w:bCs/>
          <w:sz w:val="24"/>
          <w:highlight w:val="white"/>
          <w:lang w:eastAsia="zh-CN"/>
        </w:rPr>
        <w:t>、单日或单笔申购份额上限和净申购比例上限</w:t>
      </w:r>
      <w:r w:rsidRPr="00256C1C">
        <w:rPr>
          <w:rFonts w:asciiTheme="minorEastAsia" w:eastAsiaTheme="minorEastAsia" w:hAnsiTheme="minorEastAsia"/>
          <w:bCs/>
          <w:sz w:val="24"/>
          <w:highlight w:val="white"/>
          <w:lang w:eastAsia="zh-CN"/>
        </w:rPr>
        <w:t>，具体规定请参见招募说明书</w:t>
      </w:r>
      <w:r w:rsidRPr="00256C1C">
        <w:rPr>
          <w:rFonts w:asciiTheme="minorEastAsia" w:eastAsiaTheme="minorEastAsia" w:hAnsiTheme="minorEastAsia" w:hint="eastAsia"/>
          <w:bCs/>
          <w:sz w:val="24"/>
          <w:highlight w:val="white"/>
          <w:lang w:eastAsia="zh-CN"/>
        </w:rPr>
        <w:t>或相关公告</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hint="eastAsia"/>
          <w:bCs/>
          <w:sz w:val="24"/>
          <w:highlight w:val="white"/>
          <w:lang w:eastAsia="zh-CN"/>
        </w:rPr>
        <w:t>4</w:t>
      </w:r>
      <w:r w:rsidRPr="00256C1C">
        <w:rPr>
          <w:rFonts w:asciiTheme="minorEastAsia" w:eastAsiaTheme="minorEastAsia" w:hAnsiTheme="minorEastAsia"/>
          <w:sz w:val="24"/>
          <w:highlight w:val="white"/>
          <w:lang w:eastAsia="zh-CN"/>
        </w:rPr>
        <w:t>、当接受申购申请对存量基金份额持有人利益构成潜在重大不利影响时，基金管理人应当采取设定单一投资者申购</w:t>
      </w:r>
      <w:r w:rsidRPr="00256C1C">
        <w:rPr>
          <w:rFonts w:asciiTheme="minorEastAsia" w:eastAsiaTheme="minorEastAsia" w:hAnsiTheme="minorEastAsia" w:hint="eastAsia"/>
          <w:sz w:val="24"/>
          <w:highlight w:val="white"/>
          <w:lang w:eastAsia="zh-CN"/>
        </w:rPr>
        <w:t>份额</w:t>
      </w:r>
      <w:r w:rsidRPr="00256C1C">
        <w:rPr>
          <w:rFonts w:asciiTheme="minorEastAsia" w:eastAsiaTheme="minorEastAsia" w:hAnsiTheme="minorEastAsia"/>
          <w:sz w:val="24"/>
          <w:highlight w:val="white"/>
          <w:lang w:eastAsia="zh-CN"/>
        </w:rPr>
        <w:t>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5、</w:t>
      </w:r>
      <w:r w:rsidRPr="00256C1C">
        <w:rPr>
          <w:rFonts w:asciiTheme="minorEastAsia" w:eastAsiaTheme="minorEastAsia" w:hAnsiTheme="minorEastAsia"/>
          <w:bCs/>
          <w:sz w:val="24"/>
          <w:highlight w:val="white"/>
          <w:lang w:eastAsia="zh-CN"/>
        </w:rPr>
        <w:t>基金管理人可</w:t>
      </w:r>
      <w:r w:rsidRPr="00256C1C">
        <w:rPr>
          <w:rFonts w:asciiTheme="minorEastAsia" w:eastAsiaTheme="minorEastAsia" w:hAnsiTheme="minorEastAsia" w:hint="eastAsia"/>
          <w:bCs/>
          <w:sz w:val="24"/>
          <w:highlight w:val="white"/>
          <w:lang w:eastAsia="zh-CN"/>
        </w:rPr>
        <w:t>根据基金运作情况、市场情况和投资人需求，</w:t>
      </w:r>
      <w:r w:rsidRPr="00256C1C">
        <w:rPr>
          <w:rFonts w:asciiTheme="minorEastAsia" w:eastAsiaTheme="minorEastAsia" w:hAnsiTheme="minorEastAsia"/>
          <w:bCs/>
          <w:sz w:val="24"/>
          <w:highlight w:val="white"/>
          <w:lang w:eastAsia="zh-CN"/>
        </w:rPr>
        <w:t>在法律法规允许的情况下，调整上述规定申购和赎回的数量限制</w:t>
      </w:r>
      <w:r w:rsidRPr="00256C1C">
        <w:rPr>
          <w:rFonts w:asciiTheme="minorEastAsia" w:eastAsiaTheme="minorEastAsia" w:hAnsiTheme="minorEastAsia" w:hint="eastAsia"/>
          <w:bCs/>
          <w:sz w:val="24"/>
          <w:highlight w:val="white"/>
          <w:lang w:eastAsia="zh-CN"/>
        </w:rPr>
        <w:t>，或者新增基金规模控制措施</w:t>
      </w:r>
      <w:r w:rsidRPr="00256C1C">
        <w:rPr>
          <w:rFonts w:asciiTheme="minorEastAsia" w:eastAsiaTheme="minorEastAsia" w:hAnsiTheme="minorEastAsia"/>
          <w:bCs/>
          <w:sz w:val="24"/>
          <w:highlight w:val="white"/>
          <w:lang w:eastAsia="zh-CN"/>
        </w:rPr>
        <w:t>。基金管理人</w:t>
      </w:r>
      <w:r w:rsidRPr="00256C1C">
        <w:rPr>
          <w:rFonts w:asciiTheme="minorEastAsia" w:eastAsiaTheme="minorEastAsia" w:hAnsiTheme="minorEastAsia" w:hint="eastAsia"/>
          <w:bCs/>
          <w:sz w:val="24"/>
          <w:highlight w:val="white"/>
          <w:lang w:eastAsia="zh-CN"/>
        </w:rPr>
        <w:t>必须在调整实施前依照</w:t>
      </w:r>
      <w:r w:rsidRPr="00256C1C">
        <w:rPr>
          <w:rFonts w:asciiTheme="minorEastAsia" w:eastAsiaTheme="minorEastAsia" w:hAnsiTheme="minorEastAsia"/>
          <w:bCs/>
          <w:sz w:val="24"/>
          <w:highlight w:val="white"/>
          <w:lang w:eastAsia="zh-CN"/>
        </w:rPr>
        <w:t>《信息披露办法》的有关规定在规定媒介上公告。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六、</w:t>
      </w:r>
      <w:bookmarkStart w:id="141" w:name="OLE_LINK26"/>
      <w:bookmarkStart w:id="142" w:name="OLE_LINK27"/>
      <w:r w:rsidRPr="00256C1C">
        <w:rPr>
          <w:rFonts w:asciiTheme="minorEastAsia" w:eastAsiaTheme="minorEastAsia" w:hAnsiTheme="minorEastAsia" w:hint="eastAsia"/>
          <w:bCs/>
          <w:sz w:val="24"/>
          <w:highlight w:val="white"/>
          <w:lang w:eastAsia="zh-CN"/>
        </w:rPr>
        <w:t>申购、赎回的对价及费用</w:t>
      </w:r>
      <w:bookmarkEnd w:id="141"/>
      <w:bookmarkEnd w:id="142"/>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申购对价、赎回对价的数额根据申购赎回清单和投资人申购、赎回的基金份额数额确定。申购对价是指投资人申购时应交付的组合证券、现金替代、现金差额及其他对价。赎回对价是指投资人赎回时，基金管理人应交付的组合证券、现金替代、现金差额及其他对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2、T日的基金份额净值在当天收市后计算，并在T+1日内公告，计算公式为计算日基金资产净值除以计算日发售在外的基金份额总数。</w:t>
      </w:r>
      <w:r w:rsidRPr="00256C1C">
        <w:rPr>
          <w:rFonts w:asciiTheme="minorEastAsia" w:eastAsiaTheme="minorEastAsia" w:hAnsiTheme="minorEastAsia"/>
          <w:bCs/>
          <w:sz w:val="24"/>
          <w:highlight w:val="white"/>
          <w:lang w:eastAsia="zh-CN"/>
        </w:rPr>
        <w:t>遇特殊情况，经履行适当程序，可以适当延迟计算或公告</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3、申购赎回清单由基金管理人编制。T日的申购赎回清单在当日上海证券交易所开市前公告。申购赎回清单的内容与格式示例见本基金招募说明书。</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若市场情况发生变化，或相关业务规则发生变化，或实际情况需要，基金管理人可以在不违反相关法律法规的情况下对申购对价、赎回对价组成、基金份额净值、</w:t>
      </w:r>
      <w:r w:rsidRPr="00256C1C">
        <w:rPr>
          <w:rFonts w:asciiTheme="minorEastAsia" w:eastAsiaTheme="minorEastAsia" w:hAnsiTheme="minorEastAsia"/>
          <w:bCs/>
          <w:sz w:val="24"/>
          <w:highlight w:val="white"/>
          <w:lang w:eastAsia="zh-CN"/>
        </w:rPr>
        <w:t>申购赎回清单计算和公告时间或频率进行调整并根据相关法规规定进行信息披露</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4、投资人在申购或赎回时，申购赎回代理券商可按照一定标准收取佣金，其中包含证券交易所、登记结算机构等收取的相关费用</w:t>
      </w:r>
      <w:r w:rsidRPr="00256C1C">
        <w:rPr>
          <w:rFonts w:asciiTheme="minorEastAsia" w:eastAsiaTheme="minorEastAsia" w:hAnsiTheme="minorEastAsia" w:hint="eastAsia"/>
          <w:sz w:val="24"/>
          <w:highlight w:val="white"/>
          <w:lang w:eastAsia="zh-CN"/>
        </w:rPr>
        <w:t>，具体见招募说明书</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七、</w:t>
      </w:r>
      <w:r w:rsidRPr="00256C1C">
        <w:rPr>
          <w:rFonts w:asciiTheme="minorEastAsia" w:eastAsiaTheme="minorEastAsia" w:hAnsiTheme="minorEastAsia" w:cs="宋体" w:hint="eastAsia"/>
          <w:sz w:val="24"/>
          <w:szCs w:val="24"/>
          <w:highlight w:val="white"/>
          <w:lang w:eastAsia="zh-CN"/>
        </w:rPr>
        <w:t>拒绝或暂停申购的情形</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hint="eastAsia"/>
          <w:sz w:val="24"/>
          <w:szCs w:val="24"/>
          <w:highlight w:val="white"/>
          <w:lang w:eastAsia="zh-CN"/>
        </w:rPr>
        <w:t>发生</w:t>
      </w:r>
      <w:r w:rsidRPr="00256C1C">
        <w:rPr>
          <w:rFonts w:asciiTheme="minorEastAsia" w:eastAsiaTheme="minorEastAsia" w:hAnsiTheme="minorEastAsia"/>
          <w:bCs/>
          <w:sz w:val="24"/>
          <w:highlight w:val="white"/>
          <w:lang w:eastAsia="zh-CN"/>
        </w:rPr>
        <w:t>下列情况时，基金管理人可拒绝或暂停接受投资人的申购申请：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因不可抗力导致基金无法正常运作</w:t>
      </w:r>
      <w:r w:rsidRPr="00256C1C">
        <w:rPr>
          <w:rFonts w:asciiTheme="minorEastAsia" w:eastAsiaTheme="minorEastAsia" w:hAnsiTheme="minorEastAsia" w:hint="eastAsia"/>
          <w:bCs/>
          <w:sz w:val="24"/>
          <w:highlight w:val="white"/>
          <w:lang w:eastAsia="zh-CN"/>
        </w:rPr>
        <w:t>或无法接受申购</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2、因特殊情况（包括但不限于</w:t>
      </w:r>
      <w:r w:rsidRPr="00256C1C">
        <w:rPr>
          <w:rFonts w:asciiTheme="minorEastAsia" w:eastAsiaTheme="minorEastAsia" w:hAnsiTheme="minorEastAsia"/>
          <w:bCs/>
          <w:sz w:val="24"/>
          <w:highlight w:val="white"/>
          <w:lang w:eastAsia="zh-CN"/>
        </w:rPr>
        <w:t>相关证券</w:t>
      </w:r>
      <w:r w:rsidRPr="00256C1C">
        <w:rPr>
          <w:rFonts w:asciiTheme="minorEastAsia" w:eastAsiaTheme="minorEastAsia" w:hAnsiTheme="minorEastAsia" w:hint="eastAsia"/>
          <w:bCs/>
          <w:sz w:val="24"/>
          <w:highlight w:val="white"/>
          <w:lang w:eastAsia="zh-CN"/>
        </w:rPr>
        <w:t>/期货</w:t>
      </w:r>
      <w:r w:rsidRPr="00256C1C">
        <w:rPr>
          <w:rFonts w:asciiTheme="minorEastAsia" w:eastAsiaTheme="minorEastAsia" w:hAnsiTheme="minorEastAsia"/>
          <w:bCs/>
          <w:sz w:val="24"/>
          <w:highlight w:val="white"/>
          <w:lang w:eastAsia="zh-CN"/>
        </w:rPr>
        <w:t>交易所依法决定临时停市或交易时间非正常停市</w:t>
      </w:r>
      <w:r w:rsidRPr="00256C1C">
        <w:rPr>
          <w:rFonts w:asciiTheme="minorEastAsia" w:eastAsiaTheme="minorEastAsia" w:hAnsiTheme="minorEastAsia" w:hint="eastAsia"/>
          <w:bCs/>
          <w:sz w:val="24"/>
          <w:highlight w:val="white"/>
          <w:lang w:eastAsia="zh-CN"/>
        </w:rPr>
        <w:t>），基金管理人无法计算当日基金资产净值或无法进行证券交易。</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3、发生基金合同规定的暂停基金资产估值情况时。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4、因异常情况，申购赎回清单无法编制、编制错误或无法公布，或基金管理人在开市后发现基金份额参考净值计算错误。</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5、基金管理人无法按时公布基金份额净值。</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6、相关证券/期货交易所、申购赎回代理券商、登记结算机构、证券经纪机构等因异常情况无法办理申购。本项所称异常情况指无法预见并不可控制的情形，包括但不限于系统故障、网络故障、通讯故障、电力故障、数据错误等。</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7、基金管理人认为</w:t>
      </w:r>
      <w:r w:rsidRPr="00256C1C">
        <w:rPr>
          <w:rFonts w:asciiTheme="minorEastAsia" w:eastAsiaTheme="minorEastAsia" w:hAnsiTheme="minorEastAsia"/>
          <w:bCs/>
          <w:sz w:val="24"/>
          <w:highlight w:val="white"/>
          <w:lang w:eastAsia="zh-CN"/>
        </w:rPr>
        <w:t>接受某笔或某些申购申请可能会影响或损害现有基金份额持有人利益时。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8、基金管理人可根据市场情况在申购赎回清单中设置申购份额上限，如果</w:t>
      </w:r>
      <w:r w:rsidRPr="00256C1C">
        <w:rPr>
          <w:rFonts w:asciiTheme="minorEastAsia" w:eastAsiaTheme="minorEastAsia" w:hAnsiTheme="minorEastAsia"/>
          <w:bCs/>
          <w:sz w:val="24"/>
          <w:highlight w:val="white"/>
          <w:lang w:eastAsia="zh-CN"/>
        </w:rPr>
        <w:t>一笔新的</w:t>
      </w:r>
      <w:r w:rsidRPr="00256C1C">
        <w:rPr>
          <w:rFonts w:asciiTheme="minorEastAsia" w:eastAsiaTheme="minorEastAsia" w:hAnsiTheme="minorEastAsia" w:hint="eastAsia"/>
          <w:bCs/>
          <w:sz w:val="24"/>
          <w:highlight w:val="white"/>
          <w:lang w:eastAsia="zh-CN"/>
        </w:rPr>
        <w:t>申购申请被确认成功，会使本基金当日申购份额超过申购赎回清单中规定的申购份额上限时，</w:t>
      </w:r>
      <w:r w:rsidRPr="00256C1C">
        <w:rPr>
          <w:rFonts w:asciiTheme="minorEastAsia" w:eastAsiaTheme="minorEastAsia" w:hAnsiTheme="minorEastAsia"/>
          <w:bCs/>
          <w:sz w:val="24"/>
          <w:highlight w:val="white"/>
          <w:lang w:eastAsia="zh-CN"/>
        </w:rPr>
        <w:t>该笔申购申请将被</w:t>
      </w:r>
      <w:r w:rsidRPr="00256C1C">
        <w:rPr>
          <w:rFonts w:asciiTheme="minorEastAsia" w:eastAsiaTheme="minorEastAsia" w:hAnsiTheme="minorEastAsia" w:hint="eastAsia"/>
          <w:bCs/>
          <w:sz w:val="24"/>
          <w:highlight w:val="white"/>
          <w:lang w:eastAsia="zh-CN"/>
        </w:rPr>
        <w:t>拒绝</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9、基金资产规模过大，使基金管理人无法找到合适的投资品种，或其他可能对基金业绩产生负面影响，或基金管理人认定的其他损害现有基金份额持有人利益的情形。</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10、基金所投资的投资品种的估值出现重大转变时。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11、</w:t>
      </w:r>
      <w:r w:rsidRPr="00256C1C">
        <w:rPr>
          <w:rFonts w:asciiTheme="minorEastAsia" w:eastAsiaTheme="minorEastAsia" w:hAnsiTheme="minorEastAsia"/>
          <w:bCs/>
          <w:sz w:val="24"/>
          <w:highlight w:val="white"/>
          <w:lang w:eastAsia="zh-CN"/>
        </w:rPr>
        <w:t>当一笔新的</w:t>
      </w:r>
      <w:r w:rsidRPr="00256C1C">
        <w:rPr>
          <w:rFonts w:asciiTheme="minorEastAsia" w:eastAsiaTheme="minorEastAsia" w:hAnsiTheme="minorEastAsia" w:hint="eastAsia"/>
          <w:bCs/>
          <w:sz w:val="24"/>
          <w:highlight w:val="white"/>
          <w:lang w:eastAsia="zh-CN"/>
        </w:rPr>
        <w:t>申购申请被确认成功，使本基金总规模超过基金管理人规定的本基金总规模上限时；或使本基金单日申购份额或</w:t>
      </w:r>
      <w:r w:rsidRPr="00256C1C">
        <w:rPr>
          <w:rFonts w:asciiTheme="minorEastAsia" w:eastAsiaTheme="minorEastAsia" w:hAnsiTheme="minorEastAsia"/>
          <w:bCs/>
          <w:sz w:val="24"/>
          <w:highlight w:val="white"/>
          <w:lang w:eastAsia="zh-CN"/>
        </w:rPr>
        <w:t>净申购比例</w:t>
      </w:r>
      <w:r w:rsidRPr="00256C1C">
        <w:rPr>
          <w:rFonts w:asciiTheme="minorEastAsia" w:eastAsiaTheme="minorEastAsia" w:hAnsiTheme="minorEastAsia" w:hint="eastAsia"/>
          <w:bCs/>
          <w:sz w:val="24"/>
          <w:highlight w:val="white"/>
          <w:lang w:eastAsia="zh-CN"/>
        </w:rPr>
        <w:t>超过基金管理人规定的当日申购份额或</w:t>
      </w:r>
      <w:r w:rsidRPr="00256C1C">
        <w:rPr>
          <w:rFonts w:asciiTheme="minorEastAsia" w:eastAsiaTheme="minorEastAsia" w:hAnsiTheme="minorEastAsia"/>
          <w:bCs/>
          <w:sz w:val="24"/>
          <w:highlight w:val="white"/>
          <w:lang w:eastAsia="zh-CN"/>
        </w:rPr>
        <w:t>净申购比例</w:t>
      </w:r>
      <w:r w:rsidRPr="00256C1C">
        <w:rPr>
          <w:rFonts w:asciiTheme="minorEastAsia" w:eastAsiaTheme="minorEastAsia" w:hAnsiTheme="minorEastAsia" w:hint="eastAsia"/>
          <w:bCs/>
          <w:sz w:val="24"/>
          <w:highlight w:val="white"/>
          <w:lang w:eastAsia="zh-CN"/>
        </w:rPr>
        <w:t>上限时；或该投资人累计持有的份额超过单个投资人累计持有的份额上限时；或该投资人当日申购份额超过单个投资人单日或</w:t>
      </w:r>
      <w:r w:rsidRPr="00256C1C">
        <w:rPr>
          <w:rFonts w:asciiTheme="minorEastAsia" w:eastAsiaTheme="minorEastAsia" w:hAnsiTheme="minorEastAsia"/>
          <w:bCs/>
          <w:sz w:val="24"/>
          <w:highlight w:val="white"/>
          <w:lang w:eastAsia="zh-CN"/>
        </w:rPr>
        <w:t>单笔</w:t>
      </w:r>
      <w:r w:rsidRPr="00256C1C">
        <w:rPr>
          <w:rFonts w:asciiTheme="minorEastAsia" w:eastAsiaTheme="minorEastAsia" w:hAnsiTheme="minorEastAsia" w:hint="eastAsia"/>
          <w:bCs/>
          <w:sz w:val="24"/>
          <w:highlight w:val="white"/>
          <w:lang w:eastAsia="zh-CN"/>
        </w:rPr>
        <w:t>申购份额上限时。</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hint="eastAsia"/>
          <w:bCs/>
          <w:sz w:val="24"/>
          <w:highlight w:val="white"/>
          <w:lang w:eastAsia="zh-CN"/>
        </w:rPr>
        <w:t>12</w:t>
      </w:r>
      <w:r w:rsidRPr="00256C1C">
        <w:rPr>
          <w:rFonts w:asciiTheme="minorEastAsia" w:eastAsiaTheme="minorEastAsia" w:hAnsiTheme="minorEastAsia" w:hint="eastAsia"/>
          <w:sz w:val="24"/>
          <w:highlight w:val="white"/>
          <w:lang w:eastAsia="zh-CN"/>
        </w:rPr>
        <w:t>、当前一估值日基金资产净值50%以上的资产出现无可参考的活跃市场价格且采用估值技术仍导致公允价值存在重大不确定性时，经与基金托管人协商确认后，基金管理人应当暂停接受基金申购申请。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13、其他</w:t>
      </w:r>
      <w:r w:rsidRPr="00256C1C">
        <w:rPr>
          <w:rFonts w:asciiTheme="minorEastAsia" w:eastAsiaTheme="minorEastAsia" w:hAnsiTheme="minorEastAsia"/>
          <w:bCs/>
          <w:sz w:val="24"/>
          <w:highlight w:val="white"/>
          <w:lang w:eastAsia="zh-CN"/>
        </w:rPr>
        <w:t>损害现有基金份额持有人利益的情形</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14、</w:t>
      </w:r>
      <w:r w:rsidRPr="00256C1C">
        <w:rPr>
          <w:rFonts w:asciiTheme="minorEastAsia" w:eastAsiaTheme="minorEastAsia" w:hAnsiTheme="minorEastAsia"/>
          <w:bCs/>
          <w:sz w:val="24"/>
          <w:highlight w:val="white"/>
          <w:lang w:eastAsia="zh-CN"/>
        </w:rPr>
        <w:t>法律法规规定</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中国证监会</w:t>
      </w:r>
      <w:r w:rsidRPr="00256C1C">
        <w:rPr>
          <w:rFonts w:asciiTheme="minorEastAsia" w:eastAsiaTheme="minorEastAsia" w:hAnsiTheme="minorEastAsia" w:hint="eastAsia"/>
          <w:bCs/>
          <w:sz w:val="24"/>
          <w:highlight w:val="white"/>
          <w:lang w:eastAsia="zh-CN"/>
        </w:rPr>
        <w:t>或上海证券交易所</w:t>
      </w:r>
      <w:r w:rsidRPr="00256C1C">
        <w:rPr>
          <w:rFonts w:asciiTheme="minorEastAsia" w:eastAsiaTheme="minorEastAsia" w:hAnsiTheme="minorEastAsia"/>
          <w:bCs/>
          <w:sz w:val="24"/>
          <w:highlight w:val="white"/>
          <w:lang w:eastAsia="zh-CN"/>
        </w:rPr>
        <w:t>认定的其他情形。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发生上述第1、2、3、4、5、6、9、10、11、12、13、14项情形</w:t>
      </w:r>
      <w:r w:rsidRPr="00256C1C">
        <w:rPr>
          <w:rFonts w:asciiTheme="minorEastAsia" w:eastAsiaTheme="minorEastAsia" w:hAnsiTheme="minorEastAsia"/>
          <w:bCs/>
          <w:sz w:val="24"/>
          <w:highlight w:val="white"/>
          <w:lang w:eastAsia="zh-CN"/>
        </w:rPr>
        <w:t>且基金管理人决定暂停接受投资人申购申请时，基金管理人应当根据有关规定在规定媒介上刊登暂停申购公告。如果投资人的申购申请被拒绝，被拒绝的申购</w:t>
      </w:r>
      <w:r w:rsidRPr="00256C1C">
        <w:rPr>
          <w:rFonts w:asciiTheme="minorEastAsia" w:eastAsiaTheme="minorEastAsia" w:hAnsiTheme="minorEastAsia" w:hint="eastAsia"/>
          <w:bCs/>
          <w:sz w:val="24"/>
          <w:highlight w:val="white"/>
          <w:lang w:eastAsia="zh-CN"/>
        </w:rPr>
        <w:t>对价</w:t>
      </w:r>
      <w:r w:rsidRPr="00256C1C">
        <w:rPr>
          <w:rFonts w:asciiTheme="minorEastAsia" w:eastAsiaTheme="minorEastAsia" w:hAnsiTheme="minorEastAsia"/>
          <w:bCs/>
          <w:sz w:val="24"/>
          <w:highlight w:val="white"/>
          <w:lang w:eastAsia="zh-CN"/>
        </w:rPr>
        <w:t>将退还给投资人。在暂停申购的情况消除时，基金管理人应及时恢复申购业务的办理</w:t>
      </w:r>
      <w:r w:rsidRPr="00256C1C">
        <w:rPr>
          <w:rFonts w:asciiTheme="minorEastAsia" w:eastAsiaTheme="minorEastAsia" w:hAnsiTheme="minorEastAsia" w:cs="宋体" w:hint="eastAsia"/>
          <w:sz w:val="24"/>
          <w:szCs w:val="24"/>
          <w:highlight w:val="white"/>
          <w:lang w:eastAsia="zh-CN"/>
        </w:rPr>
        <w:t>。</w:t>
      </w:r>
      <w:bookmarkStart w:id="143" w:name="_Hlt70481650"/>
      <w:bookmarkEnd w:id="143"/>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八、暂停赎回或延缓支付赎回对价的情形</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hint="eastAsia"/>
          <w:sz w:val="24"/>
          <w:szCs w:val="24"/>
          <w:highlight w:val="white"/>
          <w:lang w:eastAsia="zh-CN"/>
        </w:rPr>
        <w:t>发生</w:t>
      </w:r>
      <w:r w:rsidRPr="00256C1C">
        <w:rPr>
          <w:rFonts w:asciiTheme="minorEastAsia" w:eastAsiaTheme="minorEastAsia" w:hAnsiTheme="minorEastAsia"/>
          <w:bCs/>
          <w:sz w:val="24"/>
          <w:highlight w:val="white"/>
          <w:lang w:eastAsia="zh-CN"/>
        </w:rPr>
        <w:t>下列情形时，基金管理人可暂停接受投资人的赎回申请或延缓支付赎回</w:t>
      </w:r>
      <w:r w:rsidRPr="00256C1C">
        <w:rPr>
          <w:rFonts w:asciiTheme="minorEastAsia" w:eastAsiaTheme="minorEastAsia" w:hAnsiTheme="minorEastAsia" w:hint="eastAsia"/>
          <w:bCs/>
          <w:sz w:val="24"/>
          <w:highlight w:val="white"/>
          <w:lang w:eastAsia="zh-CN"/>
        </w:rPr>
        <w:t>对价</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因不可抗力导致基金</w:t>
      </w:r>
      <w:r w:rsidRPr="00256C1C">
        <w:rPr>
          <w:rFonts w:asciiTheme="minorEastAsia" w:eastAsiaTheme="minorEastAsia" w:hAnsiTheme="minorEastAsia" w:hint="eastAsia"/>
          <w:bCs/>
          <w:sz w:val="24"/>
          <w:highlight w:val="white"/>
          <w:lang w:eastAsia="zh-CN"/>
        </w:rPr>
        <w:t>无法正常运作或无法接受赎回</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2、因特殊情况（</w:t>
      </w:r>
      <w:r w:rsidRPr="00256C1C">
        <w:rPr>
          <w:rFonts w:asciiTheme="minorEastAsia" w:eastAsiaTheme="minorEastAsia" w:hAnsiTheme="minorEastAsia"/>
          <w:bCs/>
          <w:sz w:val="24"/>
          <w:highlight w:val="white"/>
          <w:lang w:eastAsia="zh-CN"/>
        </w:rPr>
        <w:t>包括但不限于相关证券/</w:t>
      </w:r>
      <w:r w:rsidRPr="00256C1C">
        <w:rPr>
          <w:rFonts w:asciiTheme="minorEastAsia" w:eastAsiaTheme="minorEastAsia" w:hAnsiTheme="minorEastAsia" w:hint="eastAsia"/>
          <w:bCs/>
          <w:sz w:val="24"/>
          <w:highlight w:val="white"/>
          <w:lang w:eastAsia="zh-CN"/>
        </w:rPr>
        <w:t>期货</w:t>
      </w:r>
      <w:r w:rsidRPr="00256C1C">
        <w:rPr>
          <w:rFonts w:asciiTheme="minorEastAsia" w:eastAsiaTheme="minorEastAsia" w:hAnsiTheme="minorEastAsia"/>
          <w:bCs/>
          <w:sz w:val="24"/>
          <w:highlight w:val="white"/>
          <w:lang w:eastAsia="zh-CN"/>
        </w:rPr>
        <w:t>交易所依法决定临时停市或交易时间非正常停市</w:t>
      </w:r>
      <w:r w:rsidRPr="00256C1C">
        <w:rPr>
          <w:rFonts w:asciiTheme="minorEastAsia" w:eastAsiaTheme="minorEastAsia" w:hAnsiTheme="minorEastAsia" w:hint="eastAsia"/>
          <w:bCs/>
          <w:sz w:val="24"/>
          <w:highlight w:val="white"/>
          <w:lang w:eastAsia="zh-CN"/>
        </w:rPr>
        <w:t>），基金管理人无法计算当日基金资产净值或无法进行证券交易。</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3、发生基金合同规定的暂停基金资产估值情况时。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4、因异常情况，申购赎回清单无法编制、编制错误或无法公布，或基金管理人在开市后发现基金份额参考净值计算错误。</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5、基金管理人可根据市场情况在申购赎回清单中设置赎回份额上限，如果</w:t>
      </w:r>
      <w:r w:rsidRPr="00256C1C">
        <w:rPr>
          <w:rFonts w:asciiTheme="minorEastAsia" w:eastAsiaTheme="minorEastAsia" w:hAnsiTheme="minorEastAsia"/>
          <w:bCs/>
          <w:sz w:val="24"/>
          <w:highlight w:val="white"/>
          <w:lang w:eastAsia="zh-CN"/>
        </w:rPr>
        <w:t>一笔新的</w:t>
      </w:r>
      <w:r w:rsidRPr="00256C1C">
        <w:rPr>
          <w:rFonts w:asciiTheme="minorEastAsia" w:eastAsiaTheme="minorEastAsia" w:hAnsiTheme="minorEastAsia" w:hint="eastAsia"/>
          <w:bCs/>
          <w:sz w:val="24"/>
          <w:highlight w:val="white"/>
          <w:lang w:eastAsia="zh-CN"/>
        </w:rPr>
        <w:t>赎回申请被确认成功，会使本基金当日赎回份额超过申购赎回清单中规定的赎回份额上限时，</w:t>
      </w:r>
      <w:r w:rsidRPr="00256C1C">
        <w:rPr>
          <w:rFonts w:asciiTheme="minorEastAsia" w:eastAsiaTheme="minorEastAsia" w:hAnsiTheme="minorEastAsia"/>
          <w:bCs/>
          <w:sz w:val="24"/>
          <w:highlight w:val="white"/>
          <w:lang w:eastAsia="zh-CN"/>
        </w:rPr>
        <w:t>该笔</w:t>
      </w:r>
      <w:r w:rsidRPr="00256C1C">
        <w:rPr>
          <w:rFonts w:asciiTheme="minorEastAsia" w:eastAsiaTheme="minorEastAsia" w:hAnsiTheme="minorEastAsia" w:hint="eastAsia"/>
          <w:bCs/>
          <w:sz w:val="24"/>
          <w:highlight w:val="white"/>
          <w:lang w:eastAsia="zh-CN"/>
        </w:rPr>
        <w:t>赎回</w:t>
      </w:r>
      <w:r w:rsidRPr="00256C1C">
        <w:rPr>
          <w:rFonts w:asciiTheme="minorEastAsia" w:eastAsiaTheme="minorEastAsia" w:hAnsiTheme="minorEastAsia"/>
          <w:bCs/>
          <w:sz w:val="24"/>
          <w:highlight w:val="white"/>
          <w:lang w:eastAsia="zh-CN"/>
        </w:rPr>
        <w:t>申请将被</w:t>
      </w:r>
      <w:r w:rsidRPr="00256C1C">
        <w:rPr>
          <w:rFonts w:asciiTheme="minorEastAsia" w:eastAsiaTheme="minorEastAsia" w:hAnsiTheme="minorEastAsia" w:hint="eastAsia"/>
          <w:bCs/>
          <w:sz w:val="24"/>
          <w:highlight w:val="white"/>
          <w:lang w:eastAsia="zh-CN"/>
        </w:rPr>
        <w:t>拒绝。</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w:t>
      </w:r>
      <w:r w:rsidRPr="00256C1C">
        <w:rPr>
          <w:rFonts w:asciiTheme="minorEastAsia" w:eastAsiaTheme="minorEastAsia" w:hAnsiTheme="minorEastAsia" w:hint="eastAsia"/>
          <w:bCs/>
          <w:sz w:val="24"/>
          <w:highlight w:val="white"/>
          <w:lang w:eastAsia="zh-CN"/>
        </w:rPr>
        <w:t>、基金所投资的投资品种的估值出现重大转变时。</w:t>
      </w:r>
    </w:p>
    <w:p w:rsidR="00C57945" w:rsidRPr="00256C1C">
      <w:pPr>
        <w:spacing w:line="360" w:lineRule="auto"/>
        <w:ind w:firstLine="480" w:firstLineChars="200"/>
        <w:rPr>
          <w:rFonts w:asciiTheme="minorEastAsia" w:eastAsiaTheme="minorEastAsia" w:hAnsiTheme="minorEastAsia"/>
          <w:lang w:eastAsia="zh-CN"/>
        </w:rPr>
      </w:pPr>
      <w:r w:rsidRPr="00256C1C">
        <w:rPr>
          <w:rFonts w:asciiTheme="minorEastAsia" w:eastAsiaTheme="minorEastAsia" w:hAnsiTheme="minorEastAsia"/>
          <w:bCs/>
          <w:sz w:val="24"/>
          <w:highlight w:val="white"/>
          <w:lang w:eastAsia="zh-CN"/>
        </w:rPr>
        <w:t>7</w:t>
      </w:r>
      <w:r w:rsidRPr="00256C1C">
        <w:rPr>
          <w:rFonts w:asciiTheme="minorEastAsia" w:eastAsiaTheme="minorEastAsia" w:hAnsiTheme="minorEastAsia" w:hint="eastAsia"/>
          <w:bCs/>
          <w:sz w:val="24"/>
          <w:highlight w:val="white"/>
          <w:lang w:eastAsia="zh-CN"/>
        </w:rPr>
        <w:t>、出现基金管理人认为属于紧急事故的情况（包括但不限于占基金相当比例的投资品种因停牌或其它客观情况无法变现），导致基金管理人不能出售或评估基金资产。</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sz w:val="24"/>
          <w:highlight w:val="white"/>
          <w:lang w:eastAsia="zh-CN"/>
        </w:rPr>
        <w:t>8、发生继续赎回申请将损害现有基金份额持有人利益时，可暂停接受基金份额持有人的赎回申请。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sz w:val="24"/>
          <w:highlight w:val="white"/>
          <w:lang w:eastAsia="zh-CN"/>
        </w:rPr>
        <w:t>9、当前一估值日基金资产净值50%以上的资产出现无可参考的活跃市场价格且采用估值技术仍导致公允价值存在重大不确定性时，经与基金托管人协商确认后，基金管理人应当延缓支付赎回</w:t>
      </w:r>
      <w:r w:rsidRPr="00256C1C">
        <w:rPr>
          <w:rFonts w:asciiTheme="minorEastAsia" w:eastAsiaTheme="minorEastAsia" w:hAnsiTheme="minorEastAsia" w:hint="eastAsia"/>
          <w:sz w:val="24"/>
          <w:highlight w:val="white"/>
          <w:lang w:eastAsia="zh-CN"/>
        </w:rPr>
        <w:t>对价</w:t>
      </w:r>
      <w:r w:rsidRPr="00256C1C">
        <w:rPr>
          <w:rFonts w:asciiTheme="minorEastAsia" w:eastAsiaTheme="minorEastAsia" w:hAnsiTheme="minorEastAsia"/>
          <w:sz w:val="24"/>
          <w:highlight w:val="white"/>
          <w:lang w:eastAsia="zh-CN"/>
        </w:rPr>
        <w:t>或暂停接受基金赎回申请。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w:t>
      </w:r>
      <w:r w:rsidRPr="00256C1C">
        <w:rPr>
          <w:rFonts w:asciiTheme="minorEastAsia" w:eastAsiaTheme="minorEastAsia" w:hAnsiTheme="minorEastAsia"/>
          <w:bCs/>
          <w:sz w:val="24"/>
          <w:highlight w:val="white"/>
          <w:lang w:eastAsia="zh-CN"/>
        </w:rPr>
        <w:t>0</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法律法规规定</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中国证监会</w:t>
      </w:r>
      <w:r w:rsidRPr="00256C1C">
        <w:rPr>
          <w:rFonts w:asciiTheme="minorEastAsia" w:eastAsiaTheme="minorEastAsia" w:hAnsiTheme="minorEastAsia" w:hint="eastAsia"/>
          <w:bCs/>
          <w:sz w:val="24"/>
          <w:highlight w:val="white"/>
          <w:lang w:eastAsia="zh-CN"/>
        </w:rPr>
        <w:t>或上海证券交易所</w:t>
      </w:r>
      <w:r w:rsidRPr="00256C1C">
        <w:rPr>
          <w:rFonts w:asciiTheme="minorEastAsia" w:eastAsiaTheme="minorEastAsia" w:hAnsiTheme="minorEastAsia"/>
          <w:bCs/>
          <w:sz w:val="24"/>
          <w:highlight w:val="white"/>
          <w:lang w:eastAsia="zh-CN"/>
        </w:rPr>
        <w:t>认定的其他情形。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发生</w:t>
      </w:r>
      <w:r w:rsidRPr="00256C1C">
        <w:rPr>
          <w:rFonts w:asciiTheme="minorEastAsia" w:eastAsiaTheme="minorEastAsia" w:hAnsiTheme="minorEastAsia" w:hint="eastAsia"/>
          <w:bCs/>
          <w:sz w:val="24"/>
          <w:highlight w:val="white"/>
          <w:lang w:eastAsia="zh-CN"/>
        </w:rPr>
        <w:t>除</w:t>
      </w:r>
      <w:r w:rsidRPr="00256C1C">
        <w:rPr>
          <w:rFonts w:asciiTheme="minorEastAsia" w:eastAsiaTheme="minorEastAsia" w:hAnsiTheme="minorEastAsia"/>
          <w:bCs/>
          <w:sz w:val="24"/>
          <w:highlight w:val="white"/>
          <w:lang w:eastAsia="zh-CN"/>
        </w:rPr>
        <w:t>上述</w:t>
      </w:r>
      <w:r w:rsidRPr="00256C1C">
        <w:rPr>
          <w:rFonts w:asciiTheme="minorEastAsia" w:eastAsiaTheme="minorEastAsia" w:hAnsiTheme="minorEastAsia" w:hint="eastAsia"/>
          <w:bCs/>
          <w:sz w:val="24"/>
          <w:highlight w:val="white"/>
          <w:lang w:eastAsia="zh-CN"/>
        </w:rPr>
        <w:t>第</w:t>
      </w:r>
      <w:r w:rsidRPr="00256C1C">
        <w:rPr>
          <w:rFonts w:asciiTheme="minorEastAsia" w:eastAsiaTheme="minorEastAsia" w:hAnsiTheme="minorEastAsia"/>
          <w:bCs/>
          <w:sz w:val="24"/>
          <w:highlight w:val="white"/>
          <w:lang w:eastAsia="zh-CN"/>
        </w:rPr>
        <w:t>5</w:t>
      </w:r>
      <w:r w:rsidRPr="00256C1C">
        <w:rPr>
          <w:rFonts w:asciiTheme="minorEastAsia" w:eastAsiaTheme="minorEastAsia" w:hAnsiTheme="minorEastAsia" w:hint="eastAsia"/>
          <w:bCs/>
          <w:sz w:val="24"/>
          <w:highlight w:val="white"/>
          <w:lang w:eastAsia="zh-CN"/>
        </w:rPr>
        <w:t>项以外的</w:t>
      </w:r>
      <w:r w:rsidRPr="00256C1C">
        <w:rPr>
          <w:rFonts w:asciiTheme="minorEastAsia" w:eastAsiaTheme="minorEastAsia" w:hAnsiTheme="minorEastAsia"/>
          <w:bCs/>
          <w:sz w:val="24"/>
          <w:highlight w:val="white"/>
          <w:lang w:eastAsia="zh-CN"/>
        </w:rPr>
        <w:t>情形且基金管理人决定暂停赎回或延缓支付赎回</w:t>
      </w:r>
      <w:r w:rsidRPr="00256C1C">
        <w:rPr>
          <w:rFonts w:asciiTheme="minorEastAsia" w:eastAsiaTheme="minorEastAsia" w:hAnsiTheme="minorEastAsia" w:hint="eastAsia"/>
          <w:bCs/>
          <w:sz w:val="24"/>
          <w:highlight w:val="white"/>
          <w:lang w:eastAsia="zh-CN"/>
        </w:rPr>
        <w:t>对价</w:t>
      </w:r>
      <w:r w:rsidRPr="00256C1C">
        <w:rPr>
          <w:rFonts w:asciiTheme="minorEastAsia" w:eastAsiaTheme="minorEastAsia" w:hAnsiTheme="minorEastAsia"/>
          <w:bCs/>
          <w:sz w:val="24"/>
          <w:highlight w:val="white"/>
          <w:lang w:eastAsia="zh-CN"/>
        </w:rPr>
        <w:t>时，基金管理人应</w:t>
      </w:r>
      <w:r w:rsidRPr="00256C1C">
        <w:rPr>
          <w:rFonts w:asciiTheme="minorEastAsia" w:eastAsiaTheme="minorEastAsia" w:hAnsiTheme="minorEastAsia" w:hint="eastAsia"/>
          <w:bCs/>
          <w:sz w:val="24"/>
          <w:highlight w:val="white"/>
          <w:lang w:eastAsia="zh-CN"/>
        </w:rPr>
        <w:t>按规定</w:t>
      </w:r>
      <w:r w:rsidRPr="00256C1C">
        <w:rPr>
          <w:rFonts w:asciiTheme="minorEastAsia" w:eastAsiaTheme="minorEastAsia" w:hAnsiTheme="minorEastAsia"/>
          <w:bCs/>
          <w:sz w:val="24"/>
          <w:highlight w:val="white"/>
          <w:lang w:eastAsia="zh-CN"/>
        </w:rPr>
        <w:t>报中国证监会备案。在暂停赎回的情况消除时，基金管理人应及时恢复赎回业务的办理</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九、</w:t>
      </w:r>
      <w:r w:rsidRPr="00256C1C">
        <w:rPr>
          <w:rFonts w:asciiTheme="minorEastAsia" w:eastAsiaTheme="minorEastAsia" w:hAnsiTheme="minorEastAsia"/>
          <w:bCs/>
          <w:sz w:val="24"/>
          <w:highlight w:val="white"/>
          <w:lang w:eastAsia="zh-CN"/>
        </w:rPr>
        <w:t>基金</w:t>
      </w:r>
      <w:r w:rsidRPr="00256C1C">
        <w:rPr>
          <w:rFonts w:asciiTheme="minorEastAsia" w:eastAsiaTheme="minorEastAsia" w:hAnsiTheme="minorEastAsia" w:hint="eastAsia"/>
          <w:bCs/>
          <w:sz w:val="24"/>
          <w:highlight w:val="white"/>
          <w:lang w:eastAsia="zh-CN"/>
        </w:rPr>
        <w:t>份额</w:t>
      </w:r>
      <w:r w:rsidRPr="00256C1C">
        <w:rPr>
          <w:rFonts w:asciiTheme="minorEastAsia" w:eastAsiaTheme="minorEastAsia" w:hAnsiTheme="minorEastAsia"/>
          <w:bCs/>
          <w:sz w:val="24"/>
          <w:highlight w:val="white"/>
          <w:lang w:eastAsia="zh-CN"/>
        </w:rPr>
        <w:t>的非交易过户</w:t>
      </w:r>
      <w:r w:rsidRPr="00256C1C">
        <w:rPr>
          <w:rFonts w:asciiTheme="minorEastAsia" w:eastAsiaTheme="minorEastAsia" w:hAnsiTheme="minorEastAsia" w:hint="eastAsia"/>
          <w:bCs/>
          <w:sz w:val="24"/>
          <w:highlight w:val="white"/>
          <w:lang w:eastAsia="zh-CN"/>
        </w:rPr>
        <w:t>、冻结及解冻</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登记结算机构可依据其业务规则，受理基金份额的非交易过户、冻结与解冻等业务，并收取一定的手续费用。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十、</w:t>
      </w:r>
      <w:r w:rsidRPr="00256C1C">
        <w:rPr>
          <w:rFonts w:asciiTheme="minorEastAsia" w:eastAsiaTheme="minorEastAsia" w:hAnsiTheme="minorEastAsia"/>
          <w:bCs/>
          <w:sz w:val="24"/>
          <w:highlight w:val="white"/>
          <w:lang w:eastAsia="zh-CN"/>
        </w:rPr>
        <w:t>基金的</w:t>
      </w:r>
      <w:r w:rsidRPr="00256C1C">
        <w:rPr>
          <w:rFonts w:asciiTheme="minorEastAsia" w:eastAsiaTheme="minorEastAsia" w:hAnsiTheme="minorEastAsia" w:hint="eastAsia"/>
          <w:bCs/>
          <w:sz w:val="24"/>
          <w:highlight w:val="white"/>
          <w:lang w:eastAsia="zh-CN"/>
        </w:rPr>
        <w:t>质押</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在条件许可的情况下，登记结算机构可依据相关法律法规及其业务规则，办理基金份额质押业务，并可收取一定的手续费。</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十一、集合申购和其他服务</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1、在条件允许时，基金管理人可开放集合申购，在对基金份额持有人利益无实质不利影响的前提下，基金管理人有权制定集合申购业务的相关规则。</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2、在不违反法律法规及对基金份额持有人利益无实质不利影响的前提下，基金管理人也可采取其他合理的申购赎回方式，并于新的申购赎回方式开始执行前根据相关法规规定进行信息披露。</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3、基金管理人可以根据具体情况开通本基金的场外申购赎回等业务，场外申购赎回的具体办理方式等相关事项届时将根据相关法规规定进行信息披露。</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4、基金管理人可以在不违反法律法规规定且对基金份额持有人无实质性不利影响的前提下，调整基金申购赎回方式或申购赎回对价组成，并根据相关法规规定进行信息披露</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5、若本基金推出联接基金，在条件许可的情况下，联接基金可以用股票或现金特殊申购本基金基金份额，不收取申购费用。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6、基金管理人指定的代理机构可依据本基金合同开展其他服务，双方需签订书面委托代理协议。</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十二、若上海证券交易所和中国证券登记结算有限责任公司针对交易型开放式指数证券投资基金推出新的清算交收与登记模式并引入新的申购、赎回方式，本基金管理人有权调整本基金的清算交收与登记模式及申购、赎回方式，或新增本基金的清算交收与登记模式并引入新的申购、赎回方式，届时将发布公告予以披露并在本基金基金合同、招募说明书及其更新中予以更新，无须召开基金份额持有人大会审议。</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hint="eastAsia"/>
          <w:bCs/>
          <w:sz w:val="24"/>
          <w:highlight w:val="white"/>
          <w:lang w:eastAsia="zh-CN"/>
        </w:rPr>
        <w:t>十三、基金管理人可在法律法规允许的范围内，在对基金份额持有人无实质性不利影响的前提下，</w:t>
      </w:r>
      <w:r w:rsidRPr="00256C1C">
        <w:rPr>
          <w:rFonts w:asciiTheme="minorEastAsia" w:eastAsiaTheme="minorEastAsia" w:hAnsiTheme="minorEastAsia"/>
          <w:bCs/>
          <w:sz w:val="24"/>
          <w:highlight w:val="white"/>
          <w:lang w:eastAsia="zh-CN"/>
        </w:rPr>
        <w:t>根据市场情况对上述申购与赎回的安排进行补充和调整并根据相关法规规定进行信息披露</w:t>
      </w:r>
      <w:r w:rsidRPr="00256C1C">
        <w:rPr>
          <w:rFonts w:asciiTheme="minorEastAsia" w:eastAsiaTheme="minorEastAsia" w:hAnsiTheme="minorEastAsia" w:hint="eastAsia"/>
          <w:bCs/>
          <w:sz w:val="24"/>
          <w:highlight w:val="white"/>
          <w:lang w:eastAsia="zh-CN"/>
        </w:rPr>
        <w:t>。</w:t>
      </w: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highlight w:val="white"/>
          <w:lang w:eastAsia="zh-CN"/>
        </w:rPr>
        <w:br w:type="page"/>
      </w:r>
      <w:bookmarkStart w:id="144" w:name="_Toc123102454"/>
      <w:bookmarkStart w:id="145" w:name="_Toc98560353"/>
      <w:bookmarkStart w:id="146" w:name="_Toc139991737"/>
      <w:bookmarkStart w:id="147" w:name="_Toc31644"/>
      <w:bookmarkStart w:id="148" w:name="_Toc141703887"/>
      <w:bookmarkStart w:id="149" w:name="_Toc31653"/>
      <w:bookmarkStart w:id="150" w:name="_Toc16859"/>
      <w:bookmarkStart w:id="151" w:name="_Toc31235"/>
      <w:bookmarkStart w:id="152" w:name="_Toc123051453"/>
      <w:bookmarkStart w:id="153" w:name="_Toc123112235"/>
      <w:bookmarkStart w:id="154" w:name="_Toc29251"/>
      <w:bookmarkStart w:id="155" w:name="_Toc15143"/>
      <w:bookmarkStart w:id="156" w:name="_Toc6405"/>
      <w:bookmarkStart w:id="157" w:name="_Toc3601"/>
      <w:bookmarkStart w:id="158" w:name="_Toc446339245"/>
      <w:bookmarkStart w:id="159" w:name="_Toc14835"/>
      <w:bookmarkStart w:id="160" w:name="_Toc12245"/>
      <w:bookmarkStart w:id="161" w:name="_Toc26207"/>
      <w:bookmarkStart w:id="162" w:name="_Toc129511043"/>
      <w:r w:rsidRPr="00256C1C">
        <w:rPr>
          <w:rFonts w:asciiTheme="minorEastAsia" w:eastAsiaTheme="minorEastAsia" w:hAnsiTheme="minorEastAsia" w:cs="宋体" w:hint="eastAsia"/>
          <w:color w:val="auto"/>
          <w:sz w:val="30"/>
          <w:highlight w:val="white"/>
          <w:lang w:eastAsia="zh-CN"/>
        </w:rPr>
        <w:t>第九部分 基金合同当事人及权利义务</w:t>
      </w:r>
      <w:bookmarkStart w:id="163" w:name="_Hlt55355235"/>
      <w:bookmarkStart w:id="164" w:name="_Toc523711668"/>
      <w:bookmarkStart w:id="165" w:name="_Toc57530239"/>
      <w:bookmarkStart w:id="166" w:name="_Toc15118234"/>
      <w:bookmarkStart w:id="167" w:name="_Toc79392580"/>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pStyle w:val="ListParagraph"/>
        <w:numPr>
          <w:ilvl w:val="0"/>
          <w:numId w:val="1"/>
        </w:numPr>
        <w:spacing w:line="360" w:lineRule="auto"/>
        <w:rPr>
          <w:rFonts w:asciiTheme="minorEastAsia" w:eastAsiaTheme="minorEastAsia" w:hAnsiTheme="minorEastAsia" w:cs="宋体"/>
          <w:sz w:val="24"/>
          <w:szCs w:val="24"/>
        </w:rPr>
      </w:pPr>
      <w:r w:rsidRPr="00256C1C">
        <w:rPr>
          <w:rFonts w:asciiTheme="minorEastAsia" w:eastAsiaTheme="minorEastAsia" w:hAnsiTheme="minorEastAsia" w:cs="宋体" w:hint="eastAsia"/>
          <w:sz w:val="24"/>
          <w:szCs w:val="24"/>
          <w:highlight w:val="white"/>
        </w:rPr>
        <w:t>基金</w:t>
      </w:r>
      <w:bookmarkEnd w:id="164"/>
      <w:r w:rsidRPr="00256C1C">
        <w:rPr>
          <w:rFonts w:asciiTheme="minorEastAsia" w:eastAsiaTheme="minorEastAsia" w:hAnsiTheme="minorEastAsia" w:cs="宋体" w:hint="eastAsia"/>
          <w:sz w:val="24"/>
          <w:szCs w:val="24"/>
          <w:highlight w:val="white"/>
        </w:rPr>
        <w:t>管理人</w:t>
      </w:r>
      <w:bookmarkEnd w:id="165"/>
      <w:bookmarkEnd w:id="166"/>
      <w:bookmarkEnd w:id="167"/>
    </w:p>
    <w:p w:rsidR="00C57945" w:rsidRPr="00256C1C">
      <w:pPr>
        <w:spacing w:line="360" w:lineRule="auto"/>
        <w:ind w:left="480"/>
        <w:rPr>
          <w:rFonts w:asciiTheme="minorEastAsia" w:eastAsiaTheme="minorEastAsia" w:hAnsiTheme="minorEastAsia" w:cs="宋体"/>
          <w:sz w:val="24"/>
          <w:szCs w:val="24"/>
        </w:rPr>
      </w:pPr>
      <w:bookmarkStart w:id="168" w:name="_Toc15118235"/>
      <w:r w:rsidRPr="00256C1C">
        <w:rPr>
          <w:rFonts w:asciiTheme="minorEastAsia" w:eastAsiaTheme="minorEastAsia" w:hAnsiTheme="minorEastAsia" w:cs="宋体"/>
          <w:bCs/>
          <w:sz w:val="24"/>
          <w:szCs w:val="24"/>
          <w:highlight w:val="white"/>
        </w:rPr>
        <w:t>（一）基金管理人简况</w:t>
      </w:r>
      <w:bookmarkEnd w:id="168"/>
    </w:p>
    <w:p w:rsidR="00C57945" w:rsidRPr="00256C1C">
      <w:pPr>
        <w:spacing w:line="360" w:lineRule="auto"/>
        <w:ind w:firstLine="480"/>
        <w:rPr>
          <w:rFonts w:asciiTheme="minorEastAsia" w:eastAsiaTheme="minorEastAsia" w:hAnsiTheme="minorEastAsia"/>
          <w:bCs/>
          <w:sz w:val="24"/>
          <w:szCs w:val="24"/>
          <w:lang w:eastAsia="zh-CN"/>
        </w:rPr>
      </w:pPr>
      <w:bookmarkStart w:id="169" w:name="_Toc15118236"/>
      <w:bookmarkStart w:id="170" w:name="_Toc15118237"/>
      <w:r w:rsidRPr="00256C1C">
        <w:rPr>
          <w:rFonts w:asciiTheme="minorEastAsia" w:eastAsiaTheme="minorEastAsia" w:hAnsiTheme="minorEastAsia" w:hint="eastAsia"/>
          <w:bCs/>
          <w:sz w:val="24"/>
          <w:szCs w:val="24"/>
          <w:highlight w:val="white"/>
          <w:lang w:eastAsia="zh-CN"/>
        </w:rPr>
        <w:t>名称：易方达基金管理有限公司</w:t>
      </w:r>
    </w:p>
    <w:p w:rsidR="00C57945" w:rsidRPr="00256C1C">
      <w:pPr>
        <w:spacing w:line="360" w:lineRule="auto"/>
        <w:ind w:firstLine="480"/>
        <w:rPr>
          <w:rFonts w:asciiTheme="minorEastAsia" w:eastAsiaTheme="minorEastAsia" w:hAnsiTheme="minorEastAsia"/>
          <w:bCs/>
          <w:sz w:val="24"/>
          <w:szCs w:val="24"/>
          <w:lang w:eastAsia="zh-CN"/>
        </w:rPr>
      </w:pPr>
      <w:r w:rsidRPr="00256C1C">
        <w:rPr>
          <w:rFonts w:asciiTheme="minorEastAsia" w:eastAsiaTheme="minorEastAsia" w:hAnsiTheme="minorEastAsia" w:hint="eastAsia"/>
          <w:bCs/>
          <w:sz w:val="24"/>
          <w:szCs w:val="24"/>
          <w:highlight w:val="white"/>
          <w:lang w:eastAsia="zh-CN"/>
        </w:rPr>
        <w:t>住所：</w:t>
      </w:r>
      <w:r w:rsidRPr="00256C1C">
        <w:rPr>
          <w:rFonts w:asciiTheme="minorEastAsia" w:eastAsiaTheme="minorEastAsia" w:hAnsiTheme="minorEastAsia" w:cs="宋体" w:hint="eastAsia"/>
          <w:color w:val="000000"/>
          <w:sz w:val="24"/>
          <w:szCs w:val="24"/>
          <w:highlight w:val="white"/>
          <w:lang w:eastAsia="zh-CN"/>
        </w:rPr>
        <w:t>广东省珠海市横琴新区荣粤道</w:t>
      </w:r>
      <w:r w:rsidRPr="00256C1C">
        <w:rPr>
          <w:rFonts w:asciiTheme="minorEastAsia" w:eastAsiaTheme="minorEastAsia" w:hAnsiTheme="minorEastAsia" w:hint="eastAsia"/>
          <w:color w:val="000000"/>
          <w:sz w:val="24"/>
          <w:szCs w:val="24"/>
          <w:highlight w:val="white"/>
          <w:lang w:eastAsia="zh-CN"/>
        </w:rPr>
        <w:t>188</w:t>
      </w:r>
      <w:r w:rsidRPr="00256C1C">
        <w:rPr>
          <w:rFonts w:asciiTheme="minorEastAsia" w:eastAsiaTheme="minorEastAsia" w:hAnsiTheme="minorEastAsia" w:cs="宋体" w:hint="eastAsia"/>
          <w:color w:val="000000"/>
          <w:sz w:val="24"/>
          <w:szCs w:val="24"/>
          <w:highlight w:val="white"/>
          <w:lang w:eastAsia="zh-CN"/>
        </w:rPr>
        <w:t>号</w:t>
      </w:r>
      <w:r w:rsidRPr="00256C1C">
        <w:rPr>
          <w:rFonts w:asciiTheme="minorEastAsia" w:eastAsiaTheme="minorEastAsia" w:hAnsiTheme="minorEastAsia" w:hint="eastAsia"/>
          <w:color w:val="000000"/>
          <w:sz w:val="24"/>
          <w:szCs w:val="24"/>
          <w:highlight w:val="white"/>
          <w:lang w:eastAsia="zh-CN"/>
        </w:rPr>
        <w:t>6</w:t>
      </w:r>
      <w:r w:rsidRPr="00256C1C">
        <w:rPr>
          <w:rFonts w:asciiTheme="minorEastAsia" w:eastAsiaTheme="minorEastAsia" w:hAnsiTheme="minorEastAsia" w:cs="宋体" w:hint="eastAsia"/>
          <w:color w:val="000000"/>
          <w:sz w:val="24"/>
          <w:szCs w:val="24"/>
          <w:highlight w:val="white"/>
          <w:lang w:eastAsia="zh-CN"/>
        </w:rPr>
        <w:t>层</w:t>
      </w:r>
    </w:p>
    <w:p w:rsidR="00C57945" w:rsidRPr="00256C1C">
      <w:pPr>
        <w:spacing w:line="360" w:lineRule="auto"/>
        <w:ind w:firstLine="480"/>
        <w:rPr>
          <w:rFonts w:asciiTheme="minorEastAsia" w:eastAsiaTheme="minorEastAsia" w:hAnsiTheme="minorEastAsia"/>
          <w:bCs/>
          <w:sz w:val="24"/>
          <w:szCs w:val="24"/>
          <w:lang w:eastAsia="zh-CN"/>
        </w:rPr>
      </w:pPr>
      <w:r w:rsidRPr="00256C1C">
        <w:rPr>
          <w:rFonts w:asciiTheme="minorEastAsia" w:eastAsiaTheme="minorEastAsia" w:hAnsiTheme="minorEastAsia" w:hint="eastAsia"/>
          <w:bCs/>
          <w:sz w:val="24"/>
          <w:szCs w:val="24"/>
          <w:highlight w:val="white"/>
          <w:lang w:eastAsia="zh-CN"/>
        </w:rPr>
        <w:t>法定代表人：吴欣荣</w:t>
      </w:r>
    </w:p>
    <w:p w:rsidR="00C57945" w:rsidRPr="00256C1C">
      <w:pPr>
        <w:spacing w:line="360" w:lineRule="auto"/>
        <w:ind w:firstLine="480"/>
        <w:rPr>
          <w:rFonts w:asciiTheme="minorEastAsia" w:eastAsiaTheme="minorEastAsia" w:hAnsiTheme="minorEastAsia"/>
          <w:bCs/>
          <w:sz w:val="24"/>
          <w:szCs w:val="24"/>
          <w:lang w:eastAsia="zh-CN"/>
        </w:rPr>
      </w:pPr>
      <w:r w:rsidRPr="00256C1C">
        <w:rPr>
          <w:rFonts w:asciiTheme="minorEastAsia" w:eastAsiaTheme="minorEastAsia" w:hAnsiTheme="minorEastAsia" w:hint="eastAsia"/>
          <w:bCs/>
          <w:sz w:val="24"/>
          <w:szCs w:val="24"/>
          <w:highlight w:val="white"/>
          <w:lang w:eastAsia="zh-CN"/>
        </w:rPr>
        <w:t>设立日期：2001年4月17日</w:t>
      </w:r>
    </w:p>
    <w:p w:rsidR="00C57945" w:rsidRPr="00256C1C">
      <w:pPr>
        <w:spacing w:line="360" w:lineRule="auto"/>
        <w:ind w:firstLine="480"/>
        <w:rPr>
          <w:rFonts w:asciiTheme="minorEastAsia" w:eastAsiaTheme="minorEastAsia" w:hAnsiTheme="minorEastAsia"/>
          <w:bCs/>
          <w:sz w:val="24"/>
          <w:szCs w:val="24"/>
          <w:lang w:eastAsia="zh-CN"/>
        </w:rPr>
      </w:pPr>
      <w:r w:rsidRPr="00256C1C">
        <w:rPr>
          <w:rFonts w:asciiTheme="minorEastAsia" w:eastAsiaTheme="minorEastAsia" w:hAnsiTheme="minorEastAsia" w:hint="eastAsia"/>
          <w:bCs/>
          <w:sz w:val="24"/>
          <w:szCs w:val="24"/>
          <w:highlight w:val="white"/>
          <w:lang w:eastAsia="zh-CN"/>
        </w:rPr>
        <w:t>批准设立机关及批准设立文号：中国证券监督管理委员会，证监基金字[2001]4号</w:t>
      </w:r>
    </w:p>
    <w:p w:rsidR="00C57945" w:rsidRPr="00256C1C">
      <w:pPr>
        <w:spacing w:line="360" w:lineRule="auto"/>
        <w:ind w:firstLine="480"/>
        <w:rPr>
          <w:rFonts w:asciiTheme="minorEastAsia" w:eastAsiaTheme="minorEastAsia" w:hAnsiTheme="minorEastAsia"/>
          <w:bCs/>
          <w:sz w:val="24"/>
          <w:szCs w:val="24"/>
          <w:lang w:eastAsia="zh-CN"/>
        </w:rPr>
      </w:pPr>
      <w:r w:rsidRPr="00256C1C">
        <w:rPr>
          <w:rFonts w:asciiTheme="minorEastAsia" w:eastAsiaTheme="minorEastAsia" w:hAnsiTheme="minorEastAsia" w:hint="eastAsia"/>
          <w:bCs/>
          <w:sz w:val="24"/>
          <w:szCs w:val="24"/>
          <w:highlight w:val="white"/>
          <w:lang w:eastAsia="zh-CN"/>
        </w:rPr>
        <w:t>组织形式：有限责任公司</w:t>
      </w:r>
    </w:p>
    <w:p w:rsidR="00C57945" w:rsidRPr="00256C1C">
      <w:pPr>
        <w:spacing w:line="360" w:lineRule="auto"/>
        <w:ind w:firstLine="480"/>
        <w:rPr>
          <w:rFonts w:asciiTheme="minorEastAsia" w:eastAsiaTheme="minorEastAsia" w:hAnsiTheme="minorEastAsia"/>
          <w:bCs/>
          <w:sz w:val="24"/>
          <w:szCs w:val="24"/>
          <w:lang w:eastAsia="zh-CN"/>
        </w:rPr>
      </w:pPr>
      <w:r w:rsidRPr="00256C1C">
        <w:rPr>
          <w:rFonts w:asciiTheme="minorEastAsia" w:eastAsiaTheme="minorEastAsia" w:hAnsiTheme="minorEastAsia" w:hint="eastAsia"/>
          <w:bCs/>
          <w:sz w:val="24"/>
          <w:szCs w:val="24"/>
          <w:highlight w:val="white"/>
          <w:lang w:eastAsia="zh-CN"/>
        </w:rPr>
        <w:t>注册资本：13,244.2万元人民币</w:t>
      </w:r>
    </w:p>
    <w:p w:rsidR="00C57945" w:rsidRPr="00256C1C">
      <w:pPr>
        <w:spacing w:line="360" w:lineRule="auto"/>
        <w:ind w:firstLine="480"/>
        <w:rPr>
          <w:rFonts w:asciiTheme="minorEastAsia" w:eastAsiaTheme="minorEastAsia" w:hAnsiTheme="minorEastAsia"/>
          <w:bCs/>
          <w:sz w:val="24"/>
          <w:szCs w:val="24"/>
          <w:lang w:eastAsia="zh-CN"/>
        </w:rPr>
      </w:pPr>
      <w:r w:rsidRPr="00256C1C">
        <w:rPr>
          <w:rFonts w:asciiTheme="minorEastAsia" w:eastAsiaTheme="minorEastAsia" w:hAnsiTheme="minorEastAsia" w:hint="eastAsia"/>
          <w:bCs/>
          <w:sz w:val="24"/>
          <w:szCs w:val="24"/>
          <w:highlight w:val="white"/>
          <w:lang w:eastAsia="zh-CN"/>
        </w:rPr>
        <w:t>存续期限：持续经营</w:t>
      </w:r>
    </w:p>
    <w:p w:rsidR="00C57945" w:rsidRPr="00256C1C">
      <w:pPr>
        <w:spacing w:line="360" w:lineRule="auto"/>
        <w:ind w:firstLine="480"/>
        <w:rPr>
          <w:rFonts w:asciiTheme="minorEastAsia" w:eastAsiaTheme="minorEastAsia" w:hAnsiTheme="minorEastAsia"/>
          <w:bCs/>
          <w:sz w:val="24"/>
          <w:szCs w:val="24"/>
          <w:lang w:eastAsia="zh-CN"/>
        </w:rPr>
      </w:pPr>
      <w:r w:rsidRPr="00256C1C">
        <w:rPr>
          <w:rFonts w:asciiTheme="minorEastAsia" w:eastAsiaTheme="minorEastAsia" w:hAnsiTheme="minorEastAsia" w:hint="eastAsia"/>
          <w:bCs/>
          <w:sz w:val="24"/>
          <w:szCs w:val="24"/>
          <w:highlight w:val="white"/>
          <w:lang w:eastAsia="zh-CN"/>
        </w:rPr>
        <w:t>联系电话：4008818088</w:t>
      </w:r>
      <w:bookmarkEnd w:id="169"/>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w:t>
      </w:r>
      <w:r w:rsidRPr="00256C1C">
        <w:rPr>
          <w:rFonts w:asciiTheme="minorEastAsia" w:eastAsiaTheme="minorEastAsia" w:hAnsiTheme="minorEastAsia" w:cs="宋体"/>
          <w:sz w:val="24"/>
          <w:szCs w:val="24"/>
          <w:highlight w:val="white"/>
          <w:lang w:eastAsia="zh-CN"/>
        </w:rPr>
        <w:tab/>
      </w:r>
      <w:r w:rsidRPr="00256C1C">
        <w:rPr>
          <w:rFonts w:asciiTheme="minorEastAsia" w:eastAsiaTheme="minorEastAsia" w:hAnsiTheme="minorEastAsia" w:cs="宋体" w:hint="eastAsia"/>
          <w:sz w:val="24"/>
          <w:szCs w:val="24"/>
          <w:highlight w:val="white"/>
          <w:lang w:eastAsia="zh-CN"/>
        </w:rPr>
        <w:t>基金管理人的权利与义务</w:t>
      </w:r>
      <w:bookmarkEnd w:id="170"/>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、根据《基金法》、《运作办法》及其他有关规定，基金管理人的权利包括但不限于：</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（1）依法募集</w:t>
      </w:r>
      <w:r w:rsidRPr="00256C1C">
        <w:rPr>
          <w:rFonts w:asciiTheme="minorEastAsia" w:eastAsiaTheme="minorEastAsia" w:hAnsiTheme="minorEastAsia" w:hint="eastAsia"/>
          <w:bCs/>
          <w:sz w:val="24"/>
          <w:highlight w:val="white"/>
          <w:lang w:eastAsia="zh-CN"/>
        </w:rPr>
        <w:t>资</w:t>
      </w:r>
      <w:r w:rsidRPr="00256C1C">
        <w:rPr>
          <w:rFonts w:asciiTheme="minorEastAsia" w:eastAsiaTheme="minorEastAsia" w:hAnsiTheme="minorEastAsia"/>
          <w:bCs/>
          <w:sz w:val="24"/>
          <w:highlight w:val="white"/>
          <w:lang w:eastAsia="zh-CN"/>
        </w:rPr>
        <w:t>金；</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（2）自《基金合同》生效之日起，根据法律法规和《基金合同》独立运用并管理基金财产；</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（3）依照《基金合同》收取基金管理费以及法律法规规定或中国证监会批准的其他费用；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（4）销售基金份额；</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w:t>
      </w:r>
      <w:r w:rsidRPr="00256C1C">
        <w:rPr>
          <w:rFonts w:asciiTheme="minorEastAsia" w:eastAsiaTheme="minorEastAsia" w:hAnsiTheme="minorEastAsia" w:hint="eastAsia"/>
          <w:bCs/>
          <w:sz w:val="24"/>
          <w:highlight w:val="white"/>
          <w:lang w:eastAsia="zh-CN"/>
        </w:rPr>
        <w:t>按照规定</w:t>
      </w:r>
      <w:r w:rsidRPr="00256C1C">
        <w:rPr>
          <w:rFonts w:asciiTheme="minorEastAsia" w:eastAsiaTheme="minorEastAsia" w:hAnsiTheme="minorEastAsia"/>
          <w:bCs/>
          <w:sz w:val="24"/>
          <w:highlight w:val="white"/>
          <w:lang w:eastAsia="zh-CN"/>
        </w:rPr>
        <w:t>召集基金份额持有人大会；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（6）依据《基金合同》及有关法律规定监督基金托管人，如认为基金托管人违反了《基金合同》及国家有关法律规定，应呈报中国证监会和其他监管部门，并采取必要措施保护基金投资者的利益；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（7）在基金托管人更换时，提名新的基金托管人；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（8）选择、更换基金销售机构，对基金销售机构的相关行为进行监督和处理；</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（9）担任或委托其他符合条件的机构担任基金登记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机构办理基金登记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业务并获得《基金合同》规定的费用；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（10）依据《基金合同》及有关法律规定决定基金收益的分配方案；</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（11）在《基金合同》约定的范围内，拒绝或暂停受理申购与赎回申请；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（12）依照法律法规为基金的利益对被投资公司行使股东权利，为基金的利益行使因基金财产投资于证券所产生的权利；</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（13）在法律法规允许的前提下，为基金的利益依法进行融资</w:t>
      </w:r>
      <w:r w:rsidRPr="00256C1C">
        <w:rPr>
          <w:rFonts w:asciiTheme="minorEastAsia" w:eastAsiaTheme="minorEastAsia" w:hAnsiTheme="minorEastAsia" w:hint="eastAsia"/>
          <w:bCs/>
          <w:sz w:val="24"/>
          <w:highlight w:val="white"/>
          <w:lang w:eastAsia="zh-CN"/>
        </w:rPr>
        <w:t>、融券及转融通证券出借业务</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（14）以基金管理人的名义，代表基金份额持有人的利益行使诉讼权利或者实施其他法律行为；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（15）选择、更换律师事务所、会计师事务所、证券</w:t>
      </w:r>
      <w:r w:rsidRPr="00256C1C">
        <w:rPr>
          <w:rFonts w:asciiTheme="minorEastAsia" w:eastAsiaTheme="minorEastAsia" w:hAnsiTheme="minorEastAsia" w:hint="eastAsia"/>
          <w:bCs/>
          <w:sz w:val="24"/>
          <w:highlight w:val="white"/>
          <w:lang w:eastAsia="zh-CN"/>
        </w:rPr>
        <w:t>/期货</w:t>
      </w:r>
      <w:r w:rsidRPr="00256C1C">
        <w:rPr>
          <w:rFonts w:asciiTheme="minorEastAsia" w:eastAsiaTheme="minorEastAsia" w:hAnsiTheme="minorEastAsia"/>
          <w:bCs/>
          <w:sz w:val="24"/>
          <w:highlight w:val="white"/>
          <w:lang w:eastAsia="zh-CN"/>
        </w:rPr>
        <w:t>经纪商或其他为基金提供服务的外部机构；</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（16）在符合有关法律、法规的前提下，制订和调整有关基金认购、申购、赎回、转换</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非交易过户</w:t>
      </w:r>
      <w:r w:rsidRPr="00256C1C">
        <w:rPr>
          <w:rFonts w:asciiTheme="minorEastAsia" w:eastAsiaTheme="minorEastAsia" w:hAnsiTheme="minorEastAsia" w:hint="eastAsia"/>
          <w:bCs/>
          <w:sz w:val="24"/>
          <w:highlight w:val="white"/>
          <w:lang w:eastAsia="zh-CN"/>
        </w:rPr>
        <w:t>和收益分配等</w:t>
      </w:r>
      <w:r w:rsidRPr="00256C1C">
        <w:rPr>
          <w:rFonts w:asciiTheme="minorEastAsia" w:eastAsiaTheme="minorEastAsia" w:hAnsiTheme="minorEastAsia"/>
          <w:bCs/>
          <w:sz w:val="24"/>
          <w:highlight w:val="white"/>
          <w:lang w:eastAsia="zh-CN"/>
        </w:rPr>
        <w:t>业务规则；</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hint="eastAsia"/>
          <w:sz w:val="24"/>
          <w:highlight w:val="white"/>
          <w:lang w:eastAsia="zh-CN"/>
        </w:rPr>
        <w:t>（17）在不违反法律法规和监管规定且对基金份额持有人利益无实质不利影响的前提下，为支付本基金应付的赎回、交易清算等款项，基金管理人有权代表基金份额持有人以基金资产作为质押进行融资；</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bCs/>
          <w:sz w:val="24"/>
          <w:highlight w:val="white"/>
          <w:lang w:eastAsia="zh-CN"/>
        </w:rPr>
        <w:t>（18）</w:t>
      </w:r>
      <w:r w:rsidRPr="00256C1C">
        <w:rPr>
          <w:rFonts w:asciiTheme="minorEastAsia" w:eastAsiaTheme="minorEastAsia" w:hAnsiTheme="minorEastAsia" w:hint="eastAsia"/>
          <w:sz w:val="24"/>
          <w:highlight w:val="white"/>
          <w:lang w:eastAsia="zh-CN"/>
        </w:rPr>
        <w:t>委托第三方机构办理本基金的交易、清算、估值、结算等业务；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（19）</w:t>
      </w:r>
      <w:r w:rsidRPr="00256C1C">
        <w:rPr>
          <w:rFonts w:asciiTheme="minorEastAsia" w:eastAsiaTheme="minorEastAsia" w:hAnsiTheme="minorEastAsia"/>
          <w:bCs/>
          <w:sz w:val="24"/>
          <w:highlight w:val="white"/>
          <w:lang w:eastAsia="zh-CN"/>
        </w:rPr>
        <w:t>法律法规及中国证监会规定的和《基金合同》约定的其他权利。</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2、根据《基金法》、《运作办法》及其他有关规定，基金管理人的义务包括但不限于：</w:t>
      </w:r>
    </w:p>
    <w:p w:rsidR="00C57945" w:rsidRPr="00256C1C">
      <w:pPr>
        <w:spacing w:line="360" w:lineRule="auto"/>
        <w:ind w:firstLine="480" w:firstLineChars="200"/>
        <w:rPr>
          <w:rFonts w:asciiTheme="minorEastAsia" w:eastAsiaTheme="minorEastAsia" w:hAnsiTheme="minorEastAsia"/>
          <w:bCs/>
          <w:sz w:val="24"/>
          <w:lang w:eastAsia="zh-CN"/>
        </w:rPr>
      </w:pPr>
      <w:bookmarkStart w:id="171" w:name="_Toc523711669"/>
      <w:r w:rsidRPr="00256C1C">
        <w:rPr>
          <w:rFonts w:asciiTheme="minorEastAsia" w:eastAsiaTheme="minorEastAsia" w:hAnsiTheme="minorEastAsia"/>
          <w:bCs/>
          <w:sz w:val="24"/>
          <w:highlight w:val="white"/>
          <w:lang w:eastAsia="zh-CN"/>
        </w:rPr>
        <w:t>（1）依法募集</w:t>
      </w:r>
      <w:r w:rsidRPr="00256C1C">
        <w:rPr>
          <w:rFonts w:asciiTheme="minorEastAsia" w:eastAsiaTheme="minorEastAsia" w:hAnsiTheme="minorEastAsia" w:hint="eastAsia"/>
          <w:bCs/>
          <w:sz w:val="24"/>
          <w:highlight w:val="white"/>
          <w:lang w:eastAsia="zh-CN"/>
        </w:rPr>
        <w:t>资</w:t>
      </w:r>
      <w:r w:rsidRPr="00256C1C">
        <w:rPr>
          <w:rFonts w:asciiTheme="minorEastAsia" w:eastAsiaTheme="minorEastAsia" w:hAnsiTheme="minorEastAsia"/>
          <w:bCs/>
          <w:sz w:val="24"/>
          <w:highlight w:val="white"/>
          <w:lang w:eastAsia="zh-CN"/>
        </w:rPr>
        <w:t>金，办理或者委托经中国证监会认定的其他机构办理基金份额的发售、申购、赎回和登记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事宜；</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（2）办理基金备案手续；</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（3）自《基金合同》生效之日起</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以诚实信用、谨慎勤勉的原则管理和运用基金财产；</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（4）配备足够的具有专业资格的人员进行基金投资分析、决策，以专业化的经营方式管理和运作基金财产；</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（5）建立健全内部风险控制、监察与稽核、财务管理及人事管理等制度，保证所管理的基金财产和基金管理人的财产相互独立</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对所管理的不同基金分别管理，分别记账，进行证券投资；</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（6）除依据《基金法》、《基金合同》及其他有关规定外</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不得利用基金财产为自己及任何第三人谋取利益，不得委托第三人运作基金财产；</w:t>
      </w:r>
      <w:bookmarkStart w:id="172" w:name="_Hlt88897298"/>
      <w:bookmarkEnd w:id="172"/>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（7）依法接受基金托管人的监督；</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（8）采取适当合理的措施使计算基金份额认购、申购、赎回和注销价格的方法符合《基金合同》等法律文件的规定，按有关规定计算并公告基金净值</w:t>
      </w:r>
      <w:r w:rsidRPr="00256C1C">
        <w:rPr>
          <w:rFonts w:asciiTheme="minorEastAsia" w:eastAsiaTheme="minorEastAsia" w:hAnsiTheme="minorEastAsia" w:hint="eastAsia"/>
          <w:bCs/>
          <w:sz w:val="24"/>
          <w:highlight w:val="white"/>
          <w:lang w:eastAsia="zh-CN"/>
        </w:rPr>
        <w:t>信息</w:t>
      </w:r>
      <w:r w:rsidRPr="00256C1C">
        <w:rPr>
          <w:rFonts w:asciiTheme="minorEastAsia" w:eastAsiaTheme="minorEastAsia" w:hAnsiTheme="minorEastAsia"/>
          <w:bCs/>
          <w:sz w:val="24"/>
          <w:highlight w:val="white"/>
          <w:lang w:eastAsia="zh-CN"/>
        </w:rPr>
        <w:t>，确定基金份额申购、赎回的</w:t>
      </w:r>
      <w:r w:rsidRPr="00256C1C">
        <w:rPr>
          <w:rFonts w:asciiTheme="minorEastAsia" w:eastAsiaTheme="minorEastAsia" w:hAnsiTheme="minorEastAsia" w:hint="eastAsia"/>
          <w:bCs/>
          <w:sz w:val="24"/>
          <w:highlight w:val="white"/>
          <w:lang w:eastAsia="zh-CN"/>
        </w:rPr>
        <w:t>对价，编制申购赎回清单</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（9）进行基金会计核算并编制基金财务会计报告；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（10）编制季度报告、中期报告和年度报告；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（11）严格按照《基金法》、《基金合同》及其他有关规定，履行信息披露及报告义务；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12</w:t>
      </w:r>
      <w:r w:rsidRPr="00256C1C">
        <w:rPr>
          <w:rFonts w:asciiTheme="minorEastAsia" w:eastAsiaTheme="minorEastAsia" w:hAnsiTheme="minorEastAsia" w:cs="宋体" w:hint="eastAsia"/>
          <w:sz w:val="24"/>
          <w:szCs w:val="24"/>
          <w:highlight w:val="white"/>
          <w:lang w:eastAsia="zh-CN"/>
        </w:rPr>
        <w:t>）保守基金商业秘密，不泄露基金投资计划、投资意向等。除《基金法》、《基金合同》及其他有关规定另有规定外，在基金信息公开披露前应予保密，不向他人泄露</w:t>
      </w:r>
      <w:r w:rsidRPr="00256C1C">
        <w:rPr>
          <w:rFonts w:asciiTheme="minorEastAsia" w:eastAsiaTheme="minorEastAsia" w:hAnsiTheme="minorEastAsia" w:cs="宋体"/>
          <w:color w:val="000000"/>
          <w:sz w:val="24"/>
          <w:szCs w:val="24"/>
          <w:highlight w:val="white"/>
          <w:lang w:eastAsia="zh-CN"/>
        </w:rPr>
        <w:t>，但应监管机构、司法机关等有权机关的要求，或因审计、法律等外部专业顾问提供服务需要而向其提供的情况除外</w:t>
      </w:r>
      <w:r w:rsidRPr="00256C1C">
        <w:rPr>
          <w:rFonts w:asciiTheme="minorEastAsia" w:eastAsiaTheme="minorEastAsia" w:hAnsiTheme="minorEastAsia" w:cs="宋体"/>
          <w:sz w:val="24"/>
          <w:szCs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（13）按《基金合同》的约定确定基金收益分配方案，及时向基金份额持有人分配基金收益；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（14）按规定受理申购与赎回申请，及时、足额支付赎回</w:t>
      </w:r>
      <w:r w:rsidRPr="00256C1C">
        <w:rPr>
          <w:rFonts w:asciiTheme="minorEastAsia" w:eastAsiaTheme="minorEastAsia" w:hAnsiTheme="minorEastAsia" w:hint="eastAsia"/>
          <w:bCs/>
          <w:sz w:val="24"/>
          <w:highlight w:val="white"/>
          <w:lang w:eastAsia="zh-CN"/>
        </w:rPr>
        <w:t>对价</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（15）依据《基金法》、《基金合同》及其他有关规定召集基金份额持有人大会或配合基金托管人、基金份额持有人依法召集基金份额持有人大会；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（16）按规定保存基金财产管理业务活动的会计账册、报表、记录和其他相关资料</w:t>
      </w:r>
      <w:r w:rsidRPr="00256C1C">
        <w:rPr>
          <w:rFonts w:asciiTheme="minorEastAsia" w:eastAsiaTheme="minorEastAsia" w:hAnsiTheme="minorEastAsia" w:hint="eastAsia"/>
          <w:sz w:val="24"/>
          <w:highlight w:val="white"/>
          <w:lang w:eastAsia="zh-CN"/>
        </w:rPr>
        <w:t>20</w:t>
      </w:r>
      <w:r w:rsidRPr="00256C1C">
        <w:rPr>
          <w:rFonts w:asciiTheme="minorEastAsia" w:eastAsiaTheme="minorEastAsia" w:hAnsiTheme="minorEastAsia"/>
          <w:sz w:val="24"/>
          <w:highlight w:val="white"/>
          <w:lang w:eastAsia="zh-CN"/>
        </w:rPr>
        <w:t>年</w:t>
      </w:r>
      <w:r w:rsidRPr="00256C1C">
        <w:rPr>
          <w:rFonts w:asciiTheme="minorEastAsia" w:eastAsiaTheme="minorEastAsia" w:hAnsiTheme="minorEastAsia"/>
          <w:bCs/>
          <w:sz w:val="24"/>
          <w:highlight w:val="white"/>
          <w:lang w:eastAsia="zh-CN"/>
        </w:rPr>
        <w:t>以上；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（18）组织并参加基金财产清算小组</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参与基金财产的保管、清理、估价、变现和分配；</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（19）面临解散、依法被撤销或者被依法宣告破产时，及时报告中国证监会并通知基金托管人；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（20）因违反《基金合同》导致基金财产的损失或损害基金份额持有人合法权益时，应当承担赔偿责任，其赔偿责任不因其退任而免除；</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（21）监督基金托管人按法律法规和《基金合同》规定履行自己的义务，基金托管人违反《基金合同》造成基金财产损失时，基金管理人应为基金份额持有人利益向基金托管人追偿；</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（22）当基金管理人将其义务委托第三方处理时，应当对第三方处理有关基金事务的行为承担责任；</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（23）以基金管理人名义，代表基金份额持有人利益行使诉讼权利或实施其他法律行为；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（24）基金在募集期间未能达到基金的备案条件，《基金合同》不能生效，基金管理人承担全部募集费用，将已募集资金并加计银行同期</w:t>
      </w:r>
      <w:r w:rsidRPr="00256C1C">
        <w:rPr>
          <w:rFonts w:asciiTheme="minorEastAsia" w:eastAsiaTheme="minorEastAsia" w:hAnsiTheme="minorEastAsia" w:hint="eastAsia"/>
          <w:bCs/>
          <w:sz w:val="24"/>
          <w:highlight w:val="white"/>
          <w:lang w:eastAsia="zh-CN"/>
        </w:rPr>
        <w:t>活期</w:t>
      </w:r>
      <w:r w:rsidRPr="00256C1C">
        <w:rPr>
          <w:rFonts w:asciiTheme="minorEastAsia" w:eastAsiaTheme="minorEastAsia" w:hAnsiTheme="minorEastAsia"/>
          <w:bCs/>
          <w:sz w:val="24"/>
          <w:highlight w:val="white"/>
          <w:lang w:eastAsia="zh-CN"/>
        </w:rPr>
        <w:t>存款利息在基金募集期结束后</w:t>
      </w:r>
      <w:r w:rsidRPr="00256C1C">
        <w:rPr>
          <w:rFonts w:asciiTheme="minorEastAsia" w:eastAsiaTheme="minorEastAsia" w:hAnsiTheme="minorEastAsia" w:hint="eastAsia"/>
          <w:bCs/>
          <w:sz w:val="24"/>
          <w:highlight w:val="white"/>
          <w:lang w:eastAsia="zh-CN"/>
        </w:rPr>
        <w:t>30</w:t>
      </w:r>
      <w:r w:rsidRPr="00256C1C">
        <w:rPr>
          <w:rFonts w:asciiTheme="minorEastAsia" w:eastAsiaTheme="minorEastAsia" w:hAnsiTheme="minorEastAsia"/>
          <w:bCs/>
          <w:sz w:val="24"/>
          <w:highlight w:val="white"/>
          <w:lang w:eastAsia="zh-CN"/>
        </w:rPr>
        <w:t>日内退还基金认购人；</w:t>
      </w:r>
      <w:r w:rsidRPr="00256C1C">
        <w:rPr>
          <w:rFonts w:asciiTheme="minorEastAsia" w:eastAsiaTheme="minorEastAsia" w:hAnsiTheme="minorEastAsia" w:hint="eastAsia"/>
          <w:bCs/>
          <w:sz w:val="24"/>
          <w:highlight w:val="white"/>
          <w:lang w:eastAsia="zh-CN"/>
        </w:rPr>
        <w:t>募集期间网下股票认购所冻结的股票应予以解冻</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（25）执行生效的基金份额持有人大会的</w:t>
      </w:r>
      <w:r w:rsidRPr="00256C1C">
        <w:rPr>
          <w:rFonts w:asciiTheme="minorEastAsia" w:eastAsiaTheme="minorEastAsia" w:hAnsiTheme="minorEastAsia" w:hint="eastAsia"/>
          <w:bCs/>
          <w:sz w:val="24"/>
          <w:highlight w:val="white"/>
          <w:lang w:eastAsia="zh-CN"/>
        </w:rPr>
        <w:t>决议</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（26）建立并保存基金份额持有人名册；</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（27）法律法规及中国证监会规定的和《基金合同》约定的其他义务</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bookmarkStart w:id="173" w:name="_Toc57530240"/>
      <w:bookmarkStart w:id="174" w:name="_Toc79392581"/>
      <w:bookmarkStart w:id="175" w:name="_Toc15118238"/>
      <w:r w:rsidRPr="00256C1C">
        <w:rPr>
          <w:rFonts w:asciiTheme="minorEastAsia" w:eastAsiaTheme="minorEastAsia" w:hAnsiTheme="minorEastAsia" w:cs="宋体" w:hint="eastAsia"/>
          <w:sz w:val="24"/>
          <w:szCs w:val="24"/>
          <w:highlight w:val="white"/>
          <w:lang w:eastAsia="zh-CN"/>
        </w:rPr>
        <w:t>二、基金托管人</w:t>
      </w:r>
      <w:bookmarkEnd w:id="171"/>
      <w:bookmarkEnd w:id="173"/>
      <w:bookmarkEnd w:id="174"/>
      <w:bookmarkEnd w:id="175"/>
    </w:p>
    <w:p w:rsidR="00C57945" w:rsidRPr="00256C1C">
      <w:pPr>
        <w:spacing w:line="360" w:lineRule="auto"/>
        <w:ind w:firstLine="480"/>
        <w:rPr>
          <w:rFonts w:asciiTheme="minorEastAsia" w:eastAsiaTheme="minorEastAsia" w:hAnsiTheme="minorEastAsia" w:cs="宋体"/>
          <w:sz w:val="24"/>
          <w:szCs w:val="24"/>
          <w:lang w:eastAsia="zh-CN"/>
        </w:rPr>
      </w:pPr>
      <w:bookmarkStart w:id="176" w:name="_Toc15118239"/>
      <w:r w:rsidRPr="00256C1C">
        <w:rPr>
          <w:rFonts w:asciiTheme="minorEastAsia" w:eastAsiaTheme="minorEastAsia" w:hAnsiTheme="minorEastAsia" w:cs="宋体" w:hint="eastAsia"/>
          <w:sz w:val="24"/>
          <w:szCs w:val="24"/>
          <w:highlight w:val="white"/>
          <w:lang w:eastAsia="zh-CN"/>
        </w:rPr>
        <w:t>（一）</w:t>
      </w:r>
      <w:r w:rsidRPr="00256C1C">
        <w:rPr>
          <w:rFonts w:asciiTheme="minorEastAsia" w:eastAsiaTheme="minorEastAsia" w:hAnsiTheme="minorEastAsia" w:cs="宋体"/>
          <w:sz w:val="24"/>
          <w:szCs w:val="24"/>
          <w:highlight w:val="white"/>
          <w:lang w:eastAsia="zh-CN"/>
        </w:rPr>
        <w:tab/>
      </w:r>
      <w:r w:rsidRPr="00256C1C">
        <w:rPr>
          <w:rFonts w:asciiTheme="minorEastAsia" w:eastAsiaTheme="minorEastAsia" w:hAnsiTheme="minorEastAsia" w:cs="宋体" w:hint="eastAsia"/>
          <w:sz w:val="24"/>
          <w:szCs w:val="24"/>
          <w:highlight w:val="white"/>
          <w:lang w:eastAsia="zh-CN"/>
        </w:rPr>
        <w:t>基金托管人简况</w:t>
      </w:r>
      <w:bookmarkEnd w:id="176"/>
    </w:p>
    <w:p w:rsidR="00C57945" w:rsidRPr="00256C1C">
      <w:pPr>
        <w:spacing w:line="360" w:lineRule="auto"/>
        <w:ind w:firstLine="480"/>
        <w:rPr>
          <w:rFonts w:asciiTheme="minorEastAsia" w:eastAsiaTheme="minorEastAsia" w:hAnsiTheme="minorEastAsia"/>
          <w:sz w:val="24"/>
          <w:szCs w:val="24"/>
          <w:lang w:eastAsia="zh-CN"/>
        </w:rPr>
      </w:pPr>
      <w:bookmarkStart w:id="177" w:name="_Toc15118240"/>
      <w:r w:rsidRPr="00256C1C">
        <w:rPr>
          <w:rFonts w:asciiTheme="minorEastAsia" w:eastAsiaTheme="minorEastAsia" w:hAnsiTheme="minorEastAsia" w:hint="eastAsia"/>
          <w:sz w:val="24"/>
          <w:szCs w:val="24"/>
          <w:highlight w:val="white"/>
          <w:lang w:eastAsia="zh-CN"/>
        </w:rPr>
        <w:t>名称：中国建设银行股份有限公司(简称：中国建设银行)</w:t>
      </w:r>
    </w:p>
    <w:p w:rsidR="00C57945" w:rsidRPr="00256C1C">
      <w:pPr>
        <w:spacing w:line="360" w:lineRule="auto"/>
        <w:ind w:firstLine="480"/>
        <w:rPr>
          <w:rFonts w:asciiTheme="minorEastAsia" w:eastAsiaTheme="minorEastAsia" w:hAnsiTheme="minorEastAsia"/>
          <w:sz w:val="24"/>
          <w:szCs w:val="24"/>
          <w:lang w:eastAsia="zh-CN"/>
        </w:rPr>
      </w:pPr>
      <w:r w:rsidRPr="00256C1C">
        <w:rPr>
          <w:rFonts w:asciiTheme="minorEastAsia" w:eastAsiaTheme="minorEastAsia" w:hAnsiTheme="minorEastAsia" w:hint="eastAsia"/>
          <w:sz w:val="24"/>
          <w:szCs w:val="24"/>
          <w:highlight w:val="white"/>
          <w:lang w:eastAsia="zh-CN"/>
        </w:rPr>
        <w:t>住所：北京市西城区金融大街25号</w:t>
      </w:r>
    </w:p>
    <w:p w:rsidR="00C57945" w:rsidRPr="00256C1C">
      <w:pPr>
        <w:spacing w:line="360" w:lineRule="auto"/>
        <w:ind w:firstLine="480"/>
        <w:rPr>
          <w:rFonts w:asciiTheme="minorEastAsia" w:eastAsiaTheme="minorEastAsia" w:hAnsiTheme="minorEastAsia"/>
          <w:sz w:val="24"/>
          <w:szCs w:val="24"/>
          <w:lang w:eastAsia="zh-CN"/>
        </w:rPr>
      </w:pPr>
      <w:r w:rsidRPr="00256C1C">
        <w:rPr>
          <w:rFonts w:asciiTheme="minorEastAsia" w:eastAsiaTheme="minorEastAsia" w:hAnsiTheme="minorEastAsia" w:hint="eastAsia"/>
          <w:sz w:val="24"/>
          <w:szCs w:val="24"/>
          <w:highlight w:val="white"/>
          <w:lang w:eastAsia="zh-CN"/>
        </w:rPr>
        <w:t>法定代表人：张金良</w:t>
      </w:r>
    </w:p>
    <w:p w:rsidR="00C57945" w:rsidRPr="00256C1C">
      <w:pPr>
        <w:spacing w:line="360" w:lineRule="auto"/>
        <w:ind w:firstLine="480"/>
        <w:rPr>
          <w:rFonts w:asciiTheme="minorEastAsia" w:eastAsiaTheme="minorEastAsia" w:hAnsiTheme="minorEastAsia"/>
          <w:sz w:val="24"/>
          <w:szCs w:val="24"/>
          <w:lang w:eastAsia="zh-CN"/>
        </w:rPr>
      </w:pPr>
      <w:r w:rsidRPr="00256C1C">
        <w:rPr>
          <w:rFonts w:asciiTheme="minorEastAsia" w:eastAsiaTheme="minorEastAsia" w:hAnsiTheme="minorEastAsia" w:hint="eastAsia"/>
          <w:sz w:val="24"/>
          <w:szCs w:val="24"/>
          <w:highlight w:val="white"/>
          <w:lang w:eastAsia="zh-CN"/>
        </w:rPr>
        <w:t>成立时间：2004年09月17日</w:t>
      </w:r>
    </w:p>
    <w:p w:rsidR="00C57945" w:rsidRPr="00256C1C">
      <w:pPr>
        <w:spacing w:line="360" w:lineRule="auto"/>
        <w:ind w:firstLine="480"/>
        <w:rPr>
          <w:rFonts w:asciiTheme="minorEastAsia" w:eastAsiaTheme="minorEastAsia" w:hAnsiTheme="minorEastAsia"/>
          <w:bCs/>
          <w:sz w:val="24"/>
          <w:szCs w:val="24"/>
          <w:lang w:eastAsia="zh-CN"/>
        </w:rPr>
      </w:pPr>
      <w:r w:rsidRPr="00256C1C">
        <w:rPr>
          <w:rFonts w:asciiTheme="minorEastAsia" w:eastAsiaTheme="minorEastAsia" w:hAnsiTheme="minorEastAsia" w:hint="eastAsia"/>
          <w:bCs/>
          <w:sz w:val="24"/>
          <w:szCs w:val="24"/>
          <w:highlight w:val="white"/>
          <w:lang w:eastAsia="zh-CN"/>
        </w:rPr>
        <w:t>组织形式：</w:t>
      </w:r>
      <w:r w:rsidRPr="00256C1C">
        <w:rPr>
          <w:rFonts w:asciiTheme="minorEastAsia" w:eastAsiaTheme="minorEastAsia" w:hAnsiTheme="minorEastAsia" w:hint="eastAsia"/>
          <w:sz w:val="24"/>
          <w:szCs w:val="24"/>
          <w:highlight w:val="white"/>
          <w:lang w:eastAsia="zh-CN"/>
        </w:rPr>
        <w:t>股份有限公司</w:t>
      </w:r>
    </w:p>
    <w:p w:rsidR="00C57945" w:rsidRPr="00256C1C">
      <w:pPr>
        <w:spacing w:line="360" w:lineRule="auto"/>
        <w:ind w:firstLine="480"/>
        <w:rPr>
          <w:rFonts w:asciiTheme="minorEastAsia" w:eastAsiaTheme="minorEastAsia" w:hAnsiTheme="minorEastAsia"/>
          <w:sz w:val="24"/>
          <w:szCs w:val="24"/>
          <w:lang w:eastAsia="zh-CN"/>
        </w:rPr>
      </w:pPr>
      <w:r w:rsidRPr="00256C1C">
        <w:rPr>
          <w:rFonts w:asciiTheme="minorEastAsia" w:eastAsiaTheme="minorEastAsia" w:hAnsiTheme="minorEastAsia" w:hint="eastAsia"/>
          <w:sz w:val="24"/>
          <w:szCs w:val="24"/>
          <w:highlight w:val="white"/>
          <w:lang w:eastAsia="zh-CN"/>
        </w:rPr>
        <w:t>注册资本：贰仟陆佰壹拾陆亿叁拾捌万壹仟肆佰伍拾玖元整</w:t>
      </w:r>
    </w:p>
    <w:p w:rsidR="00C57945" w:rsidRPr="00256C1C">
      <w:pPr>
        <w:spacing w:line="360" w:lineRule="auto"/>
        <w:ind w:firstLine="480"/>
        <w:rPr>
          <w:rFonts w:asciiTheme="minorEastAsia" w:eastAsiaTheme="minorEastAsia" w:hAnsiTheme="minorEastAsia"/>
          <w:sz w:val="24"/>
          <w:szCs w:val="24"/>
          <w:lang w:eastAsia="zh-CN"/>
        </w:rPr>
      </w:pPr>
      <w:r w:rsidRPr="00256C1C">
        <w:rPr>
          <w:rFonts w:asciiTheme="minorEastAsia" w:eastAsiaTheme="minorEastAsia" w:hAnsiTheme="minorEastAsia" w:hint="eastAsia"/>
          <w:sz w:val="24"/>
          <w:szCs w:val="24"/>
          <w:highlight w:val="white"/>
          <w:lang w:eastAsia="zh-CN"/>
        </w:rPr>
        <w:t>存续期间：持续经营</w:t>
      </w:r>
    </w:p>
    <w:p w:rsidR="00C57945" w:rsidRPr="00256C1C">
      <w:pPr>
        <w:spacing w:line="360" w:lineRule="auto"/>
        <w:ind w:firstLine="480"/>
        <w:rPr>
          <w:rFonts w:asciiTheme="minorEastAsia" w:eastAsiaTheme="minorEastAsia" w:hAnsiTheme="minorEastAsia"/>
          <w:bCs/>
          <w:color w:val="FF0000"/>
          <w:sz w:val="24"/>
          <w:szCs w:val="24"/>
          <w:lang w:eastAsia="zh-CN"/>
        </w:rPr>
      </w:pPr>
      <w:r w:rsidRPr="00256C1C">
        <w:rPr>
          <w:rFonts w:asciiTheme="minorEastAsia" w:eastAsiaTheme="minorEastAsia" w:hAnsiTheme="minorEastAsia" w:hint="eastAsia"/>
          <w:sz w:val="24"/>
          <w:szCs w:val="24"/>
          <w:highlight w:val="white"/>
          <w:lang w:eastAsia="zh-CN"/>
        </w:rPr>
        <w:t>基金托管资格批文及文号：中国证监会证监基字[1998]12号</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w:t>
      </w:r>
      <w:r w:rsidRPr="00256C1C">
        <w:rPr>
          <w:rFonts w:asciiTheme="minorEastAsia" w:eastAsiaTheme="minorEastAsia" w:hAnsiTheme="minorEastAsia" w:cs="宋体"/>
          <w:sz w:val="24"/>
          <w:szCs w:val="24"/>
          <w:highlight w:val="white"/>
          <w:lang w:eastAsia="zh-CN"/>
        </w:rPr>
        <w:tab/>
      </w:r>
      <w:r w:rsidRPr="00256C1C">
        <w:rPr>
          <w:rFonts w:asciiTheme="minorEastAsia" w:eastAsiaTheme="minorEastAsia" w:hAnsiTheme="minorEastAsia" w:cs="宋体" w:hint="eastAsia"/>
          <w:sz w:val="24"/>
          <w:szCs w:val="24"/>
          <w:highlight w:val="white"/>
          <w:lang w:eastAsia="zh-CN"/>
        </w:rPr>
        <w:t>基金托管人的权利与义务</w:t>
      </w:r>
      <w:bookmarkEnd w:id="177"/>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、根据《基金法》、《运作办法》及其他有关规定，基金托管人的权利包括但不限于：</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（1）自《基金合同》生效之日起，依法律法规和《基金合同》的规定安全保管基金财产；</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（2）依《基金合同》约定获得基金托管费以及法律法规规定或监管部门批准的其他费用；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（4）根据相关市场规则，为基金开设资金账户、证券</w:t>
      </w:r>
      <w:r w:rsidRPr="00256C1C">
        <w:rPr>
          <w:rFonts w:asciiTheme="minorEastAsia" w:eastAsiaTheme="minorEastAsia" w:hAnsiTheme="minorEastAsia" w:hint="eastAsia"/>
          <w:bCs/>
          <w:sz w:val="24"/>
          <w:highlight w:val="white"/>
          <w:lang w:eastAsia="zh-CN"/>
        </w:rPr>
        <w:t>账户等投资所需账户</w:t>
      </w:r>
      <w:r w:rsidRPr="00256C1C">
        <w:rPr>
          <w:rFonts w:asciiTheme="minorEastAsia" w:eastAsiaTheme="minorEastAsia" w:hAnsiTheme="minorEastAsia"/>
          <w:bCs/>
          <w:sz w:val="24"/>
          <w:highlight w:val="white"/>
          <w:lang w:eastAsia="zh-CN"/>
        </w:rPr>
        <w:t>、为基金办理证券交易资金清算</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（5）提议召开或召集基金份额持有人大会；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（6）在基金管理人更换时，提名新的基金管理人；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（7）法律法规及中国证监会规定的和《基金合同》约定的其他权利</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、根据《基金法》、《运作办法》及其他有关规定，基金托管人的义务包括但不限于：</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（1）以诚实信用、勤勉尽责的原则持有并安全保管基金财产；</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（2）设立专门的基金托管部门，具有符合要求的营业场所，配备足够的、合格的熟悉基金托管业务的专职人员，负责基金财产托管事宜；</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（4）除依据《基金法》、《基金合同》及其他有关规定外，不得利用基金财产为自己及任何第三人谋取利益，不得委托第三人托管基金财产；</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（5）保管由基金管理人代表基金签订的与基金有关的重大合同及有关凭证；</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（6）按规定开设基金财产的资金账户和证券账户</w:t>
      </w:r>
      <w:r w:rsidRPr="00256C1C">
        <w:rPr>
          <w:rFonts w:asciiTheme="minorEastAsia" w:eastAsiaTheme="minorEastAsia" w:hAnsiTheme="minorEastAsia" w:hint="eastAsia"/>
          <w:bCs/>
          <w:sz w:val="24"/>
          <w:highlight w:val="white"/>
          <w:lang w:eastAsia="zh-CN"/>
        </w:rPr>
        <w:t>等投资所需账户，</w:t>
      </w:r>
      <w:r w:rsidRPr="00256C1C">
        <w:rPr>
          <w:rFonts w:asciiTheme="minorEastAsia" w:eastAsiaTheme="minorEastAsia" w:hAnsiTheme="minorEastAsia"/>
          <w:bCs/>
          <w:sz w:val="24"/>
          <w:highlight w:val="white"/>
          <w:lang w:eastAsia="zh-CN"/>
        </w:rPr>
        <w:t>按照《基金合同》的约定，根据基金管理人的投资指令，及时办理清算、交割事宜；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7</w:t>
      </w:r>
      <w:r w:rsidRPr="00256C1C">
        <w:rPr>
          <w:rFonts w:asciiTheme="minorEastAsia" w:eastAsiaTheme="minorEastAsia" w:hAnsiTheme="minorEastAsia" w:cs="宋体" w:hint="eastAsia"/>
          <w:sz w:val="24"/>
          <w:szCs w:val="24"/>
          <w:highlight w:val="white"/>
          <w:lang w:eastAsia="zh-CN"/>
        </w:rPr>
        <w:t>）保守基金商业秘密，除《基金法》、《基金合同</w:t>
      </w:r>
      <w:r w:rsidRPr="00256C1C">
        <w:rPr>
          <w:rFonts w:asciiTheme="minorEastAsia" w:eastAsiaTheme="minorEastAsia" w:hAnsiTheme="minorEastAsia" w:cs="宋体" w:hint="eastAsia"/>
          <w:color w:val="000000"/>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及其他有关规定另有规定外，在基金信息公开披露前予以保密，不得向他人泄露</w:t>
      </w:r>
      <w:r w:rsidRPr="00256C1C">
        <w:rPr>
          <w:rFonts w:asciiTheme="minorEastAsia" w:eastAsiaTheme="minorEastAsia" w:hAnsiTheme="minorEastAsia" w:cs="宋体"/>
          <w:color w:val="000000"/>
          <w:sz w:val="24"/>
          <w:szCs w:val="24"/>
          <w:highlight w:val="white"/>
          <w:lang w:eastAsia="zh-CN"/>
        </w:rPr>
        <w:t>，但应监管机构、司法机关等有权机关的要求，或因审计、法律等外部专业顾问提供服务需要而向其提供的情况除外</w:t>
      </w:r>
      <w:r w:rsidRPr="00256C1C">
        <w:rPr>
          <w:rFonts w:asciiTheme="minorEastAsia" w:eastAsiaTheme="minorEastAsia" w:hAnsiTheme="minorEastAsia" w:cs="宋体"/>
          <w:sz w:val="24"/>
          <w:szCs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（8）复核、审查基金管理人计算的基金资产净值</w:t>
      </w:r>
      <w:r w:rsidRPr="00256C1C">
        <w:rPr>
          <w:rFonts w:asciiTheme="minorEastAsia" w:eastAsiaTheme="minorEastAsia" w:hAnsiTheme="minorEastAsia" w:hint="eastAsia"/>
          <w:bCs/>
          <w:sz w:val="24"/>
          <w:highlight w:val="white"/>
          <w:lang w:eastAsia="zh-CN"/>
        </w:rPr>
        <w:t>、基金份额净值</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（9）办理与基金托管业务活动有关的信息披露事项；</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（11）保存基金托管业务活动的记录、账册、报表和其他相关资料，保存期限按照法律法规的规定执行；</w:t>
      </w:r>
    </w:p>
    <w:p w:rsidR="00C57945" w:rsidRPr="00256C1C">
      <w:pPr>
        <w:spacing w:line="360" w:lineRule="auto"/>
        <w:ind w:firstLine="480"/>
        <w:rPr>
          <w:rFonts w:asciiTheme="minorEastAsia" w:eastAsiaTheme="minorEastAsia" w:hAnsiTheme="minorEastAsia" w:cs="宋体"/>
          <w:color w:val="000000"/>
          <w:sz w:val="24"/>
          <w:szCs w:val="24"/>
          <w:lang w:eastAsia="zh-CN"/>
        </w:rPr>
      </w:pPr>
      <w:r w:rsidRPr="00256C1C">
        <w:rPr>
          <w:rFonts w:asciiTheme="minorEastAsia" w:eastAsiaTheme="minorEastAsia" w:hAnsiTheme="minorEastAsia" w:cs="宋体" w:hint="eastAsia"/>
          <w:color w:val="000000"/>
          <w:sz w:val="24"/>
          <w:szCs w:val="24"/>
          <w:highlight w:val="white"/>
          <w:lang w:eastAsia="zh-CN"/>
        </w:rPr>
        <w:t>（12）从基金管理人或其委托的登记结算机构处接收并保存基金份额持有人名册；</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（13）按规定制作相关账册并与基金管理人核对；</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（14）依据基金管理人的指令或有关规定向基金份额持有人支付基金收益和赎回</w:t>
      </w:r>
      <w:r w:rsidRPr="00256C1C">
        <w:rPr>
          <w:rFonts w:asciiTheme="minorEastAsia" w:eastAsiaTheme="minorEastAsia" w:hAnsiTheme="minorEastAsia" w:hint="eastAsia"/>
          <w:bCs/>
          <w:sz w:val="24"/>
          <w:highlight w:val="white"/>
          <w:lang w:eastAsia="zh-CN"/>
        </w:rPr>
        <w:t>对价</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（15）依据《基金法》、《基金合同》及其他有关规定，召集基金份额持有人大会或配合</w:t>
      </w:r>
      <w:r w:rsidRPr="00256C1C">
        <w:rPr>
          <w:rFonts w:asciiTheme="minorEastAsia" w:eastAsiaTheme="minorEastAsia" w:hAnsiTheme="minorEastAsia" w:hint="eastAsia"/>
          <w:bCs/>
          <w:sz w:val="24"/>
          <w:highlight w:val="white"/>
          <w:lang w:eastAsia="zh-CN"/>
        </w:rPr>
        <w:t>基金管理人、</w:t>
      </w:r>
      <w:r w:rsidRPr="00256C1C">
        <w:rPr>
          <w:rFonts w:asciiTheme="minorEastAsia" w:eastAsiaTheme="minorEastAsia" w:hAnsiTheme="minorEastAsia"/>
          <w:bCs/>
          <w:sz w:val="24"/>
          <w:highlight w:val="white"/>
          <w:lang w:eastAsia="zh-CN"/>
        </w:rPr>
        <w:t>基金份额持有人依法召集基金份额持有人大会；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（16）按照法律法规和《基金合同》的规定监督基金管理人的投资运作；</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（17）参加基金财产清算小组，参与基金财产的保管、清理、估价、变现和分配；</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（18）面临解散、依法被撤销或者被依法宣告破产时，及时报告中国证监会和</w:t>
      </w:r>
      <w:r w:rsidRPr="00256C1C">
        <w:rPr>
          <w:rFonts w:asciiTheme="minorEastAsia" w:eastAsiaTheme="minorEastAsia" w:hAnsiTheme="minorEastAsia" w:cs="宋体" w:hint="eastAsia"/>
          <w:sz w:val="24"/>
          <w:szCs w:val="24"/>
          <w:highlight w:val="white"/>
          <w:lang w:eastAsia="zh-CN"/>
        </w:rPr>
        <w:t>银行业监督管理机构</w:t>
      </w:r>
      <w:r w:rsidRPr="00256C1C">
        <w:rPr>
          <w:rFonts w:asciiTheme="minorEastAsia" w:eastAsiaTheme="minorEastAsia" w:hAnsiTheme="minorEastAsia"/>
          <w:bCs/>
          <w:sz w:val="24"/>
          <w:highlight w:val="white"/>
          <w:lang w:eastAsia="zh-CN"/>
        </w:rPr>
        <w:t>，并通知基金管理人；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（19）因违反《基金合同》导致基金财产损失时，应承担赔偿责任，其赔偿责任不因其退任而免除；</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（20）按规定监督基金管理人按法律法规和《基金合同》规定履行自己的义务，基金管理人因违反《基金合同》造成基金财产损失时，应为基金份额持有人利益向基金管理人追偿；</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（21）执行生效的基金份额持有人大会的</w:t>
      </w:r>
      <w:r w:rsidRPr="00256C1C">
        <w:rPr>
          <w:rFonts w:asciiTheme="minorEastAsia" w:eastAsiaTheme="minorEastAsia" w:hAnsiTheme="minorEastAsia" w:hint="eastAsia"/>
          <w:bCs/>
          <w:sz w:val="24"/>
          <w:highlight w:val="white"/>
          <w:lang w:eastAsia="zh-CN"/>
        </w:rPr>
        <w:t>决议</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bCs/>
          <w:sz w:val="24"/>
          <w:highlight w:val="white"/>
          <w:lang w:eastAsia="zh-CN"/>
        </w:rPr>
        <w:t>（22）法律法规及中国证监会规定的和《基金合同》约定的其他义务</w:t>
      </w:r>
      <w:bookmarkStart w:id="178" w:name="_Toc523711670"/>
      <w:r w:rsidRPr="00256C1C">
        <w:rPr>
          <w:rFonts w:asciiTheme="minorEastAsia" w:eastAsiaTheme="minorEastAsia" w:hAnsiTheme="minorEastAsia" w:cs="宋体"/>
          <w:bCs/>
          <w:sz w:val="24"/>
          <w:szCs w:val="24"/>
          <w:highlight w:val="white"/>
          <w:lang w:eastAsia="zh-CN"/>
        </w:rPr>
        <w:t>。</w:t>
      </w:r>
      <w:bookmarkEnd w:id="178"/>
    </w:p>
    <w:p w:rsidR="00C57945" w:rsidRPr="00256C1C">
      <w:pPr>
        <w:spacing w:line="360" w:lineRule="auto"/>
        <w:ind w:firstLine="480"/>
        <w:rPr>
          <w:rFonts w:asciiTheme="minorEastAsia" w:eastAsiaTheme="minorEastAsia" w:hAnsiTheme="minorEastAsia" w:cs="宋体"/>
          <w:sz w:val="24"/>
          <w:szCs w:val="24"/>
          <w:lang w:eastAsia="zh-CN"/>
        </w:rPr>
      </w:pPr>
      <w:bookmarkStart w:id="179" w:name="_Toc79392582"/>
      <w:r w:rsidRPr="00256C1C">
        <w:rPr>
          <w:rFonts w:asciiTheme="minorEastAsia" w:eastAsiaTheme="minorEastAsia" w:hAnsiTheme="minorEastAsia" w:cs="宋体" w:hint="eastAsia"/>
          <w:sz w:val="24"/>
          <w:szCs w:val="24"/>
          <w:highlight w:val="white"/>
          <w:lang w:eastAsia="zh-CN"/>
        </w:rPr>
        <w:t>三、基金份额持有人</w:t>
      </w:r>
      <w:bookmarkEnd w:id="179"/>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基金投资者持有本基金</w:t>
      </w:r>
      <w:bookmarkStart w:id="180" w:name="_Hlt88899909"/>
      <w:bookmarkEnd w:id="180"/>
      <w:r w:rsidRPr="00256C1C">
        <w:rPr>
          <w:rFonts w:asciiTheme="minorEastAsia" w:eastAsiaTheme="minorEastAsia" w:hAnsiTheme="minorEastAsia" w:cs="宋体" w:hint="eastAsia"/>
          <w:sz w:val="24"/>
          <w:szCs w:val="24"/>
          <w:highlight w:val="white"/>
          <w:lang w:eastAsia="zh-CN"/>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每份基金份额具有同等的合法权益。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、根据《基金法》、《运作办法》及其他有关规定，基金份额持有人的权利包括但不限于：</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（1）分享基金财产收益；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（2）参与分配清算后的剩余基金财产；</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（3）依法</w:t>
      </w:r>
      <w:r w:rsidRPr="00256C1C">
        <w:rPr>
          <w:rFonts w:asciiTheme="minorEastAsia" w:eastAsiaTheme="minorEastAsia" w:hAnsiTheme="minorEastAsia" w:hint="eastAsia"/>
          <w:bCs/>
          <w:sz w:val="24"/>
          <w:highlight w:val="white"/>
          <w:lang w:eastAsia="zh-CN"/>
        </w:rPr>
        <w:t>转让或者</w:t>
      </w:r>
      <w:r w:rsidRPr="00256C1C">
        <w:rPr>
          <w:rFonts w:asciiTheme="minorEastAsia" w:eastAsiaTheme="minorEastAsia" w:hAnsiTheme="minorEastAsia"/>
          <w:bCs/>
          <w:sz w:val="24"/>
          <w:highlight w:val="white"/>
          <w:lang w:eastAsia="zh-CN"/>
        </w:rPr>
        <w:t>申请赎回其持有的基金份额；</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（4）按照规定要求召开基金份额持有人大会或者召集基金份额持有人大会；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（5）出席或者委派代表出席基金份额持有人大会，对基金份额持有人大会审议事项行使表决权；</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（6）查阅或者复制公开披露的基金信息资料；</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（7）监督基金管理人的投资运作；</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（8）对基金管理人、基金托管人、基金</w:t>
      </w:r>
      <w:r w:rsidRPr="00256C1C">
        <w:rPr>
          <w:rFonts w:asciiTheme="minorEastAsia" w:eastAsiaTheme="minorEastAsia" w:hAnsiTheme="minorEastAsia" w:hint="eastAsia"/>
          <w:bCs/>
          <w:sz w:val="24"/>
          <w:highlight w:val="white"/>
          <w:lang w:eastAsia="zh-CN"/>
        </w:rPr>
        <w:t>服务</w:t>
      </w:r>
      <w:r w:rsidRPr="00256C1C">
        <w:rPr>
          <w:rFonts w:asciiTheme="minorEastAsia" w:eastAsiaTheme="minorEastAsia" w:hAnsiTheme="minorEastAsia"/>
          <w:bCs/>
          <w:sz w:val="24"/>
          <w:highlight w:val="white"/>
          <w:lang w:eastAsia="zh-CN"/>
        </w:rPr>
        <w:t>机构损害其合法权益的行为依法提起诉讼或仲裁；</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（9）</w:t>
      </w:r>
      <w:r w:rsidRPr="00256C1C">
        <w:rPr>
          <w:rFonts w:asciiTheme="minorEastAsia" w:eastAsiaTheme="minorEastAsia" w:hAnsiTheme="minorEastAsia" w:hint="eastAsia"/>
          <w:bCs/>
          <w:sz w:val="24"/>
          <w:highlight w:val="white"/>
          <w:lang w:eastAsia="zh-CN"/>
        </w:rPr>
        <w:t>法律法规及中国证监会规定的和《基金合同》约定的其他</w:t>
      </w:r>
      <w:r w:rsidRPr="00256C1C">
        <w:rPr>
          <w:rFonts w:asciiTheme="minorEastAsia" w:eastAsiaTheme="minorEastAsia" w:hAnsiTheme="minorEastAsia"/>
          <w:bCs/>
          <w:sz w:val="24"/>
          <w:highlight w:val="white"/>
          <w:lang w:eastAsia="zh-CN"/>
        </w:rPr>
        <w:t>权利。</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2、根据《基金法》、《运作办法》及其他有关规定，基金份额持有人的义务包括但不限于：</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（1）认真阅读并遵守《基金合同》</w:t>
      </w:r>
      <w:r w:rsidRPr="00256C1C">
        <w:rPr>
          <w:rFonts w:asciiTheme="minorEastAsia" w:eastAsiaTheme="minorEastAsia" w:hAnsiTheme="minorEastAsia" w:hint="eastAsia"/>
          <w:bCs/>
          <w:sz w:val="24"/>
          <w:highlight w:val="white"/>
          <w:lang w:eastAsia="zh-CN"/>
        </w:rPr>
        <w:t>、招募说明书等信息披露文件</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（2）了解所投资基金产品，了解自身风险承受能力，自主判断基金的投资价值，自主做出投资决策，自行承担投资风险；</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（3）关注基金信息披露，及时行使权利和履行义务；</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w:t>
      </w:r>
      <w:r w:rsidRPr="00256C1C">
        <w:rPr>
          <w:rFonts w:asciiTheme="minorEastAsia" w:eastAsiaTheme="minorEastAsia" w:hAnsiTheme="minorEastAsia" w:hint="eastAsia"/>
          <w:sz w:val="24"/>
          <w:highlight w:val="white"/>
          <w:lang w:eastAsia="zh-CN"/>
        </w:rPr>
        <w:t>交纳</w:t>
      </w:r>
      <w:r w:rsidRPr="00256C1C">
        <w:rPr>
          <w:rFonts w:asciiTheme="minorEastAsia" w:eastAsiaTheme="minorEastAsia" w:hAnsiTheme="minorEastAsia"/>
          <w:bCs/>
          <w:sz w:val="24"/>
          <w:highlight w:val="white"/>
          <w:lang w:eastAsia="zh-CN"/>
        </w:rPr>
        <w:t>基金认购款项</w:t>
      </w:r>
      <w:r w:rsidRPr="00256C1C">
        <w:rPr>
          <w:rFonts w:asciiTheme="minorEastAsia" w:eastAsiaTheme="minorEastAsia" w:hAnsiTheme="minorEastAsia" w:hint="eastAsia"/>
          <w:bCs/>
          <w:sz w:val="24"/>
          <w:highlight w:val="white"/>
          <w:lang w:eastAsia="zh-CN"/>
        </w:rPr>
        <w:t>或认购股票、应付申购对价、现金差额</w:t>
      </w:r>
      <w:r w:rsidRPr="00256C1C">
        <w:rPr>
          <w:rFonts w:asciiTheme="minorEastAsia" w:eastAsiaTheme="minorEastAsia" w:hAnsiTheme="minorEastAsia"/>
          <w:bCs/>
          <w:sz w:val="24"/>
          <w:highlight w:val="white"/>
          <w:lang w:eastAsia="zh-CN"/>
        </w:rPr>
        <w:t>及法律法规和《基金合同》所规定的费用；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（5）在其持有的基金份额范围内，承担基金亏损或者《基金合同》终止的有限责任；</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（6）不从事任何有损基金及其他《基金合同》当事人合法权益的活动；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（7）执行生效的基金份额持有人大会的</w:t>
      </w:r>
      <w:r w:rsidRPr="00256C1C">
        <w:rPr>
          <w:rFonts w:asciiTheme="minorEastAsia" w:eastAsiaTheme="minorEastAsia" w:hAnsiTheme="minorEastAsia" w:hint="eastAsia"/>
          <w:sz w:val="24"/>
          <w:highlight w:val="white"/>
          <w:lang w:eastAsia="zh-CN"/>
        </w:rPr>
        <w:t>决议</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（8）返还在基金交易过程中因任何原因获得的不当得利；</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bCs/>
          <w:sz w:val="24"/>
          <w:highlight w:val="white"/>
          <w:lang w:eastAsia="zh-CN"/>
        </w:rPr>
        <w:t>（9）法律法规及中国证监会规定的和《基金合同》约定的其他义务</w:t>
      </w:r>
      <w:bookmarkStart w:id="181" w:name="_Hlt88825574"/>
      <w:bookmarkEnd w:id="181"/>
      <w:r w:rsidRPr="00256C1C">
        <w:rPr>
          <w:rFonts w:asciiTheme="minorEastAsia" w:eastAsiaTheme="minorEastAsia" w:hAnsiTheme="minorEastAsia" w:cs="宋体" w:hint="eastAsia"/>
          <w:sz w:val="24"/>
          <w:szCs w:val="24"/>
          <w:highlight w:val="white"/>
          <w:lang w:eastAsia="zh-CN"/>
        </w:rPr>
        <w:t>。</w:t>
      </w: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color w:val="auto"/>
          <w:highlight w:val="white"/>
          <w:lang w:eastAsia="zh-CN"/>
        </w:rPr>
        <w:br w:type="page"/>
      </w:r>
      <w:bookmarkStart w:id="182" w:name="_Toc25783"/>
      <w:bookmarkStart w:id="183" w:name="_Toc9706"/>
      <w:bookmarkStart w:id="184" w:name="_Toc79392583"/>
      <w:bookmarkStart w:id="185" w:name="_Toc3771"/>
      <w:bookmarkStart w:id="186" w:name="_Toc141703888"/>
      <w:bookmarkStart w:id="187" w:name="_Toc7058"/>
      <w:bookmarkStart w:id="188" w:name="_Toc139991738"/>
      <w:bookmarkStart w:id="189" w:name="_Toc123051454"/>
      <w:bookmarkStart w:id="190" w:name="_Toc18567"/>
      <w:bookmarkStart w:id="191" w:name="_Toc98560354"/>
      <w:bookmarkStart w:id="192" w:name="_Toc11030"/>
      <w:bookmarkStart w:id="193" w:name="_Toc6447"/>
      <w:bookmarkStart w:id="194" w:name="_Toc123112236"/>
      <w:bookmarkStart w:id="195" w:name="_Toc20768"/>
      <w:bookmarkStart w:id="196" w:name="_Toc10650"/>
      <w:bookmarkStart w:id="197" w:name="_Toc3321"/>
      <w:bookmarkStart w:id="198" w:name="_Toc446339246"/>
      <w:bookmarkStart w:id="199" w:name="_Toc4559"/>
      <w:bookmarkStart w:id="200" w:name="_Toc123102455"/>
      <w:bookmarkStart w:id="201" w:name="_Toc129511044"/>
      <w:r w:rsidRPr="00256C1C">
        <w:rPr>
          <w:rFonts w:asciiTheme="minorEastAsia" w:eastAsiaTheme="minorEastAsia" w:hAnsiTheme="minorEastAsia" w:cs="宋体" w:hint="eastAsia"/>
          <w:color w:val="auto"/>
          <w:sz w:val="30"/>
          <w:highlight w:val="white"/>
          <w:lang w:eastAsia="zh-CN"/>
        </w:rPr>
        <w:t>第十部分 基金份额持有人大会</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C57945" w:rsidRPr="00256C1C">
      <w:pPr>
        <w:tabs>
          <w:tab w:val="left" w:pos="1080"/>
        </w:tabs>
        <w:spacing w:line="360" w:lineRule="auto"/>
        <w:ind w:left="1076" w:hanging="658"/>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color w:val="000000"/>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基金份额持有人大会由基金份额持有人组成，基金份额持有人的合法授权代表有权代表基金份额持有人出席会议并表决。</w:t>
      </w:r>
      <w:r w:rsidRPr="00256C1C">
        <w:rPr>
          <w:rFonts w:asciiTheme="minorEastAsia" w:eastAsiaTheme="minorEastAsia" w:hAnsiTheme="minorEastAsia" w:cs="宋体" w:hint="eastAsia"/>
          <w:color w:val="000000"/>
          <w:sz w:val="24"/>
          <w:szCs w:val="24"/>
          <w:highlight w:val="white"/>
          <w:lang w:eastAsia="zh-CN"/>
        </w:rPr>
        <w:t>基金份额持有人持有的每一基金份额拥有平等的投票权。</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鉴于本基金和本基金的联接基金的相关性，联接基金的基金份额持有人可以凭所持有的联接基金的份额直接参加或者委派代表参加本基金的基金份额持有人大会表决。在计算参会份额和计票时，联接基金基金份额持有人持有的享有表决权的基金份额数和表决票数为：在本基金基金份额持有人大会的权益登记日，联接基金持有本基金份额的总数乘以该基金份额持有人所持有的联接基金份额占联接基金总份额的比例，计算结果按照四舍五入的方法，保留到整数位。联接基金折算为本基金后的每一参会份额和本基金的每一参会份额拥有平等的投票权。</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联接基金的基金管理人不应以联接基金的名义代表联接基金的全体基金份额持有人以本基金的基金份额持有人的身份行使表决权，但可接受联接基金的特定基金份额持有人的委托以联接基金的基金份额持有人代理人的身份出席本基金的基金份额持有人大会并参与表决。</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联接基金的基金管理人代表联接基金的基金份额持有人提议召开或召集本基金份额持有人大会的，须先遵照联接基金基金合同的约定召开联接基金的基金份额持有人大会，联接基金的基金份额持有人大会决定提议召开或召集本基金份额持有人大会的，由联接基金的基金管理人代表联接基金的基金份额持有人提议召开或召集本基金份额持有人大会。</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hint="eastAsia"/>
          <w:bCs/>
          <w:sz w:val="24"/>
          <w:highlight w:val="white"/>
          <w:lang w:eastAsia="zh-CN"/>
        </w:rPr>
        <w:t>本基金份额持有人大会暂不设日常机构。</w:t>
      </w:r>
    </w:p>
    <w:p w:rsidR="00C57945" w:rsidRPr="00256C1C">
      <w:pPr>
        <w:spacing w:line="360" w:lineRule="auto"/>
        <w:ind w:firstLine="480"/>
        <w:rPr>
          <w:rFonts w:asciiTheme="minorEastAsia" w:eastAsiaTheme="minorEastAsia" w:hAnsiTheme="minorEastAsia" w:cs="宋体"/>
          <w:sz w:val="24"/>
          <w:szCs w:val="24"/>
          <w:lang w:eastAsia="zh-CN"/>
        </w:rPr>
      </w:pPr>
      <w:bookmarkStart w:id="202" w:name="_Toc79392584"/>
      <w:bookmarkStart w:id="203" w:name="_Toc57530243"/>
      <w:bookmarkStart w:id="204" w:name="_Toc15641220"/>
      <w:r w:rsidRPr="00256C1C">
        <w:rPr>
          <w:rFonts w:asciiTheme="minorEastAsia" w:eastAsiaTheme="minorEastAsia" w:hAnsiTheme="minorEastAsia" w:cs="宋体" w:hint="eastAsia"/>
          <w:sz w:val="24"/>
          <w:szCs w:val="24"/>
          <w:highlight w:val="white"/>
          <w:lang w:eastAsia="zh-CN"/>
        </w:rPr>
        <w:t>一、召开事由</w:t>
      </w:r>
      <w:bookmarkEnd w:id="202"/>
      <w:bookmarkEnd w:id="203"/>
      <w:bookmarkEnd w:id="204"/>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bCs/>
          <w:sz w:val="24"/>
          <w:szCs w:val="24"/>
          <w:highlight w:val="white"/>
          <w:lang w:eastAsia="zh-CN"/>
        </w:rPr>
        <w:t>除法律法规、中国证监会和</w:t>
      </w:r>
      <w:r w:rsidRPr="00256C1C">
        <w:rPr>
          <w:rFonts w:asciiTheme="minorEastAsia" w:eastAsiaTheme="minorEastAsia" w:hAnsiTheme="minorEastAsia" w:cs="宋体"/>
          <w:bCs/>
          <w:sz w:val="24"/>
          <w:szCs w:val="24"/>
          <w:highlight w:val="white"/>
          <w:lang w:eastAsia="zh-CN"/>
        </w:rPr>
        <w:t>基金合同另有规定外，</w:t>
      </w:r>
      <w:r w:rsidRPr="00256C1C">
        <w:rPr>
          <w:rFonts w:asciiTheme="minorEastAsia" w:eastAsiaTheme="minorEastAsia" w:hAnsiTheme="minorEastAsia" w:cs="宋体" w:hint="eastAsia"/>
          <w:sz w:val="24"/>
          <w:szCs w:val="24"/>
          <w:highlight w:val="white"/>
          <w:lang w:eastAsia="zh-CN"/>
        </w:rPr>
        <w:t>当出现或需要决定下列事由之一的，应当召开基金份额持有人大会：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（1）终止《基金合同》；</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（2）更换基金管理人；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（3）更换基金托管人；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（4）转换基金运作方式；</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w:t>
      </w:r>
      <w:r w:rsidRPr="00256C1C">
        <w:rPr>
          <w:rFonts w:asciiTheme="minorEastAsia" w:eastAsiaTheme="minorEastAsia" w:hAnsiTheme="minorEastAsia" w:hint="eastAsia"/>
          <w:sz w:val="24"/>
          <w:highlight w:val="white"/>
          <w:lang w:eastAsia="zh-CN"/>
        </w:rPr>
        <w:t>调整</w:t>
      </w:r>
      <w:r w:rsidRPr="00256C1C">
        <w:rPr>
          <w:rFonts w:asciiTheme="minorEastAsia" w:eastAsiaTheme="minorEastAsia" w:hAnsiTheme="minorEastAsia"/>
          <w:bCs/>
          <w:sz w:val="24"/>
          <w:highlight w:val="white"/>
          <w:lang w:eastAsia="zh-CN"/>
        </w:rPr>
        <w:t>基金管理人、基金托管人的报酬标准；</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（6）变更基金类别；</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（7）本基金与其他基金的合并；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（8）变更基金投资目标、范围或策略；</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（9）变更基金份额持有人大会程序；</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（10）基金管理人或基金托管人要求召开基金份额持有人大会；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（11）单独或合计持有本基金总份额10%以上（含10%）基金份额的基金份额持有人（以基金管理人收到提议当日的基金份额计算，下同）就同一事项书面要求召开基金份额持有人大会；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（12）对基金</w:t>
      </w:r>
      <w:r w:rsidRPr="00256C1C">
        <w:rPr>
          <w:rFonts w:asciiTheme="minorEastAsia" w:eastAsiaTheme="minorEastAsia" w:hAnsiTheme="minorEastAsia" w:hint="eastAsia"/>
          <w:bCs/>
          <w:sz w:val="24"/>
          <w:highlight w:val="white"/>
          <w:lang w:eastAsia="zh-CN"/>
        </w:rPr>
        <w:t>合同</w:t>
      </w:r>
      <w:r w:rsidRPr="00256C1C">
        <w:rPr>
          <w:rFonts w:asciiTheme="minorEastAsia" w:eastAsiaTheme="minorEastAsia" w:hAnsiTheme="minorEastAsia"/>
          <w:bCs/>
          <w:sz w:val="24"/>
          <w:highlight w:val="white"/>
          <w:lang w:eastAsia="zh-CN"/>
        </w:rPr>
        <w:t>当事人权利和义务产生重大影响的其他事项；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（13）法律法规、《基金合同》或中国证监会规定的其他应当召开基金份额持有人大会的事项。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、在法律法规规定和《基金合同》约定的范围内且对基金份额持有人利益无实质性不利影响的前提下，以下情况可由基金管理人和基金托管人协商后修改，不需召开基金份额持有人大会：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1</w:t>
      </w:r>
      <w:r w:rsidRPr="00256C1C">
        <w:rPr>
          <w:rFonts w:asciiTheme="minorEastAsia" w:eastAsiaTheme="minorEastAsia" w:hAnsiTheme="minorEastAsia"/>
          <w:bCs/>
          <w:sz w:val="24"/>
          <w:highlight w:val="white"/>
          <w:lang w:eastAsia="zh-CN"/>
        </w:rPr>
        <w:t>）法律法规要求增加的基金费用的收取；</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2</w:t>
      </w:r>
      <w:r w:rsidRPr="00256C1C">
        <w:rPr>
          <w:rFonts w:asciiTheme="minorEastAsia" w:eastAsiaTheme="minorEastAsia" w:hAnsiTheme="minorEastAsia"/>
          <w:bCs/>
          <w:sz w:val="24"/>
          <w:highlight w:val="white"/>
          <w:lang w:eastAsia="zh-CN"/>
        </w:rPr>
        <w:t>）调整本基金的申购费率</w:t>
      </w:r>
      <w:r w:rsidRPr="00256C1C">
        <w:rPr>
          <w:rFonts w:asciiTheme="minorEastAsia" w:eastAsiaTheme="minorEastAsia" w:hAnsiTheme="minorEastAsia" w:hint="eastAsia"/>
          <w:sz w:val="24"/>
          <w:highlight w:val="white"/>
          <w:lang w:eastAsia="zh-CN"/>
        </w:rPr>
        <w:t>或变更收费方式</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3</w:t>
      </w:r>
      <w:r w:rsidRPr="00256C1C">
        <w:rPr>
          <w:rFonts w:asciiTheme="minorEastAsia" w:eastAsiaTheme="minorEastAsia" w:hAnsiTheme="minorEastAsia"/>
          <w:bCs/>
          <w:sz w:val="24"/>
          <w:highlight w:val="white"/>
          <w:lang w:eastAsia="zh-CN"/>
        </w:rPr>
        <w:t>）因相应的法律法规</w:t>
      </w:r>
      <w:bookmarkStart w:id="205" w:name="_Hlk69289288"/>
      <w:r w:rsidRPr="00256C1C">
        <w:rPr>
          <w:rFonts w:asciiTheme="minorEastAsia" w:eastAsiaTheme="minorEastAsia" w:hAnsiTheme="minorEastAsia" w:hint="eastAsia"/>
          <w:bCs/>
          <w:sz w:val="24"/>
          <w:highlight w:val="white"/>
          <w:lang w:eastAsia="zh-CN"/>
        </w:rPr>
        <w:t>、上海证券交易所或者登记结算机构的相关业务规则</w:t>
      </w:r>
      <w:bookmarkEnd w:id="205"/>
      <w:r w:rsidRPr="00256C1C">
        <w:rPr>
          <w:rFonts w:asciiTheme="minorEastAsia" w:eastAsiaTheme="minorEastAsia" w:hAnsiTheme="minorEastAsia"/>
          <w:bCs/>
          <w:sz w:val="24"/>
          <w:highlight w:val="white"/>
          <w:lang w:eastAsia="zh-CN"/>
        </w:rPr>
        <w:t>发生变动而应当对《基金合同》进行修改；</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4</w:t>
      </w:r>
      <w:r w:rsidRPr="00256C1C">
        <w:rPr>
          <w:rFonts w:asciiTheme="minorEastAsia" w:eastAsiaTheme="minorEastAsia" w:hAnsiTheme="minorEastAsia"/>
          <w:bCs/>
          <w:sz w:val="24"/>
          <w:highlight w:val="white"/>
          <w:lang w:eastAsia="zh-CN"/>
        </w:rPr>
        <w:t>）对《基金合同》的修改对基金份额持有人利益无实质性不利影响或修改不涉及《基金合同》当事人权利义务关系发生</w:t>
      </w:r>
      <w:r w:rsidRPr="00256C1C">
        <w:rPr>
          <w:rFonts w:asciiTheme="minorEastAsia" w:eastAsiaTheme="minorEastAsia" w:hAnsiTheme="minorEastAsia" w:hint="eastAsia"/>
          <w:bCs/>
          <w:sz w:val="24"/>
          <w:highlight w:val="white"/>
          <w:lang w:eastAsia="zh-CN"/>
        </w:rPr>
        <w:t>重大</w:t>
      </w:r>
      <w:r w:rsidRPr="00256C1C">
        <w:rPr>
          <w:rFonts w:asciiTheme="minorEastAsia" w:eastAsiaTheme="minorEastAsia" w:hAnsiTheme="minorEastAsia"/>
          <w:bCs/>
          <w:sz w:val="24"/>
          <w:highlight w:val="white"/>
          <w:lang w:eastAsia="zh-CN"/>
        </w:rPr>
        <w:t>变化；</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（5）调整有关认购、申购、赎回、交易、非交易过户、质押等业务规则（包括申购赎回清单的调整、开放时间的调整等），或证券交易所和登记结算机构调整上述业务规则；</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（6）调整基金的申购赎回方式；调整申购对价、赎回对价组成，调整申购赎回清单的内容，调整申购赎回清单计算和公告时间或频率；</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（7）推出新业务或服务；</w:t>
      </w:r>
    </w:p>
    <w:p w:rsidR="00C57945" w:rsidRPr="00256C1C" w:rsidP="005D0D88">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8</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本基金的联接基金采取</w:t>
      </w:r>
      <w:r w:rsidRPr="00256C1C">
        <w:rPr>
          <w:rFonts w:asciiTheme="minorEastAsia" w:eastAsiaTheme="minorEastAsia" w:hAnsiTheme="minorEastAsia" w:hint="eastAsia"/>
          <w:bCs/>
          <w:sz w:val="24"/>
          <w:highlight w:val="white"/>
          <w:lang w:eastAsia="zh-CN"/>
        </w:rPr>
        <w:t>特殊申购或</w:t>
      </w:r>
      <w:r w:rsidRPr="00256C1C">
        <w:rPr>
          <w:rFonts w:asciiTheme="minorEastAsia" w:eastAsiaTheme="minorEastAsia" w:hAnsiTheme="minorEastAsia"/>
          <w:bCs/>
          <w:sz w:val="24"/>
          <w:highlight w:val="white"/>
          <w:lang w:eastAsia="zh-CN"/>
        </w:rPr>
        <w:t>其他方式参与本基金的申购赎回；</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w:t>
      </w:r>
      <w:r w:rsidRPr="00256C1C" w:rsidR="005D0D88">
        <w:rPr>
          <w:rFonts w:asciiTheme="minorEastAsia" w:eastAsiaTheme="minorEastAsia" w:hAnsiTheme="minorEastAsia"/>
          <w:bCs/>
          <w:sz w:val="24"/>
          <w:highlight w:val="white"/>
          <w:lang w:eastAsia="zh-CN"/>
        </w:rPr>
        <w:t>9</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按照法律法规和《基金合同》规定不需召开基金份额持有人大会的其他情形</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bookmarkStart w:id="206" w:name="_Toc15641221"/>
      <w:bookmarkStart w:id="207" w:name="_Toc79392585"/>
      <w:bookmarkStart w:id="208" w:name="_Toc57530244"/>
      <w:r w:rsidRPr="00256C1C">
        <w:rPr>
          <w:rFonts w:asciiTheme="minorEastAsia" w:eastAsiaTheme="minorEastAsia" w:hAnsiTheme="minorEastAsia" w:cs="宋体" w:hint="eastAsia"/>
          <w:sz w:val="24"/>
          <w:szCs w:val="24"/>
          <w:highlight w:val="white"/>
          <w:lang w:eastAsia="zh-CN"/>
        </w:rPr>
        <w:t>二、会议召集人及召集方式</w:t>
      </w:r>
      <w:bookmarkEnd w:id="206"/>
      <w:bookmarkEnd w:id="207"/>
      <w:bookmarkEnd w:id="208"/>
    </w:p>
    <w:p w:rsidR="00C57945" w:rsidRPr="00256C1C">
      <w:pPr>
        <w:spacing w:line="360" w:lineRule="auto"/>
        <w:ind w:firstLine="480"/>
        <w:rPr>
          <w:rFonts w:asciiTheme="minorEastAsia" w:eastAsiaTheme="minorEastAsia" w:hAnsiTheme="minorEastAsia" w:cs="宋体"/>
          <w:sz w:val="24"/>
          <w:szCs w:val="24"/>
          <w:lang w:eastAsia="zh-CN"/>
        </w:rPr>
      </w:pPr>
      <w:bookmarkStart w:id="209" w:name="_Toc15641222"/>
      <w:bookmarkStart w:id="210" w:name="_Toc57530245"/>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、除法律法规规定或《基金合同》另有约定外，基金份额持有人大会由基金管理人召集</w:t>
      </w:r>
      <w:r w:rsidRPr="00256C1C">
        <w:rPr>
          <w:rFonts w:asciiTheme="minorEastAsia" w:eastAsiaTheme="minorEastAsia" w:hAnsiTheme="minorEastAsia" w:cs="宋体"/>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、基金管理人未按规定召集或不能召开时，由基金托管人召集</w:t>
      </w:r>
      <w:r w:rsidRPr="00256C1C">
        <w:rPr>
          <w:rFonts w:asciiTheme="minorEastAsia" w:eastAsiaTheme="minorEastAsia" w:hAnsiTheme="minorEastAsia" w:cs="宋体"/>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、基金托管人认为有必要召开基金份额持有人大会的，应当向基金管理人提出书面提议。基金管理人应当自收到书面提议之日起</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日内决定是否召集，并书面告知基金托管人。基金管理人决定召集的，应当自出具书面决定之日起</w:t>
      </w:r>
      <w:r w:rsidRPr="00256C1C">
        <w:rPr>
          <w:rFonts w:asciiTheme="minorEastAsia" w:eastAsiaTheme="minorEastAsia" w:hAnsiTheme="minorEastAsia" w:cs="宋体"/>
          <w:sz w:val="24"/>
          <w:szCs w:val="24"/>
          <w:highlight w:val="white"/>
          <w:lang w:eastAsia="zh-CN"/>
        </w:rPr>
        <w:t>60</w:t>
      </w:r>
      <w:r w:rsidRPr="00256C1C">
        <w:rPr>
          <w:rFonts w:asciiTheme="minorEastAsia" w:eastAsiaTheme="minorEastAsia" w:hAnsiTheme="minorEastAsia" w:cs="宋体" w:hint="eastAsia"/>
          <w:sz w:val="24"/>
          <w:szCs w:val="24"/>
          <w:highlight w:val="white"/>
          <w:lang w:eastAsia="zh-CN"/>
        </w:rPr>
        <w:t>日内召开；基金管理人决定不召集，基金托管人仍认为有必要召开的，应当由基金托管人自行召集，并自出具书面决定之日起</w:t>
      </w:r>
      <w:r w:rsidRPr="00256C1C">
        <w:rPr>
          <w:rFonts w:asciiTheme="minorEastAsia" w:eastAsiaTheme="minorEastAsia" w:hAnsiTheme="minorEastAsia" w:cs="宋体"/>
          <w:sz w:val="24"/>
          <w:szCs w:val="24"/>
          <w:highlight w:val="white"/>
          <w:lang w:eastAsia="zh-CN"/>
        </w:rPr>
        <w:t>60</w:t>
      </w:r>
      <w:r w:rsidRPr="00256C1C">
        <w:rPr>
          <w:rFonts w:asciiTheme="minorEastAsia" w:eastAsiaTheme="minorEastAsia" w:hAnsiTheme="minorEastAsia" w:cs="宋体" w:hint="eastAsia"/>
          <w:sz w:val="24"/>
          <w:szCs w:val="24"/>
          <w:highlight w:val="white"/>
          <w:lang w:eastAsia="zh-CN"/>
        </w:rPr>
        <w:t>日内召开并告知基金管理人，基金管理人应当配合。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bCs/>
          <w:sz w:val="24"/>
          <w:szCs w:val="24"/>
          <w:highlight w:val="white"/>
          <w:lang w:eastAsia="zh-CN"/>
        </w:rPr>
        <w:t>代表基金份额10%</w:t>
      </w:r>
      <w:r w:rsidRPr="00256C1C">
        <w:rPr>
          <w:rFonts w:asciiTheme="minorEastAsia" w:eastAsiaTheme="minorEastAsia" w:hAnsiTheme="minorEastAsia" w:cs="宋体" w:hint="eastAsia"/>
          <w:bCs/>
          <w:sz w:val="24"/>
          <w:szCs w:val="24"/>
          <w:highlight w:val="white"/>
          <w:lang w:eastAsia="zh-CN"/>
        </w:rPr>
        <w:t>以上（含</w:t>
      </w:r>
      <w:r w:rsidRPr="00256C1C">
        <w:rPr>
          <w:rFonts w:asciiTheme="minorEastAsia" w:eastAsiaTheme="minorEastAsia" w:hAnsiTheme="minorEastAsia" w:cs="宋体"/>
          <w:bCs/>
          <w:sz w:val="24"/>
          <w:szCs w:val="24"/>
          <w:highlight w:val="white"/>
          <w:lang w:eastAsia="zh-CN"/>
        </w:rPr>
        <w:t>10%</w:t>
      </w:r>
      <w:r w:rsidRPr="00256C1C">
        <w:rPr>
          <w:rFonts w:asciiTheme="minorEastAsia" w:eastAsiaTheme="minorEastAsia" w:hAnsiTheme="minorEastAsia" w:cs="宋体" w:hint="eastAsia"/>
          <w:bCs/>
          <w:sz w:val="24"/>
          <w:szCs w:val="24"/>
          <w:highlight w:val="white"/>
          <w:lang w:eastAsia="zh-CN"/>
        </w:rPr>
        <w:t>）的</w:t>
      </w:r>
      <w:r w:rsidRPr="00256C1C">
        <w:rPr>
          <w:rFonts w:asciiTheme="minorEastAsia" w:eastAsiaTheme="minorEastAsia" w:hAnsiTheme="minorEastAsia" w:cs="宋体" w:hint="eastAsia"/>
          <w:sz w:val="24"/>
          <w:szCs w:val="24"/>
          <w:highlight w:val="white"/>
          <w:lang w:eastAsia="zh-CN"/>
        </w:rPr>
        <w:t>基金份额持有人就同一事项书面要求召开基金份额持有人大会，应当向基金管理人提出书面提议。基金管理人应当自收到书面提议之日起</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日内决定是否召集，并书面告知提出提议的基金份额持有人代表和基金托管人。基金管理人决定召集的，应当自出具书面决定之日起</w:t>
      </w:r>
      <w:r w:rsidRPr="00256C1C">
        <w:rPr>
          <w:rFonts w:asciiTheme="minorEastAsia" w:eastAsiaTheme="minorEastAsia" w:hAnsiTheme="minorEastAsia" w:cs="宋体"/>
          <w:sz w:val="24"/>
          <w:szCs w:val="24"/>
          <w:highlight w:val="white"/>
          <w:lang w:eastAsia="zh-CN"/>
        </w:rPr>
        <w:t>60</w:t>
      </w:r>
      <w:r w:rsidRPr="00256C1C">
        <w:rPr>
          <w:rFonts w:asciiTheme="minorEastAsia" w:eastAsiaTheme="minorEastAsia" w:hAnsiTheme="minorEastAsia" w:cs="宋体" w:hint="eastAsia"/>
          <w:sz w:val="24"/>
          <w:szCs w:val="24"/>
          <w:highlight w:val="white"/>
          <w:lang w:eastAsia="zh-CN"/>
        </w:rPr>
        <w:t>日内召开；基金管理人决定不召集，</w:t>
      </w:r>
      <w:r w:rsidRPr="00256C1C">
        <w:rPr>
          <w:rFonts w:asciiTheme="minorEastAsia" w:eastAsiaTheme="minorEastAsia" w:hAnsiTheme="minorEastAsia" w:cs="宋体" w:hint="eastAsia"/>
          <w:bCs/>
          <w:sz w:val="24"/>
          <w:szCs w:val="24"/>
          <w:highlight w:val="white"/>
          <w:lang w:eastAsia="zh-CN"/>
        </w:rPr>
        <w:t>代表</w:t>
      </w:r>
      <w:r w:rsidRPr="00256C1C">
        <w:rPr>
          <w:rFonts w:asciiTheme="minorEastAsia" w:eastAsiaTheme="minorEastAsia" w:hAnsiTheme="minorEastAsia" w:cs="宋体" w:hint="eastAsia"/>
          <w:sz w:val="24"/>
          <w:szCs w:val="24"/>
          <w:highlight w:val="white"/>
          <w:lang w:eastAsia="zh-CN"/>
        </w:rPr>
        <w:t>基金份额</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以上（含</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）的基金份额持有人仍认为有必要召开的，应当向基金托管人提出书面提议。基金托管人应当自收到书面提议之日起</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日内决定是否召集，并书面告知提出提议的基金份额持有人代表和基金管理人；基金托管人决定召集的，应当自出具书面决定之日起</w:t>
      </w:r>
      <w:r w:rsidRPr="00256C1C">
        <w:rPr>
          <w:rFonts w:asciiTheme="minorEastAsia" w:eastAsiaTheme="minorEastAsia" w:hAnsiTheme="minorEastAsia" w:cs="宋体"/>
          <w:sz w:val="24"/>
          <w:szCs w:val="24"/>
          <w:highlight w:val="white"/>
          <w:lang w:eastAsia="zh-CN"/>
        </w:rPr>
        <w:t>60</w:t>
      </w:r>
      <w:r w:rsidRPr="00256C1C">
        <w:rPr>
          <w:rFonts w:asciiTheme="minorEastAsia" w:eastAsiaTheme="minorEastAsia" w:hAnsiTheme="minorEastAsia" w:cs="宋体" w:hint="eastAsia"/>
          <w:sz w:val="24"/>
          <w:szCs w:val="24"/>
          <w:highlight w:val="white"/>
          <w:lang w:eastAsia="zh-CN"/>
        </w:rPr>
        <w:t>日内召开</w:t>
      </w:r>
      <w:r w:rsidRPr="00256C1C">
        <w:rPr>
          <w:rFonts w:asciiTheme="minorEastAsia" w:eastAsiaTheme="minorEastAsia" w:hAnsiTheme="minorEastAsia" w:cs="宋体" w:hint="eastAsia"/>
          <w:color w:val="000000"/>
          <w:sz w:val="24"/>
          <w:szCs w:val="24"/>
          <w:highlight w:val="white"/>
          <w:lang w:eastAsia="zh-CN"/>
        </w:rPr>
        <w:t>并告知基金管理人，基金管理人应当配合</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bCs/>
          <w:sz w:val="24"/>
          <w:szCs w:val="24"/>
          <w:highlight w:val="white"/>
          <w:lang w:eastAsia="zh-CN"/>
        </w:rPr>
        <w:t>代表基金</w:t>
      </w:r>
      <w:r w:rsidRPr="00256C1C">
        <w:rPr>
          <w:rFonts w:asciiTheme="minorEastAsia" w:eastAsiaTheme="minorEastAsia" w:hAnsiTheme="minorEastAsia" w:cs="宋体" w:hint="eastAsia"/>
          <w:sz w:val="24"/>
          <w:szCs w:val="24"/>
          <w:highlight w:val="white"/>
          <w:lang w:eastAsia="zh-CN"/>
        </w:rPr>
        <w:t>份额</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以上（含</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）的基金份额持有人就同一事项要求召开基金份额持有人大会，而</w:t>
      </w:r>
      <w:r w:rsidRPr="00256C1C">
        <w:rPr>
          <w:rFonts w:asciiTheme="minorEastAsia" w:eastAsiaTheme="minorEastAsia" w:hAnsiTheme="minorEastAsia" w:cs="宋体" w:hint="eastAsia"/>
          <w:bCs/>
          <w:sz w:val="24"/>
          <w:szCs w:val="24"/>
          <w:highlight w:val="white"/>
          <w:lang w:eastAsia="zh-CN"/>
        </w:rPr>
        <w:t>基金</w:t>
      </w:r>
      <w:r w:rsidRPr="00256C1C">
        <w:rPr>
          <w:rFonts w:asciiTheme="minorEastAsia" w:eastAsiaTheme="minorEastAsia" w:hAnsiTheme="minorEastAsia" w:cs="宋体" w:hint="eastAsia"/>
          <w:sz w:val="24"/>
          <w:szCs w:val="24"/>
          <w:highlight w:val="white"/>
          <w:lang w:eastAsia="zh-CN"/>
        </w:rPr>
        <w:t>管理人、基金托管人都不召集的，单独或合计代表基金份额</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以上（含</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）的基金份额持有人有权自行召集，并至少提前</w:t>
      </w:r>
      <w:r w:rsidRPr="00256C1C">
        <w:rPr>
          <w:rFonts w:asciiTheme="minorEastAsia" w:eastAsiaTheme="minorEastAsia" w:hAnsiTheme="minorEastAsia" w:cs="宋体"/>
          <w:sz w:val="24"/>
          <w:szCs w:val="24"/>
          <w:highlight w:val="white"/>
          <w:lang w:eastAsia="zh-CN"/>
        </w:rPr>
        <w:t>30</w:t>
      </w:r>
      <w:r w:rsidRPr="00256C1C">
        <w:rPr>
          <w:rFonts w:asciiTheme="minorEastAsia" w:eastAsiaTheme="minorEastAsia" w:hAnsiTheme="minorEastAsia" w:cs="宋体" w:hint="eastAsia"/>
          <w:sz w:val="24"/>
          <w:szCs w:val="24"/>
          <w:highlight w:val="white"/>
          <w:lang w:eastAsia="zh-CN"/>
        </w:rPr>
        <w:t>日报中国证监会备案。基金份额持有人依法自行召集基金份额持有人大会的，基金管理人、基金托管人应当配合，不得阻碍、干扰。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、基金份额持有人会议的召集人负责选择确定开会时间、地点、方式和权益登记日。</w:t>
      </w:r>
    </w:p>
    <w:p w:rsidR="00C57945" w:rsidRPr="00256C1C">
      <w:pPr>
        <w:spacing w:line="360" w:lineRule="auto"/>
        <w:ind w:firstLine="480"/>
        <w:rPr>
          <w:rFonts w:asciiTheme="minorEastAsia" w:eastAsiaTheme="minorEastAsia" w:hAnsiTheme="minorEastAsia" w:cs="宋体"/>
          <w:sz w:val="24"/>
          <w:szCs w:val="24"/>
          <w:lang w:eastAsia="zh-CN"/>
        </w:rPr>
      </w:pPr>
      <w:bookmarkStart w:id="211" w:name="_Toc79392586"/>
      <w:r w:rsidRPr="00256C1C">
        <w:rPr>
          <w:rFonts w:asciiTheme="minorEastAsia" w:eastAsiaTheme="minorEastAsia" w:hAnsiTheme="minorEastAsia" w:cs="宋体" w:hint="eastAsia"/>
          <w:sz w:val="24"/>
          <w:szCs w:val="24"/>
          <w:highlight w:val="white"/>
          <w:lang w:eastAsia="zh-CN"/>
        </w:rPr>
        <w:t>三、召开基金份额持有人大会的通知时间、通知内容、通知方式</w:t>
      </w:r>
      <w:bookmarkEnd w:id="209"/>
      <w:bookmarkEnd w:id="210"/>
      <w:bookmarkEnd w:id="211"/>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、召开基金份额持有人大会，召集人应于会议召开前</w:t>
      </w:r>
      <w:r w:rsidRPr="00256C1C">
        <w:rPr>
          <w:rFonts w:asciiTheme="minorEastAsia" w:eastAsiaTheme="minorEastAsia" w:hAnsiTheme="minorEastAsia" w:cs="宋体"/>
          <w:sz w:val="24"/>
          <w:szCs w:val="24"/>
          <w:highlight w:val="white"/>
          <w:lang w:eastAsia="zh-CN"/>
        </w:rPr>
        <w:t>30</w:t>
      </w:r>
      <w:r w:rsidRPr="00256C1C">
        <w:rPr>
          <w:rFonts w:asciiTheme="minorEastAsia" w:eastAsiaTheme="minorEastAsia" w:hAnsiTheme="minorEastAsia" w:cs="宋体" w:hint="eastAsia"/>
          <w:sz w:val="24"/>
          <w:szCs w:val="24"/>
          <w:highlight w:val="white"/>
          <w:lang w:eastAsia="zh-CN"/>
        </w:rPr>
        <w:t>日，在规定媒介公告。基金份额持有人大会通知应至少载明以下内容：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）会议召开的时间、地点和会议形式；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）会议拟审议的事项、议事程序和表决方式；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）有权出席基金份额持有人大会的基金份额持有人的权益登记日；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）授权委托证明的内容要求（包括但不限于代理人身份，代理权限和代理有效期限等）、送达时间和地点；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）会务常设联系人姓名及联系电话；</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）出席会议者必须准备的文件和必须履行的手续；</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7</w:t>
      </w:r>
      <w:r w:rsidRPr="00256C1C">
        <w:rPr>
          <w:rFonts w:asciiTheme="minorEastAsia" w:eastAsiaTheme="minorEastAsia" w:hAnsiTheme="minorEastAsia" w:cs="宋体" w:hint="eastAsia"/>
          <w:sz w:val="24"/>
          <w:szCs w:val="24"/>
          <w:highlight w:val="white"/>
          <w:lang w:eastAsia="zh-CN"/>
        </w:rPr>
        <w:t>）召集人需要通知的其他事项。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C57945" w:rsidRPr="00256C1C">
      <w:pPr>
        <w:spacing w:line="360" w:lineRule="auto"/>
        <w:ind w:firstLine="480"/>
        <w:rPr>
          <w:rFonts w:asciiTheme="minorEastAsia" w:eastAsiaTheme="minorEastAsia" w:hAnsiTheme="minorEastAsia" w:cs="宋体"/>
          <w:sz w:val="24"/>
          <w:szCs w:val="24"/>
          <w:lang w:eastAsia="zh-CN"/>
        </w:rPr>
      </w:pPr>
      <w:bookmarkStart w:id="212" w:name="_Toc79392587"/>
      <w:bookmarkStart w:id="213" w:name="_Toc15641223"/>
      <w:bookmarkStart w:id="214" w:name="_Toc57530246"/>
      <w:r w:rsidRPr="00256C1C">
        <w:rPr>
          <w:rFonts w:asciiTheme="minorEastAsia" w:eastAsiaTheme="minorEastAsia" w:hAnsiTheme="minorEastAsia" w:cs="宋体" w:hint="eastAsia"/>
          <w:sz w:val="24"/>
          <w:szCs w:val="24"/>
          <w:highlight w:val="white"/>
          <w:lang w:eastAsia="zh-CN"/>
        </w:rPr>
        <w:t>四、基金份额持有人出席会议的方式</w:t>
      </w:r>
      <w:bookmarkEnd w:id="212"/>
      <w:bookmarkEnd w:id="213"/>
      <w:bookmarkEnd w:id="214"/>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基金份额持有人大会可通过现场开会方式</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通讯开会方式</w:t>
      </w:r>
      <w:r w:rsidRPr="00256C1C">
        <w:rPr>
          <w:rFonts w:asciiTheme="minorEastAsia" w:eastAsiaTheme="minorEastAsia" w:hAnsiTheme="minorEastAsia" w:cs="宋体" w:hint="eastAsia"/>
          <w:bCs/>
          <w:sz w:val="24"/>
          <w:szCs w:val="24"/>
          <w:highlight w:val="white"/>
          <w:lang w:eastAsia="zh-CN"/>
        </w:rPr>
        <w:t>或</w:t>
      </w:r>
      <w:r w:rsidRPr="00256C1C">
        <w:rPr>
          <w:rFonts w:asciiTheme="minorEastAsia" w:eastAsiaTheme="minorEastAsia" w:hAnsiTheme="minorEastAsia" w:cs="宋体" w:hint="eastAsia"/>
          <w:sz w:val="24"/>
          <w:szCs w:val="24"/>
          <w:highlight w:val="white"/>
          <w:lang w:eastAsia="zh-CN"/>
        </w:rPr>
        <w:t>法律法规、</w:t>
      </w:r>
      <w:r w:rsidRPr="00256C1C">
        <w:rPr>
          <w:rFonts w:asciiTheme="minorEastAsia" w:eastAsiaTheme="minorEastAsia" w:hAnsiTheme="minorEastAsia" w:cs="宋体" w:hint="eastAsia"/>
          <w:bCs/>
          <w:sz w:val="24"/>
          <w:szCs w:val="24"/>
          <w:highlight w:val="white"/>
          <w:lang w:eastAsia="zh-CN"/>
        </w:rPr>
        <w:t>监管</w:t>
      </w:r>
      <w:r w:rsidRPr="00256C1C">
        <w:rPr>
          <w:rFonts w:asciiTheme="minorEastAsia" w:eastAsiaTheme="minorEastAsia" w:hAnsiTheme="minorEastAsia" w:cs="宋体"/>
          <w:bCs/>
          <w:sz w:val="24"/>
          <w:szCs w:val="24"/>
          <w:highlight w:val="white"/>
          <w:lang w:eastAsia="zh-CN"/>
        </w:rPr>
        <w:t>机构</w:t>
      </w:r>
      <w:r w:rsidRPr="00256C1C">
        <w:rPr>
          <w:rFonts w:asciiTheme="minorEastAsia" w:eastAsiaTheme="minorEastAsia" w:hAnsiTheme="minorEastAsia" w:cs="宋体" w:hint="eastAsia"/>
          <w:sz w:val="24"/>
          <w:szCs w:val="24"/>
          <w:highlight w:val="white"/>
          <w:lang w:eastAsia="zh-CN"/>
        </w:rPr>
        <w:t>允许的其他方式召开，会议的召开方式由会议召集人确定。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cs="宋体" w:hint="eastAsia"/>
          <w:bCs/>
          <w:sz w:val="24"/>
          <w:szCs w:val="24"/>
          <w:highlight w:val="white"/>
          <w:lang w:eastAsia="zh-CN"/>
        </w:rPr>
        <w:t>）亲自出席会议者持有的有关证明文件、受托出席会议者出示的委托人的代理投票授权委托证明及有关证明文件符合法律法规、《基金合同》和会议通知的规定；</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2</w:t>
      </w:r>
      <w:r w:rsidRPr="00256C1C">
        <w:rPr>
          <w:rFonts w:asciiTheme="minorEastAsia" w:eastAsiaTheme="minorEastAsia" w:hAnsiTheme="minorEastAsia" w:cs="宋体" w:hint="eastAsia"/>
          <w:bCs/>
          <w:sz w:val="24"/>
          <w:szCs w:val="24"/>
          <w:highlight w:val="white"/>
          <w:lang w:eastAsia="zh-CN"/>
        </w:rPr>
        <w:t>）经核对，到会者在权益登记日代表的有效的基金份额不少于本基金在权益登记日基金总份额的</w:t>
      </w:r>
      <w:r w:rsidRPr="00256C1C">
        <w:rPr>
          <w:rFonts w:asciiTheme="minorEastAsia" w:eastAsiaTheme="minorEastAsia" w:hAnsiTheme="minorEastAsia" w:cs="宋体"/>
          <w:bCs/>
          <w:sz w:val="24"/>
          <w:szCs w:val="24"/>
          <w:highlight w:val="white"/>
          <w:lang w:eastAsia="zh-CN"/>
        </w:rPr>
        <w:t>二分之一（含二分之一）</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在同时符合以下条件时，通讯开会的方式视为有效：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）会议召集人按《基金合同》约定公布会议通知后，在</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个工作日内连续公布相关提示性公告；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C57945" w:rsidRPr="00256C1C">
      <w:pPr>
        <w:spacing w:line="360" w:lineRule="auto"/>
        <w:ind w:firstLine="54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）本人直接出具书面意见或授权他人代表出具书面意见的，基金份额持有人所持有的基金份额不小于在权益登记日基金总份额的</w:t>
      </w:r>
      <w:r w:rsidRPr="00256C1C">
        <w:rPr>
          <w:rFonts w:asciiTheme="minorEastAsia" w:eastAsiaTheme="minorEastAsia" w:hAnsiTheme="minorEastAsia" w:cs="宋体" w:hint="eastAsia"/>
          <w:bCs/>
          <w:sz w:val="24"/>
          <w:szCs w:val="24"/>
          <w:highlight w:val="white"/>
          <w:lang w:eastAsia="zh-CN"/>
        </w:rPr>
        <w:t>二分之一（含二分之一）</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hint="eastAsia"/>
          <w:bCs/>
          <w:sz w:val="24"/>
          <w:szCs w:val="24"/>
          <w:highlight w:val="white"/>
          <w:lang w:eastAsia="zh-CN"/>
        </w:rPr>
        <w:t>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r w:rsidRPr="00256C1C">
        <w:rPr>
          <w:rFonts w:asciiTheme="minorEastAsia" w:eastAsiaTheme="minorEastAsia" w:hAnsiTheme="minorEastAsia" w:cs="宋体"/>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）上述第（</w:t>
      </w: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）项中直接出具书面意见的基金份额持有人或受托代表他人出具书面意见的代理人，</w:t>
      </w:r>
      <w:r w:rsidRPr="00256C1C">
        <w:rPr>
          <w:rFonts w:asciiTheme="minorEastAsia" w:eastAsiaTheme="minorEastAsia" w:hAnsiTheme="minorEastAsia" w:cs="宋体" w:hint="eastAsia"/>
          <w:bCs/>
          <w:sz w:val="24"/>
          <w:szCs w:val="24"/>
          <w:highlight w:val="white"/>
          <w:lang w:eastAsia="zh-CN"/>
        </w:rPr>
        <w:t>同时提交的有关证明文件、受托出具书面意见的代理人出示的委托人的代理投票授权委托证明及有关证明文件符合法律法规、</w:t>
      </w:r>
      <w:r w:rsidRPr="00256C1C">
        <w:rPr>
          <w:rFonts w:asciiTheme="minorEastAsia" w:eastAsiaTheme="minorEastAsia" w:hAnsiTheme="minorEastAsia" w:cs="宋体" w:hint="eastAsia"/>
          <w:sz w:val="24"/>
          <w:szCs w:val="24"/>
          <w:highlight w:val="white"/>
          <w:lang w:eastAsia="zh-CN"/>
        </w:rPr>
        <w:t>《基金合同》和会议通知的规定，并与基金登记结算机构记录相符</w:t>
      </w:r>
      <w:r w:rsidRPr="00256C1C">
        <w:rPr>
          <w:rFonts w:asciiTheme="minorEastAsia" w:eastAsiaTheme="minorEastAsia" w:hAnsiTheme="minorEastAsia" w:cs="宋体" w:hint="eastAsia"/>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3</w:t>
      </w:r>
      <w:r w:rsidRPr="00256C1C">
        <w:rPr>
          <w:rFonts w:asciiTheme="minorEastAsia" w:eastAsiaTheme="minorEastAsia" w:hAnsiTheme="minorEastAsia" w:cs="宋体" w:hint="eastAsia"/>
          <w:bCs/>
          <w:sz w:val="24"/>
          <w:szCs w:val="24"/>
          <w:highlight w:val="white"/>
          <w:lang w:eastAsia="zh-CN"/>
        </w:rPr>
        <w:t>、在不与法律法规冲突的前提下，基金份额持有人大会可通过网络、电话或其他方式召开，基金份额持有人可以采用书面、网络、电话、短信或其他方式进行表决，具体方式由会议召集人确定并在会议通知中列明。</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hint="eastAsia"/>
          <w:bCs/>
          <w:sz w:val="24"/>
          <w:szCs w:val="24"/>
          <w:highlight w:val="white"/>
          <w:lang w:eastAsia="zh-CN"/>
        </w:rPr>
        <w:t>、基金份额持有人授权他人代为出席会议并表决的，授权方式可以采用书面、网络、电话、短信或其他方式，具体方式由会议召集人确定并在会议通知中列明。</w:t>
      </w:r>
    </w:p>
    <w:p w:rsidR="00C57945" w:rsidRPr="00256C1C">
      <w:pPr>
        <w:spacing w:line="360" w:lineRule="auto"/>
        <w:ind w:firstLine="480"/>
        <w:rPr>
          <w:rFonts w:asciiTheme="minorEastAsia" w:eastAsiaTheme="minorEastAsia" w:hAnsiTheme="minorEastAsia" w:cs="宋体"/>
          <w:sz w:val="24"/>
          <w:szCs w:val="24"/>
          <w:lang w:eastAsia="zh-CN"/>
        </w:rPr>
      </w:pPr>
      <w:bookmarkStart w:id="215" w:name="_Toc79392588"/>
      <w:bookmarkStart w:id="216" w:name="_Toc57530247"/>
      <w:bookmarkStart w:id="217" w:name="_Toc15641224"/>
      <w:r w:rsidRPr="00256C1C">
        <w:rPr>
          <w:rFonts w:asciiTheme="minorEastAsia" w:eastAsiaTheme="minorEastAsia" w:hAnsiTheme="minorEastAsia" w:cs="宋体" w:hint="eastAsia"/>
          <w:sz w:val="24"/>
          <w:szCs w:val="24"/>
          <w:highlight w:val="white"/>
          <w:lang w:eastAsia="zh-CN"/>
        </w:rPr>
        <w:t>五、议事内容与程序</w:t>
      </w:r>
      <w:bookmarkEnd w:id="215"/>
      <w:bookmarkEnd w:id="216"/>
      <w:bookmarkEnd w:id="217"/>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、议事内容及提案权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基金份额持有人大会的召集人发出召集会议的通知后，对原有提案的修改应当在基金份额持有人大会召开前及时公告。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基金份额持有人大会不得对未事先公告的议事内容进行表决。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、议事程序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）现场开会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256C1C">
        <w:rPr>
          <w:rFonts w:asciiTheme="minorEastAsia" w:eastAsiaTheme="minorEastAsia" w:hAnsiTheme="minorEastAsia" w:cs="宋体"/>
          <w:bCs/>
          <w:sz w:val="24"/>
          <w:szCs w:val="24"/>
          <w:highlight w:val="white"/>
          <w:lang w:eastAsia="zh-CN"/>
        </w:rPr>
        <w:t>50%</w:t>
      </w:r>
      <w:r w:rsidRPr="00256C1C">
        <w:rPr>
          <w:rFonts w:asciiTheme="minorEastAsia" w:eastAsiaTheme="minorEastAsia" w:hAnsiTheme="minorEastAsia" w:cs="宋体" w:hint="eastAsia"/>
          <w:sz w:val="24"/>
          <w:szCs w:val="24"/>
          <w:highlight w:val="white"/>
          <w:lang w:eastAsia="zh-CN"/>
        </w:rPr>
        <w:t>以上（含</w:t>
      </w:r>
      <w:r w:rsidRPr="00256C1C">
        <w:rPr>
          <w:rFonts w:asciiTheme="minorEastAsia" w:eastAsiaTheme="minorEastAsia" w:hAnsiTheme="minorEastAsia" w:cs="宋体"/>
          <w:bCs/>
          <w:sz w:val="24"/>
          <w:szCs w:val="24"/>
          <w:highlight w:val="white"/>
          <w:lang w:eastAsia="zh-CN"/>
        </w:rPr>
        <w:t>50%</w:t>
      </w:r>
      <w:r w:rsidRPr="00256C1C">
        <w:rPr>
          <w:rFonts w:asciiTheme="minorEastAsia" w:eastAsiaTheme="minorEastAsia" w:hAnsiTheme="minorEastAsia" w:cs="宋体" w:hint="eastAsia"/>
          <w:sz w:val="24"/>
          <w:szCs w:val="24"/>
          <w:highlight w:val="white"/>
          <w:lang w:eastAsia="zh-CN"/>
        </w:rPr>
        <w:t>）选举产生一名基金份额持有人作为该次基金份额持有人大会的主持人。基金管理人和基金托管人拒不出席或主持基金份额持有人大会，不影响基金份额持有人大会作出的决议的效力。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会议召集人应当制作出席会议人员的签名册。签名册载明参加会议人员姓名（或单位名称）、身份证明文件号码、持有或代表有表决权的基金份额、委托人姓名（或单位名称）和联系方式等事项。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）通讯开会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在通讯开会的情况下，首先由召集人提前</w:t>
      </w:r>
      <w:r w:rsidRPr="00256C1C">
        <w:rPr>
          <w:rFonts w:asciiTheme="minorEastAsia" w:eastAsiaTheme="minorEastAsia" w:hAnsiTheme="minorEastAsia" w:cs="宋体"/>
          <w:sz w:val="24"/>
          <w:szCs w:val="24"/>
          <w:highlight w:val="white"/>
          <w:lang w:eastAsia="zh-CN"/>
        </w:rPr>
        <w:t>30</w:t>
      </w:r>
      <w:r w:rsidRPr="00256C1C">
        <w:rPr>
          <w:rFonts w:asciiTheme="minorEastAsia" w:eastAsiaTheme="minorEastAsia" w:hAnsiTheme="minorEastAsia" w:cs="宋体" w:hint="eastAsia"/>
          <w:sz w:val="24"/>
          <w:szCs w:val="24"/>
          <w:highlight w:val="white"/>
          <w:lang w:eastAsia="zh-CN"/>
        </w:rPr>
        <w:t>日公布提案，在所通知的表决截止日期后</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个工作日内在公证机关监督下由召集人统计全部有效表决，在公证机关监督下形成决议。</w:t>
      </w:r>
    </w:p>
    <w:p w:rsidR="00C57945" w:rsidRPr="00256C1C">
      <w:pPr>
        <w:spacing w:line="360" w:lineRule="auto"/>
        <w:ind w:firstLine="480"/>
        <w:rPr>
          <w:rFonts w:asciiTheme="minorEastAsia" w:eastAsiaTheme="minorEastAsia" w:hAnsiTheme="minorEastAsia" w:cs="宋体"/>
          <w:sz w:val="24"/>
          <w:szCs w:val="24"/>
          <w:lang w:eastAsia="zh-CN"/>
        </w:rPr>
      </w:pPr>
      <w:bookmarkStart w:id="218" w:name="_Toc57530248"/>
      <w:bookmarkStart w:id="219" w:name="_Toc15641225"/>
      <w:bookmarkStart w:id="220" w:name="_Toc79392589"/>
      <w:r w:rsidRPr="00256C1C">
        <w:rPr>
          <w:rFonts w:asciiTheme="minorEastAsia" w:eastAsiaTheme="minorEastAsia" w:hAnsiTheme="minorEastAsia" w:cs="宋体" w:hint="eastAsia"/>
          <w:sz w:val="24"/>
          <w:szCs w:val="24"/>
          <w:highlight w:val="white"/>
          <w:lang w:eastAsia="zh-CN"/>
        </w:rPr>
        <w:t>六、表决</w:t>
      </w:r>
      <w:bookmarkEnd w:id="218"/>
      <w:bookmarkEnd w:id="219"/>
      <w:bookmarkEnd w:id="220"/>
    </w:p>
    <w:p w:rsidR="00C57945" w:rsidRPr="00256C1C">
      <w:pPr>
        <w:spacing w:line="360" w:lineRule="auto"/>
        <w:ind w:firstLine="480"/>
        <w:rPr>
          <w:rFonts w:asciiTheme="minorEastAsia" w:eastAsiaTheme="minorEastAsia" w:hAnsiTheme="minorEastAsia" w:cs="宋体"/>
          <w:color w:val="000000"/>
          <w:sz w:val="24"/>
          <w:szCs w:val="24"/>
          <w:lang w:eastAsia="zh-CN"/>
        </w:rPr>
      </w:pPr>
      <w:r w:rsidRPr="00256C1C">
        <w:rPr>
          <w:rFonts w:asciiTheme="minorEastAsia" w:eastAsiaTheme="minorEastAsia" w:hAnsiTheme="minorEastAsia" w:cs="宋体" w:hint="eastAsia"/>
          <w:color w:val="000000"/>
          <w:sz w:val="24"/>
          <w:szCs w:val="24"/>
          <w:highlight w:val="white"/>
          <w:lang w:eastAsia="zh-CN"/>
        </w:rPr>
        <w:t>基金份额持有人所持每份基金份额有一票表决权。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基金份额持有人大会决议分为一般决议和特别决议：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、一般决议，一般决议须经参加大会的基金份额持有人或其代理人所持表决权的</w:t>
      </w:r>
      <w:r w:rsidRPr="00256C1C">
        <w:rPr>
          <w:rFonts w:asciiTheme="minorEastAsia" w:eastAsiaTheme="minorEastAsia" w:hAnsiTheme="minorEastAsia" w:cs="宋体" w:hint="eastAsia"/>
          <w:bCs/>
          <w:sz w:val="24"/>
          <w:szCs w:val="24"/>
          <w:highlight w:val="white"/>
          <w:lang w:eastAsia="zh-CN"/>
        </w:rPr>
        <w:t>二分之一以上（含二分之一）</w:t>
      </w:r>
      <w:r w:rsidRPr="00256C1C">
        <w:rPr>
          <w:rFonts w:asciiTheme="minorEastAsia" w:eastAsiaTheme="minorEastAsia" w:hAnsiTheme="minorEastAsia" w:cs="宋体" w:hint="eastAsia"/>
          <w:sz w:val="24"/>
          <w:szCs w:val="24"/>
          <w:highlight w:val="white"/>
          <w:lang w:eastAsia="zh-CN"/>
        </w:rPr>
        <w:t>通过方为有效；除下列第</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项所规定的须以特别决议通过事项以外的其他事项均以一般决议的方式通过。</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、特别决议，特别决议应当经参加大会的基金份额持有人或其代理人所持表决权的三分之二以上（含三分之二）通过方可做出。除</w:t>
      </w:r>
      <w:r w:rsidRPr="00256C1C">
        <w:rPr>
          <w:rFonts w:asciiTheme="minorEastAsia" w:eastAsiaTheme="minorEastAsia" w:hAnsiTheme="minorEastAsia" w:cs="宋体" w:hint="eastAsia"/>
          <w:bCs/>
          <w:sz w:val="24"/>
          <w:szCs w:val="24"/>
          <w:highlight w:val="white"/>
          <w:lang w:eastAsia="zh-CN"/>
        </w:rPr>
        <w:t>《基金合同》</w:t>
      </w:r>
      <w:r w:rsidRPr="00256C1C">
        <w:rPr>
          <w:rFonts w:asciiTheme="minorEastAsia" w:eastAsiaTheme="minorEastAsia" w:hAnsiTheme="minorEastAsia" w:cs="宋体" w:hint="eastAsia"/>
          <w:sz w:val="24"/>
          <w:szCs w:val="24"/>
          <w:highlight w:val="white"/>
          <w:lang w:eastAsia="zh-CN"/>
        </w:rPr>
        <w:t>另有约定外，转换基金运作方式、更换基金管理人或者基金托管人、终止《基金合同》、本</w:t>
      </w:r>
      <w:r w:rsidRPr="00256C1C">
        <w:rPr>
          <w:rFonts w:asciiTheme="minorEastAsia" w:eastAsiaTheme="minorEastAsia" w:hAnsiTheme="minorEastAsia" w:cs="宋体"/>
          <w:sz w:val="24"/>
          <w:szCs w:val="24"/>
          <w:highlight w:val="white"/>
          <w:lang w:eastAsia="zh-CN"/>
        </w:rPr>
        <w:t>基金</w:t>
      </w:r>
      <w:r w:rsidRPr="00256C1C">
        <w:rPr>
          <w:rFonts w:asciiTheme="minorEastAsia" w:eastAsiaTheme="minorEastAsia" w:hAnsiTheme="minorEastAsia" w:cs="宋体" w:hint="eastAsia"/>
          <w:sz w:val="24"/>
          <w:szCs w:val="24"/>
          <w:highlight w:val="white"/>
          <w:lang w:eastAsia="zh-CN"/>
        </w:rPr>
        <w:t>与其他基金合并以特别决议通过方为有效。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基金份额持有人大会采取记名方式进行投票表决。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基金份额持有人大会的各项提案或同一项提案内并列的各项议题应当分开审议、逐项表决。</w:t>
      </w:r>
    </w:p>
    <w:p w:rsidR="00C57945" w:rsidRPr="00256C1C">
      <w:pPr>
        <w:spacing w:line="360" w:lineRule="auto"/>
        <w:ind w:firstLine="480"/>
        <w:rPr>
          <w:rFonts w:asciiTheme="minorEastAsia" w:eastAsiaTheme="minorEastAsia" w:hAnsiTheme="minorEastAsia" w:cs="宋体"/>
          <w:sz w:val="24"/>
          <w:szCs w:val="24"/>
          <w:lang w:eastAsia="zh-CN"/>
        </w:rPr>
      </w:pPr>
      <w:bookmarkStart w:id="221" w:name="_Toc79392590"/>
      <w:bookmarkStart w:id="222" w:name="_Toc57530249"/>
      <w:bookmarkStart w:id="223" w:name="_Toc15641226"/>
      <w:r w:rsidRPr="00256C1C">
        <w:rPr>
          <w:rFonts w:asciiTheme="minorEastAsia" w:eastAsiaTheme="minorEastAsia" w:hAnsiTheme="minorEastAsia" w:cs="宋体" w:hint="eastAsia"/>
          <w:sz w:val="24"/>
          <w:szCs w:val="24"/>
          <w:highlight w:val="white"/>
          <w:lang w:eastAsia="zh-CN"/>
        </w:rPr>
        <w:t>七、计票</w:t>
      </w:r>
      <w:bookmarkEnd w:id="221"/>
      <w:bookmarkEnd w:id="222"/>
      <w:bookmarkEnd w:id="223"/>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、现场开会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）监票人应当在基金份额持有人表决后立即进行清点并由大会主持人当场公布计票结果。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）计票过程应由公证机关予以公证，基金管理人或基金托管人拒不出席大会的，不影响计票的效力。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、通讯开会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在通讯开会的情况下，计票方式为：由大会召集人授权的两名监督员在基金托管人授权代表（若由基金托管人召集，则为基金管理人授权代表）的监督下进行计票，并由公证机关对其计票过程予以公证</w:t>
      </w:r>
      <w:bookmarkStart w:id="224" w:name="_Toc15641227"/>
      <w:bookmarkStart w:id="225" w:name="_Toc57530250"/>
      <w:bookmarkStart w:id="226" w:name="_Toc79392591"/>
      <w:r w:rsidRPr="00256C1C">
        <w:rPr>
          <w:rFonts w:asciiTheme="minorEastAsia" w:eastAsiaTheme="minorEastAsia" w:hAnsiTheme="minorEastAsia" w:cs="宋体" w:hint="eastAsia"/>
          <w:sz w:val="24"/>
          <w:szCs w:val="24"/>
          <w:highlight w:val="white"/>
          <w:lang w:eastAsia="zh-CN"/>
        </w:rPr>
        <w:t>。基金管理人或基金托管人拒派代表对书面表决意见的计票进行监督的，不影响计票和表决结果。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八、生效与公告</w:t>
      </w:r>
      <w:bookmarkEnd w:id="224"/>
      <w:bookmarkEnd w:id="225"/>
      <w:bookmarkEnd w:id="226"/>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基金份额持有人大会的决议，召集人应当自通过之日起</w:t>
      </w: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日内报中国证监会备案。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基金份额持有人大会的决议自表决通过之日起生效。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基金份额持有人大会决议自生效之日起</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日内在规定媒介上公告。</w:t>
      </w:r>
      <w:bookmarkStart w:id="227" w:name="_Hlt88820702"/>
      <w:bookmarkEnd w:id="227"/>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基金管理人、基金托管人和基金份额持有人应当执行生效的基金份额持有人大会的决议。生效的基金份额持有人大会决议对全体基金份额持有人、基金管理人、基金托管人均有约束力。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九、本部分关于基金份额持有人大会召开事由、召开条件、议事程序、表决条件等规定，凡是直接引用法律法规或监管规则的部分，如将来法律法规修改导致相关内容被取消或变更的，基金管理人</w:t>
      </w:r>
      <w:r w:rsidRPr="00256C1C">
        <w:rPr>
          <w:rFonts w:asciiTheme="minorEastAsia" w:eastAsiaTheme="minorEastAsia" w:hAnsiTheme="minorEastAsia" w:cs="宋体" w:hint="eastAsia"/>
          <w:bCs/>
          <w:sz w:val="24"/>
          <w:szCs w:val="24"/>
          <w:highlight w:val="white"/>
          <w:lang w:eastAsia="zh-CN"/>
        </w:rPr>
        <w:t>经与基金托管人协商一致并</w:t>
      </w:r>
      <w:r w:rsidRPr="00256C1C">
        <w:rPr>
          <w:rFonts w:asciiTheme="minorEastAsia" w:eastAsiaTheme="minorEastAsia" w:hAnsiTheme="minorEastAsia" w:cs="宋体" w:hint="eastAsia"/>
          <w:sz w:val="24"/>
          <w:szCs w:val="24"/>
          <w:highlight w:val="white"/>
          <w:lang w:eastAsia="zh-CN"/>
        </w:rPr>
        <w:t>提前公告后，可直接对本部分内容进行修改和调整，无需召开基金份额持有人大会审议。</w:t>
      </w:r>
    </w:p>
    <w:p w:rsidR="00C57945" w:rsidRPr="00256C1C">
      <w:pPr>
        <w:pStyle w:val="Heading1"/>
        <w:jc w:val="center"/>
        <w:rPr>
          <w:rFonts w:asciiTheme="minorEastAsia" w:eastAsiaTheme="minorEastAsia" w:hAnsiTheme="minorEastAsia" w:cs="宋体"/>
          <w:color w:val="auto"/>
          <w:lang w:eastAsia="zh-CN"/>
        </w:rPr>
      </w:pPr>
      <w:bookmarkStart w:id="228" w:name="_Toc3963"/>
      <w:bookmarkStart w:id="229" w:name="_Toc18769"/>
      <w:bookmarkStart w:id="230" w:name="_Toc1745"/>
      <w:r w:rsidRPr="00256C1C">
        <w:rPr>
          <w:rFonts w:asciiTheme="minorEastAsia" w:eastAsiaTheme="minorEastAsia" w:hAnsiTheme="minorEastAsia" w:cs="宋体"/>
          <w:b w:val="0"/>
          <w:color w:val="auto"/>
          <w:highlight w:val="white"/>
          <w:lang w:eastAsia="zh-CN"/>
        </w:rPr>
        <w:br w:type="page"/>
      </w:r>
      <w:bookmarkStart w:id="231" w:name="_Toc725"/>
      <w:bookmarkStart w:id="232" w:name="_Toc123112237"/>
      <w:bookmarkStart w:id="233" w:name="_Toc3080"/>
      <w:bookmarkStart w:id="234" w:name="_Toc98560355"/>
      <w:bookmarkStart w:id="235" w:name="_Toc123051455"/>
      <w:bookmarkStart w:id="236" w:name="_Toc141703889"/>
      <w:bookmarkStart w:id="237" w:name="_Toc16164"/>
      <w:bookmarkStart w:id="238" w:name="_Toc31821"/>
      <w:bookmarkStart w:id="239" w:name="_Toc123102456"/>
      <w:bookmarkStart w:id="240" w:name="_Toc446339247"/>
      <w:bookmarkStart w:id="241" w:name="_Toc3572"/>
      <w:bookmarkStart w:id="242" w:name="_Toc10398"/>
      <w:bookmarkStart w:id="243" w:name="_Toc139991739"/>
      <w:bookmarkStart w:id="244" w:name="_Toc21735"/>
      <w:bookmarkStart w:id="245" w:name="_Toc18206"/>
      <w:bookmarkStart w:id="246" w:name="_Toc129511045"/>
      <w:r w:rsidRPr="00256C1C">
        <w:rPr>
          <w:rFonts w:asciiTheme="minorEastAsia" w:eastAsiaTheme="minorEastAsia" w:hAnsiTheme="minorEastAsia" w:cs="宋体" w:hint="eastAsia"/>
          <w:color w:val="auto"/>
          <w:sz w:val="30"/>
          <w:highlight w:val="white"/>
          <w:lang w:eastAsia="zh-CN"/>
        </w:rPr>
        <w:t>第十一部分 基金管理人、基金托管人的更换条件和程序</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rsidR="00C57945" w:rsidRPr="00256C1C">
      <w:pPr>
        <w:spacing w:line="360" w:lineRule="auto"/>
        <w:rPr>
          <w:rFonts w:asciiTheme="minorEastAsia" w:eastAsiaTheme="minorEastAsia" w:hAnsiTheme="minorEastAsia" w:cs="宋体"/>
          <w:sz w:val="24"/>
          <w:szCs w:val="24"/>
          <w:lang w:eastAsia="zh-CN"/>
        </w:rPr>
      </w:pPr>
      <w:bookmarkStart w:id="247" w:name="_Toc15118245"/>
      <w:bookmarkStart w:id="248" w:name="_Toc79392593"/>
      <w:bookmarkStart w:id="249" w:name="_Toc57530252"/>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一、基金管理人和基金托管人职责终止的情形</w:t>
      </w:r>
      <w:bookmarkEnd w:id="247"/>
      <w:bookmarkEnd w:id="248"/>
      <w:bookmarkEnd w:id="249"/>
    </w:p>
    <w:p w:rsidR="00C57945" w:rsidRPr="00256C1C">
      <w:pPr>
        <w:spacing w:line="360" w:lineRule="auto"/>
        <w:ind w:firstLine="480"/>
        <w:rPr>
          <w:rFonts w:asciiTheme="minorEastAsia" w:eastAsiaTheme="minorEastAsia" w:hAnsiTheme="minorEastAsia" w:cs="宋体"/>
          <w:sz w:val="24"/>
          <w:szCs w:val="24"/>
          <w:lang w:eastAsia="zh-CN"/>
        </w:rPr>
      </w:pPr>
      <w:bookmarkStart w:id="250" w:name="_Toc22005971"/>
      <w:r w:rsidRPr="00256C1C">
        <w:rPr>
          <w:rFonts w:asciiTheme="minorEastAsia" w:eastAsiaTheme="minorEastAsia" w:hAnsiTheme="minorEastAsia" w:cs="宋体" w:hint="eastAsia"/>
          <w:sz w:val="24"/>
          <w:szCs w:val="24"/>
          <w:highlight w:val="white"/>
          <w:lang w:eastAsia="zh-CN"/>
        </w:rPr>
        <w:t>（一）</w:t>
      </w:r>
      <w:r w:rsidRPr="00256C1C">
        <w:rPr>
          <w:rFonts w:asciiTheme="minorEastAsia" w:eastAsiaTheme="minorEastAsia" w:hAnsiTheme="minorEastAsia" w:cs="宋体"/>
          <w:sz w:val="24"/>
          <w:szCs w:val="24"/>
          <w:highlight w:val="white"/>
          <w:lang w:eastAsia="zh-CN"/>
        </w:rPr>
        <w:tab/>
      </w:r>
      <w:r w:rsidRPr="00256C1C">
        <w:rPr>
          <w:rFonts w:asciiTheme="minorEastAsia" w:eastAsiaTheme="minorEastAsia" w:hAnsiTheme="minorEastAsia" w:cs="宋体" w:hint="eastAsia"/>
          <w:sz w:val="24"/>
          <w:szCs w:val="24"/>
          <w:highlight w:val="white"/>
          <w:lang w:eastAsia="zh-CN"/>
        </w:rPr>
        <w:t>基金管理人职责终止的情形</w:t>
      </w:r>
      <w:bookmarkEnd w:id="250"/>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有下列情形之一的，基金管理人职责终止：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、被依法取消基金管理资格；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、被基金份额持有人大会解任；</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、依法解散、被依法撤销或被依法宣告破产；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、法律法规及中国证监会规定的和《基金合同》约定的其他情形。</w:t>
      </w:r>
    </w:p>
    <w:p w:rsidR="00C57945" w:rsidRPr="00256C1C">
      <w:pPr>
        <w:spacing w:line="360" w:lineRule="auto"/>
        <w:ind w:firstLine="420"/>
        <w:rPr>
          <w:rFonts w:asciiTheme="minorEastAsia" w:eastAsiaTheme="minorEastAsia" w:hAnsiTheme="minorEastAsia" w:cs="宋体"/>
          <w:sz w:val="24"/>
          <w:szCs w:val="24"/>
          <w:lang w:eastAsia="zh-CN"/>
        </w:rPr>
      </w:pPr>
      <w:bookmarkStart w:id="251" w:name="_Toc22005972"/>
      <w:r w:rsidRPr="00256C1C">
        <w:rPr>
          <w:rFonts w:asciiTheme="minorEastAsia" w:eastAsiaTheme="minorEastAsia" w:hAnsiTheme="minorEastAsia" w:cs="宋体" w:hint="eastAsia"/>
          <w:sz w:val="24"/>
          <w:szCs w:val="24"/>
          <w:highlight w:val="white"/>
          <w:lang w:eastAsia="zh-CN"/>
        </w:rPr>
        <w:t>（二）</w:t>
      </w:r>
      <w:r w:rsidRPr="00256C1C">
        <w:rPr>
          <w:rFonts w:asciiTheme="minorEastAsia" w:eastAsiaTheme="minorEastAsia" w:hAnsiTheme="minorEastAsia" w:cs="宋体"/>
          <w:sz w:val="24"/>
          <w:szCs w:val="24"/>
          <w:highlight w:val="white"/>
          <w:lang w:eastAsia="zh-CN"/>
        </w:rPr>
        <w:tab/>
      </w:r>
      <w:r w:rsidRPr="00256C1C">
        <w:rPr>
          <w:rFonts w:asciiTheme="minorEastAsia" w:eastAsiaTheme="minorEastAsia" w:hAnsiTheme="minorEastAsia" w:cs="宋体" w:hint="eastAsia"/>
          <w:sz w:val="24"/>
          <w:szCs w:val="24"/>
          <w:highlight w:val="white"/>
          <w:lang w:eastAsia="zh-CN"/>
        </w:rPr>
        <w:t>基金托管人职责终止的情形</w:t>
      </w:r>
      <w:bookmarkEnd w:id="251"/>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有下列情形之一的，基金托管人职责终止：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、被依法取消基金托管资格；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、被基金份额持有人大会解任；</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、依法解散、被依法撤销或被依法宣告破产；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、法律法规及中国证监会规定的和《基金合同》约定的其他情形。</w:t>
      </w:r>
    </w:p>
    <w:p w:rsidR="00C57945" w:rsidRPr="00256C1C">
      <w:pPr>
        <w:spacing w:line="360" w:lineRule="auto"/>
        <w:ind w:firstLine="420"/>
        <w:rPr>
          <w:rFonts w:asciiTheme="minorEastAsia" w:eastAsiaTheme="minorEastAsia" w:hAnsiTheme="minorEastAsia" w:cs="宋体"/>
          <w:sz w:val="24"/>
          <w:szCs w:val="24"/>
          <w:lang w:eastAsia="zh-CN"/>
        </w:rPr>
      </w:pPr>
      <w:bookmarkStart w:id="252" w:name="_Toc57530253"/>
      <w:bookmarkStart w:id="253" w:name="_Toc15118246"/>
      <w:bookmarkStart w:id="254" w:name="_Toc79392594"/>
      <w:r w:rsidRPr="00256C1C">
        <w:rPr>
          <w:rFonts w:asciiTheme="minorEastAsia" w:eastAsiaTheme="minorEastAsia" w:hAnsiTheme="minorEastAsia" w:cs="宋体" w:hint="eastAsia"/>
          <w:sz w:val="24"/>
          <w:szCs w:val="24"/>
          <w:highlight w:val="white"/>
          <w:lang w:eastAsia="zh-CN"/>
        </w:rPr>
        <w:t>二、基金管理人和基金托管人的更换程序</w:t>
      </w:r>
      <w:bookmarkEnd w:id="252"/>
      <w:bookmarkEnd w:id="253"/>
      <w:bookmarkEnd w:id="254"/>
    </w:p>
    <w:p w:rsidR="00C57945" w:rsidRPr="00256C1C">
      <w:pPr>
        <w:spacing w:line="360" w:lineRule="auto"/>
        <w:ind w:firstLine="480"/>
        <w:rPr>
          <w:rFonts w:asciiTheme="minorEastAsia" w:eastAsiaTheme="minorEastAsia" w:hAnsiTheme="minorEastAsia" w:cs="宋体"/>
          <w:sz w:val="24"/>
          <w:szCs w:val="24"/>
          <w:lang w:eastAsia="zh-CN"/>
        </w:rPr>
      </w:pPr>
      <w:bookmarkStart w:id="255" w:name="_Toc22005974"/>
      <w:r w:rsidRPr="00256C1C">
        <w:rPr>
          <w:rFonts w:asciiTheme="minorEastAsia" w:eastAsiaTheme="minorEastAsia" w:hAnsiTheme="minorEastAsia" w:cs="宋体" w:hint="eastAsia"/>
          <w:sz w:val="24"/>
          <w:szCs w:val="24"/>
          <w:highlight w:val="white"/>
          <w:lang w:eastAsia="zh-CN"/>
        </w:rPr>
        <w:t>（一）</w:t>
      </w:r>
      <w:r w:rsidRPr="00256C1C">
        <w:rPr>
          <w:rFonts w:asciiTheme="minorEastAsia" w:eastAsiaTheme="minorEastAsia" w:hAnsiTheme="minorEastAsia" w:cs="宋体"/>
          <w:sz w:val="24"/>
          <w:szCs w:val="24"/>
          <w:highlight w:val="white"/>
          <w:lang w:eastAsia="zh-CN"/>
        </w:rPr>
        <w:tab/>
      </w:r>
      <w:r w:rsidRPr="00256C1C">
        <w:rPr>
          <w:rFonts w:asciiTheme="minorEastAsia" w:eastAsiaTheme="minorEastAsia" w:hAnsiTheme="minorEastAsia" w:cs="宋体" w:hint="eastAsia"/>
          <w:sz w:val="24"/>
          <w:szCs w:val="24"/>
          <w:highlight w:val="white"/>
          <w:lang w:eastAsia="zh-CN"/>
        </w:rPr>
        <w:t>基金管理人的更换程序</w:t>
      </w:r>
      <w:bookmarkEnd w:id="255"/>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、提名：新任基金管理人由基金托管人或由单独或合计持有</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以上（含</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hint="eastAsia"/>
          <w:bCs/>
          <w:sz w:val="24"/>
          <w:szCs w:val="24"/>
          <w:highlight w:val="white"/>
          <w:lang w:eastAsia="zh-CN"/>
        </w:rPr>
        <w:t>基金份额</w:t>
      </w:r>
      <w:r w:rsidRPr="00256C1C">
        <w:rPr>
          <w:rFonts w:asciiTheme="minorEastAsia" w:eastAsiaTheme="minorEastAsia" w:hAnsiTheme="minorEastAsia" w:cs="宋体" w:hint="eastAsia"/>
          <w:sz w:val="24"/>
          <w:szCs w:val="24"/>
          <w:highlight w:val="white"/>
          <w:lang w:eastAsia="zh-CN"/>
        </w:rPr>
        <w:t>的基金份额持有人提名；</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、决议：基金份额持有人大会在基金管理人职责终止后</w:t>
      </w: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个月内对被提名的基金管理人形成决议，该决议需经参加大会的基金份额持有人所持表决权的三分之二以上（含三分之二）表决通过</w:t>
      </w:r>
      <w:r w:rsidRPr="00256C1C">
        <w:rPr>
          <w:rFonts w:asciiTheme="minorEastAsia" w:eastAsiaTheme="minorEastAsia" w:hAnsiTheme="minorEastAsia" w:cs="宋体" w:hint="eastAsia"/>
          <w:bCs/>
          <w:sz w:val="24"/>
          <w:szCs w:val="24"/>
          <w:highlight w:val="white"/>
          <w:lang w:eastAsia="zh-CN"/>
        </w:rPr>
        <w:t>，决议自表决通过之日起生效</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、临时基金管理人：新任基金管理人产生之前，由中国证监会指定临时基金管理人；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、备案：基金份额持有人大会</w:t>
      </w:r>
      <w:r w:rsidRPr="00256C1C">
        <w:rPr>
          <w:rFonts w:asciiTheme="minorEastAsia" w:eastAsiaTheme="minorEastAsia" w:hAnsiTheme="minorEastAsia" w:cs="宋体"/>
          <w:sz w:val="24"/>
          <w:szCs w:val="24"/>
          <w:highlight w:val="white"/>
          <w:lang w:eastAsia="zh-CN"/>
        </w:rPr>
        <w:t>更换</w:t>
      </w:r>
      <w:r w:rsidRPr="00256C1C">
        <w:rPr>
          <w:rFonts w:asciiTheme="minorEastAsia" w:eastAsiaTheme="minorEastAsia" w:hAnsiTheme="minorEastAsia" w:cs="宋体" w:hint="eastAsia"/>
          <w:sz w:val="24"/>
          <w:szCs w:val="24"/>
          <w:highlight w:val="white"/>
          <w:lang w:eastAsia="zh-CN"/>
        </w:rPr>
        <w:t>基金管理人的决议须报中国证监会备案；</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、公告：基金管理人更换后，</w:t>
      </w:r>
      <w:r w:rsidRPr="00256C1C">
        <w:rPr>
          <w:rFonts w:asciiTheme="minorEastAsia" w:eastAsiaTheme="minorEastAsia" w:hAnsiTheme="minorEastAsia" w:cs="宋体"/>
          <w:bCs/>
          <w:sz w:val="24"/>
          <w:szCs w:val="24"/>
          <w:highlight w:val="white"/>
          <w:lang w:eastAsia="zh-CN"/>
        </w:rPr>
        <w:t>由基金托管人在更换基金管理人的基金份额持有人大会决议生效后2日内在</w:t>
      </w:r>
      <w:r w:rsidRPr="00256C1C">
        <w:rPr>
          <w:rFonts w:asciiTheme="minorEastAsia" w:eastAsiaTheme="minorEastAsia" w:hAnsiTheme="minorEastAsia" w:cs="宋体" w:hint="eastAsia"/>
          <w:bCs/>
          <w:sz w:val="24"/>
          <w:szCs w:val="24"/>
          <w:highlight w:val="white"/>
          <w:lang w:eastAsia="zh-CN"/>
        </w:rPr>
        <w:t>规定媒介</w:t>
      </w:r>
      <w:r w:rsidRPr="00256C1C">
        <w:rPr>
          <w:rFonts w:asciiTheme="minorEastAsia" w:eastAsiaTheme="minorEastAsia" w:hAnsiTheme="minorEastAsia" w:cs="宋体"/>
          <w:bCs/>
          <w:sz w:val="24"/>
          <w:szCs w:val="24"/>
          <w:highlight w:val="white"/>
          <w:lang w:eastAsia="zh-CN"/>
        </w:rPr>
        <w:t>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交接：基金管理人职责终止的，基金管理人应妥善保管基金管理业务资料，及时向临时基金管理人或新任基金管理人办理基金管理业务的移交手续，临时基金管理人或新任基金管理人应及时接收。新任基金管理人应与基金托管人核对基金资产总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w:t>
      </w:r>
      <w:r w:rsidRPr="00256C1C">
        <w:rPr>
          <w:rFonts w:asciiTheme="minorEastAsia" w:eastAsiaTheme="minorEastAsia" w:hAnsiTheme="minorEastAsia" w:cs="宋体" w:hint="eastAsia"/>
          <w:sz w:val="24"/>
          <w:szCs w:val="24"/>
          <w:highlight w:val="white"/>
          <w:lang w:eastAsia="zh-CN"/>
        </w:rPr>
        <w:t>、审计：基金管理人职责终止的，应当按照法律法规规定聘请会计师事务所对基金财产进行审计，并将审计结果予以公告，同时报中国证监会备案。审计费用</w:t>
      </w:r>
      <w:r w:rsidRPr="00256C1C">
        <w:rPr>
          <w:rFonts w:asciiTheme="minorEastAsia" w:eastAsiaTheme="minorEastAsia" w:hAnsiTheme="minorEastAsia" w:cs="宋体" w:hint="eastAsia"/>
          <w:bCs/>
          <w:color w:val="000000"/>
          <w:sz w:val="24"/>
          <w:szCs w:val="24"/>
          <w:highlight w:val="white"/>
          <w:lang w:eastAsia="zh-CN"/>
        </w:rPr>
        <w:t>从</w:t>
      </w:r>
      <w:r w:rsidRPr="00256C1C">
        <w:rPr>
          <w:rFonts w:asciiTheme="minorEastAsia" w:eastAsiaTheme="minorEastAsia" w:hAnsiTheme="minorEastAsia" w:cs="宋体" w:hint="eastAsia"/>
          <w:sz w:val="24"/>
          <w:szCs w:val="24"/>
          <w:highlight w:val="white"/>
          <w:lang w:eastAsia="zh-CN"/>
        </w:rPr>
        <w:t>基金财产</w:t>
      </w:r>
      <w:r w:rsidRPr="00256C1C">
        <w:rPr>
          <w:rFonts w:asciiTheme="minorEastAsia" w:eastAsiaTheme="minorEastAsia" w:hAnsiTheme="minorEastAsia" w:cs="宋体" w:hint="eastAsia"/>
          <w:bCs/>
          <w:color w:val="000000"/>
          <w:sz w:val="24"/>
          <w:szCs w:val="24"/>
          <w:highlight w:val="white"/>
          <w:lang w:eastAsia="zh-CN"/>
        </w:rPr>
        <w:t>中列支</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w:t>
      </w:r>
      <w:r w:rsidRPr="00256C1C">
        <w:rPr>
          <w:rFonts w:asciiTheme="minorEastAsia" w:eastAsiaTheme="minorEastAsia" w:hAnsiTheme="minorEastAsia" w:cs="宋体" w:hint="eastAsia"/>
          <w:sz w:val="24"/>
          <w:szCs w:val="24"/>
          <w:highlight w:val="white"/>
          <w:lang w:eastAsia="zh-CN"/>
        </w:rPr>
        <w:t>、基金名称变更：基金管理人更换后，如果原任或新任基金管理人要求，应按其要求替换或删除基金名称中与原基金管理人有关的名称字样。</w:t>
      </w:r>
    </w:p>
    <w:p w:rsidR="00C57945" w:rsidRPr="00256C1C">
      <w:pPr>
        <w:spacing w:line="360" w:lineRule="auto"/>
        <w:ind w:firstLine="420"/>
        <w:rPr>
          <w:rFonts w:asciiTheme="minorEastAsia" w:eastAsiaTheme="minorEastAsia" w:hAnsiTheme="minorEastAsia" w:cs="宋体"/>
          <w:sz w:val="24"/>
          <w:szCs w:val="24"/>
          <w:lang w:eastAsia="zh-CN"/>
        </w:rPr>
      </w:pPr>
      <w:bookmarkStart w:id="256" w:name="_Toc22005975"/>
      <w:r w:rsidRPr="00256C1C">
        <w:rPr>
          <w:rFonts w:asciiTheme="minorEastAsia" w:eastAsiaTheme="minorEastAsia" w:hAnsiTheme="minorEastAsia" w:cs="宋体" w:hint="eastAsia"/>
          <w:sz w:val="24"/>
          <w:szCs w:val="24"/>
          <w:highlight w:val="white"/>
          <w:lang w:eastAsia="zh-CN"/>
        </w:rPr>
        <w:t>（二）</w:t>
      </w:r>
      <w:r w:rsidRPr="00256C1C">
        <w:rPr>
          <w:rFonts w:asciiTheme="minorEastAsia" w:eastAsiaTheme="minorEastAsia" w:hAnsiTheme="minorEastAsia" w:cs="宋体"/>
          <w:sz w:val="24"/>
          <w:szCs w:val="24"/>
          <w:highlight w:val="white"/>
          <w:lang w:eastAsia="zh-CN"/>
        </w:rPr>
        <w:tab/>
      </w:r>
      <w:r w:rsidRPr="00256C1C">
        <w:rPr>
          <w:rFonts w:asciiTheme="minorEastAsia" w:eastAsiaTheme="minorEastAsia" w:hAnsiTheme="minorEastAsia" w:cs="宋体" w:hint="eastAsia"/>
          <w:sz w:val="24"/>
          <w:szCs w:val="24"/>
          <w:highlight w:val="white"/>
          <w:lang w:eastAsia="zh-CN"/>
        </w:rPr>
        <w:t>基金托管人的更换程序</w:t>
      </w:r>
      <w:bookmarkEnd w:id="256"/>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、提名：新任基金托管人由基金管理人或由单独或合计持有</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以上（含</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hint="eastAsia"/>
          <w:bCs/>
          <w:sz w:val="24"/>
          <w:szCs w:val="24"/>
          <w:highlight w:val="white"/>
          <w:lang w:eastAsia="zh-CN"/>
        </w:rPr>
        <w:t>基金份额的基金份额</w:t>
      </w:r>
      <w:r w:rsidRPr="00256C1C">
        <w:rPr>
          <w:rFonts w:asciiTheme="minorEastAsia" w:eastAsiaTheme="minorEastAsia" w:hAnsiTheme="minorEastAsia" w:cs="宋体" w:hint="eastAsia"/>
          <w:sz w:val="24"/>
          <w:szCs w:val="24"/>
          <w:highlight w:val="white"/>
          <w:lang w:eastAsia="zh-CN"/>
        </w:rPr>
        <w:t>持有人提名；</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、决议：基金份额持有人大会在基金托管人职责终止后</w:t>
      </w: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个月内对被提名的基金托管人形成决议，该决议需经参加大会的基金份额持有人所持表决权的三分之二以上（含三分之二）表决通过</w:t>
      </w:r>
      <w:r w:rsidRPr="00256C1C">
        <w:rPr>
          <w:rFonts w:asciiTheme="minorEastAsia" w:eastAsiaTheme="minorEastAsia" w:hAnsiTheme="minorEastAsia" w:cs="宋体" w:hint="eastAsia"/>
          <w:bCs/>
          <w:sz w:val="24"/>
          <w:szCs w:val="24"/>
          <w:highlight w:val="white"/>
          <w:lang w:eastAsia="zh-CN"/>
        </w:rPr>
        <w:t>，决议自表决通过之日起生效</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、临时基金托管人：新任基金托管人产生之前，由中国证监会指定临时基金托管人；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、备案：基金份额持有人大会更换基金托管人的决议须报中国证监会备案；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、公告：基金托管人更换后，</w:t>
      </w:r>
      <w:r w:rsidRPr="00256C1C">
        <w:rPr>
          <w:rFonts w:asciiTheme="minorEastAsia" w:eastAsiaTheme="minorEastAsia" w:hAnsiTheme="minorEastAsia" w:cs="宋体"/>
          <w:bCs/>
          <w:sz w:val="24"/>
          <w:szCs w:val="24"/>
          <w:highlight w:val="white"/>
          <w:lang w:eastAsia="zh-CN"/>
        </w:rPr>
        <w:t>由基金管理人在更换基金托管人的基金份额持有人大会决议生效后</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日内在规定媒介公告；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w:t>
      </w:r>
      <w:r w:rsidRPr="00256C1C">
        <w:rPr>
          <w:rFonts w:asciiTheme="minorEastAsia" w:eastAsiaTheme="minorEastAsia" w:hAnsiTheme="minorEastAsia" w:cs="宋体" w:hint="eastAsia"/>
          <w:sz w:val="24"/>
          <w:szCs w:val="24"/>
          <w:highlight w:val="white"/>
          <w:lang w:eastAsia="zh-CN"/>
        </w:rPr>
        <w:t>、审计：基金托管人职责终止的，应当按照法律法规规定聘请会计师事务所对基金财产进行审计，并将审计结果予以公告，同时报中国证监会备案</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审计费用</w:t>
      </w:r>
      <w:r w:rsidRPr="00256C1C">
        <w:rPr>
          <w:rFonts w:asciiTheme="minorEastAsia" w:eastAsiaTheme="minorEastAsia" w:hAnsiTheme="minorEastAsia" w:cs="宋体" w:hint="eastAsia"/>
          <w:bCs/>
          <w:color w:val="000000"/>
          <w:sz w:val="24"/>
          <w:szCs w:val="24"/>
          <w:highlight w:val="white"/>
          <w:lang w:eastAsia="zh-CN"/>
        </w:rPr>
        <w:t>从</w:t>
      </w:r>
      <w:r w:rsidRPr="00256C1C">
        <w:rPr>
          <w:rFonts w:asciiTheme="minorEastAsia" w:eastAsiaTheme="minorEastAsia" w:hAnsiTheme="minorEastAsia" w:cs="宋体" w:hint="eastAsia"/>
          <w:sz w:val="24"/>
          <w:szCs w:val="24"/>
          <w:highlight w:val="white"/>
          <w:lang w:eastAsia="zh-CN"/>
        </w:rPr>
        <w:t>基金财产</w:t>
      </w:r>
      <w:r w:rsidRPr="00256C1C">
        <w:rPr>
          <w:rFonts w:asciiTheme="minorEastAsia" w:eastAsiaTheme="minorEastAsia" w:hAnsiTheme="minorEastAsia" w:cs="宋体" w:hint="eastAsia"/>
          <w:bCs/>
          <w:color w:val="000000"/>
          <w:sz w:val="24"/>
          <w:szCs w:val="24"/>
          <w:highlight w:val="white"/>
          <w:lang w:eastAsia="zh-CN"/>
        </w:rPr>
        <w:t>中列支</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bookmarkStart w:id="257" w:name="_Toc1357"/>
      <w:r w:rsidRPr="00256C1C">
        <w:rPr>
          <w:rFonts w:asciiTheme="minorEastAsia" w:eastAsiaTheme="minorEastAsia" w:hAnsiTheme="minorEastAsia" w:cs="宋体" w:hint="eastAsia"/>
          <w:sz w:val="24"/>
          <w:szCs w:val="24"/>
          <w:highlight w:val="white"/>
          <w:lang w:eastAsia="zh-CN"/>
        </w:rPr>
        <w:t>（三）基金管理人与基金托管人同时更换的条件和程序</w:t>
      </w:r>
      <w:bookmarkEnd w:id="257"/>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、提名：如果基金管理人和基金托管人同时更换，由单独或合计持有基金总份额</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以上（含</w:t>
      </w: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）的</w:t>
      </w:r>
      <w:r w:rsidRPr="00256C1C">
        <w:rPr>
          <w:rFonts w:asciiTheme="minorEastAsia" w:eastAsiaTheme="minorEastAsia" w:hAnsiTheme="minorEastAsia" w:cs="宋体" w:hint="eastAsia"/>
          <w:bCs/>
          <w:sz w:val="24"/>
          <w:szCs w:val="24"/>
          <w:highlight w:val="white"/>
          <w:lang w:eastAsia="zh-CN"/>
        </w:rPr>
        <w:t>基金份额</w:t>
      </w:r>
      <w:r w:rsidRPr="00256C1C">
        <w:rPr>
          <w:rFonts w:asciiTheme="minorEastAsia" w:eastAsiaTheme="minorEastAsia" w:hAnsiTheme="minorEastAsia" w:cs="宋体" w:hint="eastAsia"/>
          <w:sz w:val="24"/>
          <w:szCs w:val="24"/>
          <w:highlight w:val="white"/>
          <w:lang w:eastAsia="zh-CN"/>
        </w:rPr>
        <w:t>持有人提名新的基金管理人和基金托管人；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、基金管理人和基金托管人的更换分别按上述程序进行；</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、公告：新任基金管理人和新任基金托管人应在更换基金管理人和基金托管人的基金份额持有人大会决议生效后</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日内在规定媒介上联合公告。</w:t>
      </w:r>
    </w:p>
    <w:p w:rsidR="00C57945" w:rsidRPr="00256C1C">
      <w:pPr>
        <w:spacing w:line="360" w:lineRule="auto"/>
        <w:ind w:firstLine="42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三、</w:t>
      </w:r>
      <w:r w:rsidRPr="00256C1C">
        <w:rPr>
          <w:rFonts w:asciiTheme="minorEastAsia" w:eastAsiaTheme="minorEastAsia" w:hAnsiTheme="minorEastAsia" w:cs="宋体" w:hint="eastAsia"/>
          <w:sz w:val="24"/>
          <w:szCs w:val="24"/>
          <w:highlight w:val="white"/>
          <w:lang w:eastAsia="zh-CN"/>
        </w:rPr>
        <w:t>本部分关于基金管理人、基金托管人更换条件和程序的约定，凡是直接引用法律法规或监管规则的部分，如法律法规或监管规则修改导致相关内容被取消或变更的，基金管理人与基金托管人协商一致并提前公告后，可直接对相应内容进行修改和调整，无需召开基金份额持有人大会审议。</w:t>
      </w:r>
    </w:p>
    <w:p w:rsidR="00C57945" w:rsidRPr="00256C1C">
      <w:pPr>
        <w:pStyle w:val="Heading1"/>
        <w:spacing w:before="0" w:after="0"/>
        <w:jc w:val="center"/>
        <w:rPr>
          <w:rFonts w:asciiTheme="minorEastAsia" w:eastAsiaTheme="minorEastAsia" w:hAnsiTheme="minorEastAsia" w:cs="宋体"/>
          <w:sz w:val="30"/>
          <w:lang w:eastAsia="zh-CN"/>
        </w:rPr>
      </w:pPr>
      <w:r w:rsidRPr="00256C1C">
        <w:rPr>
          <w:rFonts w:asciiTheme="minorEastAsia" w:eastAsiaTheme="minorEastAsia" w:hAnsiTheme="minorEastAsia" w:cs="宋体"/>
          <w:b w:val="0"/>
          <w:color w:val="auto"/>
          <w:highlight w:val="white"/>
          <w:lang w:eastAsia="zh-CN"/>
        </w:rPr>
        <w:br w:type="page"/>
      </w:r>
      <w:bookmarkStart w:id="258" w:name="_Toc139991740"/>
      <w:bookmarkStart w:id="259" w:name="_Toc5170"/>
      <w:bookmarkStart w:id="260" w:name="_Toc123112238"/>
      <w:bookmarkStart w:id="261" w:name="_Toc98560356"/>
      <w:bookmarkStart w:id="262" w:name="_Toc32092"/>
      <w:bookmarkStart w:id="263" w:name="_Toc446339248"/>
      <w:bookmarkStart w:id="264" w:name="_Toc141703890"/>
      <w:bookmarkStart w:id="265" w:name="_Toc123051456"/>
      <w:bookmarkStart w:id="266" w:name="_Toc29408"/>
      <w:bookmarkStart w:id="267" w:name="_Toc8791"/>
      <w:bookmarkStart w:id="268" w:name="_Toc17920"/>
      <w:bookmarkStart w:id="269" w:name="_Toc3329"/>
      <w:bookmarkStart w:id="270" w:name="_Toc48649708"/>
      <w:bookmarkStart w:id="271" w:name="_Toc17198"/>
      <w:bookmarkStart w:id="272" w:name="_Toc20976"/>
      <w:bookmarkStart w:id="273" w:name="_Toc123102457"/>
      <w:bookmarkStart w:id="274" w:name="_Toc32584"/>
      <w:bookmarkStart w:id="275" w:name="_Toc21237"/>
      <w:bookmarkStart w:id="276" w:name="_Toc739"/>
      <w:bookmarkStart w:id="277" w:name="_Toc79392622"/>
      <w:bookmarkStart w:id="278" w:name="_Toc129511046"/>
      <w:r w:rsidRPr="00256C1C">
        <w:rPr>
          <w:rFonts w:asciiTheme="minorEastAsia" w:eastAsiaTheme="minorEastAsia" w:hAnsiTheme="minorEastAsia" w:cs="宋体" w:hint="eastAsia"/>
          <w:color w:val="auto"/>
          <w:sz w:val="30"/>
          <w:highlight w:val="white"/>
          <w:lang w:eastAsia="zh-CN"/>
        </w:rPr>
        <w:t>第十二部分</w:t>
      </w:r>
      <w:r w:rsidRPr="00256C1C">
        <w:rPr>
          <w:rFonts w:asciiTheme="minorEastAsia" w:eastAsiaTheme="minorEastAsia" w:hAnsiTheme="minorEastAsia" w:cs="宋体"/>
          <w:sz w:val="30"/>
          <w:highlight w:val="white"/>
          <w:lang w:eastAsia="zh-CN"/>
        </w:rPr>
        <w:t xml:space="preserve"> </w:t>
      </w:r>
      <w:r w:rsidRPr="00256C1C">
        <w:rPr>
          <w:rFonts w:asciiTheme="minorEastAsia" w:eastAsiaTheme="minorEastAsia" w:hAnsiTheme="minorEastAsia" w:cs="宋体" w:hint="eastAsia"/>
          <w:sz w:val="30"/>
          <w:highlight w:val="white"/>
          <w:lang w:eastAsia="zh-CN"/>
        </w:rPr>
        <w:t>基金的托管</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rsidR="00C57945" w:rsidRPr="00256C1C">
      <w:pPr>
        <w:spacing w:line="360" w:lineRule="auto"/>
        <w:rPr>
          <w:rFonts w:asciiTheme="minorEastAsia" w:eastAsiaTheme="minorEastAsia" w:hAnsiTheme="minorEastAsia" w:cs="宋体"/>
          <w:color w:val="000000"/>
          <w:sz w:val="24"/>
          <w:szCs w:val="24"/>
          <w:lang w:eastAsia="zh-CN"/>
        </w:rPr>
      </w:pPr>
    </w:p>
    <w:p w:rsidR="00C57945" w:rsidRPr="00256C1C">
      <w:pPr>
        <w:spacing w:line="360" w:lineRule="auto"/>
        <w:ind w:firstLine="480"/>
        <w:rPr>
          <w:rFonts w:asciiTheme="minorEastAsia" w:eastAsiaTheme="minorEastAsia" w:hAnsiTheme="minorEastAsia" w:cs="宋体"/>
          <w:color w:val="000000"/>
          <w:sz w:val="24"/>
          <w:szCs w:val="24"/>
          <w:lang w:eastAsia="zh-CN"/>
        </w:rPr>
      </w:pPr>
      <w:r w:rsidRPr="00256C1C">
        <w:rPr>
          <w:rFonts w:asciiTheme="minorEastAsia" w:eastAsiaTheme="minorEastAsia" w:hAnsiTheme="minorEastAsia" w:cs="宋体" w:hint="eastAsia"/>
          <w:color w:val="000000"/>
          <w:sz w:val="24"/>
          <w:szCs w:val="24"/>
          <w:highlight w:val="white"/>
          <w:lang w:eastAsia="zh-CN"/>
        </w:rPr>
        <w:t>基金托管人和基金管理人按照《基金法》、《基金合同》及其他有关规定订立托管协议。</w:t>
      </w:r>
    </w:p>
    <w:p w:rsidR="00C57945" w:rsidRPr="00256C1C">
      <w:pPr>
        <w:spacing w:line="360" w:lineRule="auto"/>
        <w:ind w:firstLine="480"/>
        <w:rPr>
          <w:rFonts w:asciiTheme="minorEastAsia" w:eastAsiaTheme="minorEastAsia" w:hAnsiTheme="minorEastAsia" w:cs="宋体"/>
          <w:color w:val="000000"/>
          <w:sz w:val="24"/>
          <w:szCs w:val="24"/>
          <w:lang w:eastAsia="zh-CN"/>
        </w:rPr>
      </w:pPr>
      <w:r w:rsidRPr="00256C1C">
        <w:rPr>
          <w:rFonts w:asciiTheme="minorEastAsia" w:eastAsiaTheme="minorEastAsia" w:hAnsiTheme="minorEastAsia" w:cs="宋体" w:hint="eastAsia"/>
          <w:color w:val="000000"/>
          <w:sz w:val="24"/>
          <w:szCs w:val="24"/>
          <w:highlight w:val="white"/>
          <w:lang w:eastAsia="zh-CN"/>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rsidR="00C57945" w:rsidRPr="00256C1C">
      <w:pPr>
        <w:spacing w:line="360" w:lineRule="auto"/>
        <w:ind w:firstLine="420"/>
        <w:rPr>
          <w:rFonts w:asciiTheme="minorEastAsia" w:eastAsiaTheme="minorEastAsia" w:hAnsiTheme="minorEastAsia" w:cs="宋体"/>
          <w:sz w:val="24"/>
          <w:szCs w:val="24"/>
          <w:lang w:eastAsia="zh-CN"/>
        </w:rPr>
      </w:pPr>
    </w:p>
    <w:p w:rsidR="00C57945" w:rsidRPr="00256C1C">
      <w:pPr>
        <w:spacing w:line="360" w:lineRule="auto"/>
        <w:ind w:firstLine="420"/>
        <w:rPr>
          <w:rFonts w:asciiTheme="minorEastAsia" w:eastAsiaTheme="minorEastAsia" w:hAnsiTheme="minorEastAsia" w:cs="宋体"/>
          <w:color w:val="000000"/>
          <w:sz w:val="24"/>
          <w:szCs w:val="24"/>
          <w:lang w:eastAsia="zh-CN"/>
        </w:rPr>
      </w:pP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highlight w:val="white"/>
          <w:lang w:eastAsia="zh-CN"/>
        </w:rPr>
        <w:br w:type="page"/>
      </w:r>
      <w:bookmarkStart w:id="279" w:name="_Toc31469"/>
      <w:bookmarkStart w:id="280" w:name="_Toc14725"/>
      <w:bookmarkStart w:id="281" w:name="_Toc26084"/>
      <w:bookmarkStart w:id="282" w:name="_Toc123112239"/>
      <w:bookmarkStart w:id="283" w:name="_Toc98560357"/>
      <w:bookmarkStart w:id="284" w:name="_Toc141703891"/>
      <w:bookmarkStart w:id="285" w:name="_Toc26152"/>
      <w:bookmarkStart w:id="286" w:name="_Toc21886"/>
      <w:bookmarkStart w:id="287" w:name="_Toc139991741"/>
      <w:bookmarkStart w:id="288" w:name="_Toc26383"/>
      <w:bookmarkStart w:id="289" w:name="_Toc19520"/>
      <w:bookmarkStart w:id="290" w:name="_Toc123051457"/>
      <w:bookmarkStart w:id="291" w:name="_Toc3244"/>
      <w:bookmarkStart w:id="292" w:name="_Toc79392624"/>
      <w:bookmarkStart w:id="293" w:name="_Toc123102458"/>
      <w:bookmarkStart w:id="294" w:name="_Toc48649710"/>
      <w:bookmarkStart w:id="295" w:name="_Toc22674"/>
      <w:bookmarkStart w:id="296" w:name="_Toc446339249"/>
      <w:bookmarkStart w:id="297" w:name="_Toc16789"/>
      <w:bookmarkStart w:id="298" w:name="_Toc2255"/>
      <w:bookmarkStart w:id="299" w:name="_Toc129511047"/>
      <w:r w:rsidRPr="00256C1C">
        <w:rPr>
          <w:rFonts w:asciiTheme="minorEastAsia" w:eastAsiaTheme="minorEastAsia" w:hAnsiTheme="minorEastAsia" w:cs="宋体" w:hint="eastAsia"/>
          <w:sz w:val="30"/>
          <w:highlight w:val="white"/>
          <w:lang w:eastAsia="zh-CN"/>
        </w:rPr>
        <w:t>第十三部分</w:t>
      </w:r>
      <w:r w:rsidRPr="00256C1C">
        <w:rPr>
          <w:rFonts w:asciiTheme="minorEastAsia" w:eastAsiaTheme="minorEastAsia" w:hAnsiTheme="minorEastAsia" w:cs="宋体"/>
          <w:sz w:val="30"/>
          <w:highlight w:val="white"/>
          <w:lang w:eastAsia="zh-CN"/>
        </w:rPr>
        <w:t xml:space="preserve"> </w:t>
      </w:r>
      <w:r w:rsidRPr="00256C1C">
        <w:rPr>
          <w:rFonts w:asciiTheme="minorEastAsia" w:eastAsiaTheme="minorEastAsia" w:hAnsiTheme="minorEastAsia" w:cs="宋体" w:hint="eastAsia"/>
          <w:color w:val="auto"/>
          <w:sz w:val="30"/>
          <w:highlight w:val="white"/>
          <w:lang w:eastAsia="zh-CN"/>
        </w:rPr>
        <w:t>基金份额的登记</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sidRPr="00256C1C">
        <w:rPr>
          <w:rFonts w:asciiTheme="minorEastAsia" w:eastAsiaTheme="minorEastAsia" w:hAnsiTheme="minorEastAsia" w:cs="宋体" w:hint="eastAsia"/>
          <w:color w:val="auto"/>
          <w:sz w:val="30"/>
          <w:highlight w:val="white"/>
          <w:lang w:eastAsia="zh-CN"/>
        </w:rPr>
        <w:t>结算</w:t>
      </w:r>
      <w:bookmarkEnd w:id="299"/>
    </w:p>
    <w:p w:rsidR="00C57945" w:rsidRPr="00256C1C">
      <w:pPr>
        <w:spacing w:line="360" w:lineRule="auto"/>
        <w:rPr>
          <w:rFonts w:asciiTheme="minorEastAsia" w:eastAsiaTheme="minorEastAsia" w:hAnsiTheme="minorEastAsia" w:cs="宋体"/>
          <w:sz w:val="24"/>
          <w:szCs w:val="24"/>
          <w:lang w:eastAsia="zh-CN"/>
        </w:rPr>
      </w:pP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一、基金份额</w:t>
      </w:r>
      <w:r w:rsidRPr="00256C1C">
        <w:rPr>
          <w:rFonts w:asciiTheme="minorEastAsia" w:eastAsiaTheme="minorEastAsia" w:hAnsiTheme="minorEastAsia" w:hint="eastAsia"/>
          <w:bCs/>
          <w:sz w:val="24"/>
          <w:highlight w:val="white"/>
          <w:lang w:eastAsia="zh-CN"/>
        </w:rPr>
        <w:t>的</w:t>
      </w:r>
      <w:r w:rsidRPr="00256C1C">
        <w:rPr>
          <w:rFonts w:asciiTheme="minorEastAsia" w:eastAsiaTheme="minorEastAsia" w:hAnsiTheme="minorEastAsia"/>
          <w:bCs/>
          <w:sz w:val="24"/>
          <w:highlight w:val="white"/>
          <w:lang w:eastAsia="zh-CN"/>
        </w:rPr>
        <w:t>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本基金的登记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业务指基金登记、存管、过户、清算和结算业务，具体内容包括投资人基金账户的建立和管理、基金份额</w:t>
      </w:r>
      <w:r w:rsidRPr="00256C1C">
        <w:rPr>
          <w:rFonts w:asciiTheme="minorEastAsia" w:eastAsiaTheme="minorEastAsia" w:hAnsiTheme="minorEastAsia" w:hint="eastAsia"/>
          <w:bCs/>
          <w:sz w:val="24"/>
          <w:highlight w:val="white"/>
          <w:lang w:eastAsia="zh-CN"/>
        </w:rPr>
        <w:t>注册</w:t>
      </w:r>
      <w:r w:rsidRPr="00256C1C">
        <w:rPr>
          <w:rFonts w:asciiTheme="minorEastAsia" w:eastAsiaTheme="minorEastAsia" w:hAnsiTheme="minorEastAsia"/>
          <w:bCs/>
          <w:sz w:val="24"/>
          <w:highlight w:val="white"/>
          <w:lang w:eastAsia="zh-CN"/>
        </w:rPr>
        <w:t>登记、基金</w:t>
      </w:r>
      <w:r w:rsidRPr="00256C1C">
        <w:rPr>
          <w:rFonts w:asciiTheme="minorEastAsia" w:eastAsiaTheme="minorEastAsia" w:hAnsiTheme="minorEastAsia" w:hint="eastAsia"/>
          <w:bCs/>
          <w:sz w:val="24"/>
          <w:highlight w:val="white"/>
          <w:lang w:eastAsia="zh-CN"/>
        </w:rPr>
        <w:t>交易</w:t>
      </w:r>
      <w:r w:rsidRPr="00256C1C">
        <w:rPr>
          <w:rFonts w:asciiTheme="minorEastAsia" w:eastAsiaTheme="minorEastAsia" w:hAnsiTheme="minorEastAsia"/>
          <w:bCs/>
          <w:sz w:val="24"/>
          <w:highlight w:val="white"/>
          <w:lang w:eastAsia="zh-CN"/>
        </w:rPr>
        <w:t>的确认、清算和结算、代理发放红利、建立并保管基金份额持有人名册等</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二、基金登记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业务办理机构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本基金的登记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cs="宋体" w:hint="eastAsia"/>
          <w:sz w:val="24"/>
          <w:szCs w:val="24"/>
          <w:highlight w:val="white"/>
          <w:lang w:eastAsia="zh-CN"/>
        </w:rPr>
        <w:t>业务由基金管理人</w:t>
      </w:r>
      <w:r w:rsidRPr="00256C1C">
        <w:rPr>
          <w:rFonts w:asciiTheme="minorEastAsia" w:eastAsiaTheme="minorEastAsia" w:hAnsiTheme="minorEastAsia" w:hint="eastAsia"/>
          <w:bCs/>
          <w:sz w:val="24"/>
          <w:highlight w:val="white"/>
          <w:lang w:eastAsia="zh-CN"/>
        </w:rPr>
        <w:t>及/</w:t>
      </w:r>
      <w:r w:rsidRPr="00256C1C">
        <w:rPr>
          <w:rFonts w:asciiTheme="minorEastAsia" w:eastAsiaTheme="minorEastAsia" w:hAnsiTheme="minorEastAsia" w:cs="宋体" w:hint="eastAsia"/>
          <w:sz w:val="24"/>
          <w:szCs w:val="24"/>
          <w:highlight w:val="white"/>
          <w:lang w:eastAsia="zh-CN"/>
        </w:rPr>
        <w:t>或基金管理人委托的其他符合条件的机构负责办理</w:t>
      </w:r>
      <w:r w:rsidRPr="00256C1C">
        <w:rPr>
          <w:rFonts w:asciiTheme="minorEastAsia" w:eastAsiaTheme="minorEastAsia" w:hAnsiTheme="minorEastAsia" w:cs="宋体"/>
          <w:bCs/>
          <w:sz w:val="24"/>
          <w:szCs w:val="24"/>
          <w:highlight w:val="white"/>
          <w:lang w:eastAsia="zh-CN"/>
        </w:rPr>
        <w:t>。</w:t>
      </w:r>
      <w:r w:rsidRPr="00256C1C">
        <w:rPr>
          <w:rFonts w:asciiTheme="minorEastAsia" w:eastAsiaTheme="minorEastAsia" w:hAnsiTheme="minorEastAsia"/>
          <w:bCs/>
          <w:sz w:val="24"/>
          <w:highlight w:val="white"/>
          <w:lang w:eastAsia="zh-CN"/>
        </w:rPr>
        <w:t>基金管理人委托其他机构</w:t>
      </w:r>
      <w:r w:rsidRPr="00256C1C">
        <w:rPr>
          <w:rFonts w:asciiTheme="minorEastAsia" w:eastAsiaTheme="minorEastAsia" w:hAnsiTheme="minorEastAsia" w:hint="eastAsia"/>
          <w:bCs/>
          <w:sz w:val="24"/>
          <w:highlight w:val="white"/>
          <w:lang w:eastAsia="zh-CN"/>
        </w:rPr>
        <w:t>代为</w:t>
      </w:r>
      <w:r w:rsidRPr="00256C1C">
        <w:rPr>
          <w:rFonts w:asciiTheme="minorEastAsia" w:eastAsiaTheme="minorEastAsia" w:hAnsiTheme="minorEastAsia"/>
          <w:bCs/>
          <w:sz w:val="24"/>
          <w:highlight w:val="white"/>
          <w:lang w:eastAsia="zh-CN"/>
        </w:rPr>
        <w:t>办理本基金登记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业务的，应与</w:t>
      </w:r>
      <w:r w:rsidRPr="00256C1C">
        <w:rPr>
          <w:rFonts w:asciiTheme="minorEastAsia" w:eastAsiaTheme="minorEastAsia" w:hAnsiTheme="minorEastAsia" w:hint="eastAsia"/>
          <w:bCs/>
          <w:sz w:val="24"/>
          <w:highlight w:val="white"/>
          <w:lang w:eastAsia="zh-CN"/>
        </w:rPr>
        <w:t>有关机构</w:t>
      </w:r>
      <w:r w:rsidRPr="00256C1C">
        <w:rPr>
          <w:rFonts w:asciiTheme="minorEastAsia" w:eastAsiaTheme="minorEastAsia" w:hAnsiTheme="minorEastAsia"/>
          <w:bCs/>
          <w:sz w:val="24"/>
          <w:highlight w:val="white"/>
          <w:lang w:eastAsia="zh-CN"/>
        </w:rPr>
        <w:t>签订委托代理协议，以明确基金管理人和代理机构在</w:t>
      </w:r>
      <w:r w:rsidRPr="00256C1C">
        <w:rPr>
          <w:rFonts w:asciiTheme="minorEastAsia" w:eastAsiaTheme="minorEastAsia" w:hAnsiTheme="minorEastAsia" w:hint="eastAsia"/>
          <w:bCs/>
          <w:sz w:val="24"/>
          <w:highlight w:val="white"/>
          <w:lang w:eastAsia="zh-CN"/>
        </w:rPr>
        <w:t>登记结算业务中</w:t>
      </w:r>
      <w:r w:rsidRPr="00256C1C">
        <w:rPr>
          <w:rFonts w:asciiTheme="minorEastAsia" w:eastAsiaTheme="minorEastAsia" w:hAnsiTheme="minorEastAsia"/>
          <w:bCs/>
          <w:sz w:val="24"/>
          <w:highlight w:val="white"/>
          <w:lang w:eastAsia="zh-CN"/>
        </w:rPr>
        <w:t>的权利和义务，保护基金份额持有人的合法权益。</w:t>
      </w:r>
      <w:r w:rsidRPr="00256C1C">
        <w:rPr>
          <w:rFonts w:asciiTheme="minorEastAsia" w:eastAsiaTheme="minorEastAsia" w:hAnsiTheme="minorEastAsia" w:hint="eastAsia"/>
          <w:bCs/>
          <w:sz w:val="24"/>
          <w:highlight w:val="white"/>
          <w:lang w:eastAsia="zh-CN"/>
        </w:rPr>
        <w:t>本基金的登记结算业务由中国证券登记结算有限责任公司负责办理。</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三、基金登记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机构的权利</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基金登记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机构享有以下权利：</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1、取得登记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费；</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2、建立和管理投资者基金账户；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3、保管基金份额持有人开户资料、交易资料、基金份额持有人名册等；</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4、在法律法规允许的范围内，</w:t>
      </w:r>
      <w:r w:rsidRPr="00256C1C">
        <w:rPr>
          <w:rFonts w:asciiTheme="minorEastAsia" w:eastAsiaTheme="minorEastAsia" w:hAnsiTheme="minorEastAsia" w:hint="eastAsia"/>
          <w:sz w:val="24"/>
          <w:highlight w:val="white"/>
          <w:lang w:eastAsia="zh-CN"/>
        </w:rPr>
        <w:t>制定和调整</w:t>
      </w:r>
      <w:r w:rsidRPr="00256C1C">
        <w:rPr>
          <w:rFonts w:asciiTheme="minorEastAsia" w:eastAsiaTheme="minorEastAsia" w:hAnsiTheme="minorEastAsia"/>
          <w:bCs/>
          <w:sz w:val="24"/>
          <w:highlight w:val="white"/>
          <w:lang w:eastAsia="zh-CN"/>
        </w:rPr>
        <w:t>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w:t>
      </w:r>
      <w:r w:rsidRPr="00256C1C">
        <w:rPr>
          <w:rFonts w:asciiTheme="minorEastAsia" w:eastAsiaTheme="minorEastAsia" w:hAnsiTheme="minorEastAsia" w:hint="eastAsia"/>
          <w:bCs/>
          <w:sz w:val="24"/>
          <w:highlight w:val="white"/>
          <w:lang w:eastAsia="zh-CN"/>
        </w:rPr>
        <w:t>相关规则</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w:t>
      </w:r>
      <w:r w:rsidRPr="00256C1C">
        <w:rPr>
          <w:rFonts w:asciiTheme="minorEastAsia" w:eastAsiaTheme="minorEastAsia" w:hAnsiTheme="minorEastAsia" w:hint="eastAsia"/>
          <w:bCs/>
          <w:sz w:val="24"/>
          <w:highlight w:val="white"/>
          <w:lang w:eastAsia="zh-CN"/>
        </w:rPr>
        <w:t>法律法规及中国证监会规定的和《基金合同》约定的其他</w:t>
      </w:r>
      <w:r w:rsidRPr="00256C1C">
        <w:rPr>
          <w:rFonts w:asciiTheme="minorEastAsia" w:eastAsiaTheme="minorEastAsia" w:hAnsiTheme="minorEastAsia"/>
          <w:bCs/>
          <w:sz w:val="24"/>
          <w:highlight w:val="white"/>
          <w:lang w:eastAsia="zh-CN"/>
        </w:rPr>
        <w:t>权利。</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四、基金登记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机构的义务</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基金登记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机构承担以下义务：</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1、配备足够的专业人员办理本基金份额的登记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2、严格按照法律法规和《基金合同》</w:t>
      </w:r>
      <w:r w:rsidRPr="00256C1C">
        <w:rPr>
          <w:rFonts w:asciiTheme="minorEastAsia" w:eastAsiaTheme="minorEastAsia" w:hAnsiTheme="minorEastAsia" w:hint="eastAsia"/>
          <w:bCs/>
          <w:sz w:val="24"/>
          <w:highlight w:val="white"/>
          <w:lang w:eastAsia="zh-CN"/>
        </w:rPr>
        <w:t>以及登记结算机构业务规则</w:t>
      </w:r>
      <w:r w:rsidRPr="00256C1C">
        <w:rPr>
          <w:rFonts w:asciiTheme="minorEastAsia" w:eastAsiaTheme="minorEastAsia" w:hAnsiTheme="minorEastAsia"/>
          <w:bCs/>
          <w:sz w:val="24"/>
          <w:highlight w:val="white"/>
          <w:lang w:eastAsia="zh-CN"/>
        </w:rPr>
        <w:t>规定的条件办理本基金份额的登记</w:t>
      </w:r>
      <w:r w:rsidRPr="00256C1C">
        <w:rPr>
          <w:rFonts w:asciiTheme="minorEastAsia" w:eastAsiaTheme="minorEastAsia" w:hAnsiTheme="minorEastAsia" w:hint="eastAsia"/>
          <w:bCs/>
          <w:sz w:val="24"/>
          <w:highlight w:val="white"/>
          <w:lang w:eastAsia="zh-CN"/>
        </w:rPr>
        <w:t>结算</w:t>
      </w:r>
      <w:r w:rsidRPr="00256C1C">
        <w:rPr>
          <w:rFonts w:asciiTheme="minorEastAsia" w:eastAsiaTheme="minorEastAsia" w:hAnsiTheme="minorEastAsia"/>
          <w:bCs/>
          <w:sz w:val="24"/>
          <w:highlight w:val="white"/>
          <w:lang w:eastAsia="zh-CN"/>
        </w:rPr>
        <w:t>业务；</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3、</w:t>
      </w:r>
      <w:r w:rsidRPr="00256C1C">
        <w:rPr>
          <w:rFonts w:asciiTheme="minorEastAsia" w:eastAsiaTheme="minorEastAsia" w:hAnsiTheme="minorEastAsia"/>
          <w:sz w:val="24"/>
          <w:highlight w:val="white"/>
          <w:lang w:eastAsia="zh-CN"/>
        </w:rPr>
        <w:t>妥善保存登记数据，并将基金份额持有人名称、身份信息及基金份额明细等数据备份至中国证监会认定的机构。其保存期限自基金账户销户之日起不得少于20年；</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4、对基金份额持有人的基金账户信息负有保密义务，因违反该保密义务对投资者或基金带来的损失，须承担相应的赔偿责任，但司法强制检查情形及</w:t>
      </w:r>
      <w:r w:rsidRPr="00256C1C">
        <w:rPr>
          <w:rFonts w:asciiTheme="minorEastAsia" w:eastAsiaTheme="minorEastAsia" w:hAnsiTheme="minorEastAsia" w:hint="eastAsia"/>
          <w:bCs/>
          <w:sz w:val="24"/>
          <w:highlight w:val="white"/>
          <w:lang w:eastAsia="zh-CN"/>
        </w:rPr>
        <w:t>法律法规及中国证监会规定的和《基金合同》约定的其他</w:t>
      </w:r>
      <w:r w:rsidRPr="00256C1C">
        <w:rPr>
          <w:rFonts w:asciiTheme="minorEastAsia" w:eastAsiaTheme="minorEastAsia" w:hAnsiTheme="minorEastAsia"/>
          <w:bCs/>
          <w:sz w:val="24"/>
          <w:highlight w:val="white"/>
          <w:lang w:eastAsia="zh-CN"/>
        </w:rPr>
        <w:t>情形除外；</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5、按《基金合同》及招募说明书规定为投资者办理非交易过户业务、</w:t>
      </w:r>
      <w:r w:rsidRPr="00256C1C">
        <w:rPr>
          <w:rFonts w:asciiTheme="minorEastAsia" w:eastAsiaTheme="minorEastAsia" w:hAnsiTheme="minorEastAsia" w:hint="eastAsia"/>
          <w:bCs/>
          <w:sz w:val="24"/>
          <w:highlight w:val="white"/>
          <w:lang w:eastAsia="zh-CN"/>
        </w:rPr>
        <w:t>基金收益分配等业务，</w:t>
      </w:r>
      <w:r w:rsidRPr="00256C1C">
        <w:rPr>
          <w:rFonts w:asciiTheme="minorEastAsia" w:eastAsiaTheme="minorEastAsia" w:hAnsiTheme="minorEastAsia"/>
          <w:bCs/>
          <w:sz w:val="24"/>
          <w:highlight w:val="white"/>
          <w:lang w:eastAsia="zh-CN"/>
        </w:rPr>
        <w:t>提供其他必要的服务；</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6、接受基金管理人的监督；</w:t>
      </w: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bCs/>
          <w:sz w:val="24"/>
          <w:highlight w:val="white"/>
          <w:lang w:eastAsia="zh-CN"/>
        </w:rPr>
        <w:t>7、</w:t>
      </w:r>
      <w:r w:rsidRPr="00256C1C">
        <w:rPr>
          <w:rFonts w:asciiTheme="minorEastAsia" w:eastAsiaTheme="minorEastAsia" w:hAnsiTheme="minorEastAsia" w:hint="eastAsia"/>
          <w:bCs/>
          <w:sz w:val="24"/>
          <w:highlight w:val="white"/>
          <w:lang w:eastAsia="zh-CN"/>
        </w:rPr>
        <w:t>法律法规及中国证监会规定的和《基金合同》约定的其他</w:t>
      </w:r>
      <w:r w:rsidRPr="00256C1C">
        <w:rPr>
          <w:rFonts w:asciiTheme="minorEastAsia" w:eastAsiaTheme="minorEastAsia" w:hAnsiTheme="minorEastAsia"/>
          <w:bCs/>
          <w:sz w:val="24"/>
          <w:highlight w:val="white"/>
          <w:lang w:eastAsia="zh-CN"/>
        </w:rPr>
        <w:t>义务。</w:t>
      </w:r>
      <w:bookmarkStart w:id="300" w:name="_Hlt88820748"/>
      <w:bookmarkEnd w:id="300"/>
    </w:p>
    <w:p w:rsidR="00C57945" w:rsidRPr="00256C1C">
      <w:pPr>
        <w:pStyle w:val="Heading1"/>
        <w:spacing w:before="0" w:after="0"/>
        <w:ind w:firstLine="42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color w:val="auto"/>
          <w:highlight w:val="white"/>
          <w:lang w:eastAsia="zh-CN"/>
        </w:rPr>
        <w:br w:type="page"/>
      </w:r>
      <w:bookmarkStart w:id="301" w:name="_Toc11351"/>
      <w:bookmarkStart w:id="302" w:name="_Toc16437"/>
      <w:bookmarkStart w:id="303" w:name="_Toc578"/>
      <w:bookmarkStart w:id="304" w:name="_Toc2981"/>
      <w:bookmarkStart w:id="305" w:name="_Toc11395"/>
      <w:bookmarkStart w:id="306" w:name="_Toc22538"/>
      <w:bookmarkStart w:id="307" w:name="_Toc5477"/>
      <w:bookmarkStart w:id="308" w:name="_Toc446339250"/>
      <w:bookmarkStart w:id="309" w:name="_Toc21917"/>
      <w:bookmarkStart w:id="310" w:name="_Toc13343"/>
      <w:bookmarkStart w:id="311" w:name="_Toc3872"/>
      <w:bookmarkStart w:id="312" w:name="_Toc801"/>
      <w:bookmarkStart w:id="313" w:name="_Toc129511048"/>
      <w:r w:rsidRPr="00256C1C">
        <w:rPr>
          <w:rFonts w:asciiTheme="minorEastAsia" w:eastAsiaTheme="minorEastAsia" w:hAnsiTheme="minorEastAsia" w:cs="宋体" w:hint="eastAsia"/>
          <w:color w:val="auto"/>
          <w:sz w:val="30"/>
          <w:highlight w:val="white"/>
          <w:lang w:eastAsia="zh-CN"/>
        </w:rPr>
        <w:t>第十四部分</w:t>
      </w:r>
      <w:r w:rsidRPr="00256C1C">
        <w:rPr>
          <w:rFonts w:asciiTheme="minorEastAsia" w:eastAsiaTheme="minorEastAsia" w:hAnsiTheme="minorEastAsia" w:cs="宋体"/>
          <w:color w:val="auto"/>
          <w:sz w:val="30"/>
          <w:highlight w:val="white"/>
          <w:lang w:eastAsia="zh-CN"/>
        </w:rPr>
        <w:t xml:space="preserve"> </w:t>
      </w:r>
      <w:r w:rsidRPr="00256C1C">
        <w:rPr>
          <w:rFonts w:asciiTheme="minorEastAsia" w:eastAsiaTheme="minorEastAsia" w:hAnsiTheme="minorEastAsia" w:cs="宋体" w:hint="eastAsia"/>
          <w:color w:val="auto"/>
          <w:sz w:val="30"/>
          <w:highlight w:val="white"/>
          <w:lang w:eastAsia="zh-CN"/>
        </w:rPr>
        <w:t>基金的投资</w:t>
      </w:r>
      <w:bookmarkEnd w:id="301"/>
      <w:bookmarkEnd w:id="302"/>
      <w:bookmarkEnd w:id="303"/>
      <w:bookmarkEnd w:id="304"/>
      <w:bookmarkEnd w:id="305"/>
      <w:bookmarkEnd w:id="306"/>
      <w:bookmarkEnd w:id="307"/>
      <w:bookmarkEnd w:id="308"/>
      <w:bookmarkEnd w:id="309"/>
      <w:bookmarkEnd w:id="310"/>
      <w:bookmarkEnd w:id="311"/>
      <w:bookmarkEnd w:id="312"/>
      <w:bookmarkEnd w:id="313"/>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w:t>
      </w:r>
      <w:r w:rsidRPr="00256C1C">
        <w:rPr>
          <w:rFonts w:asciiTheme="minorEastAsia" w:eastAsiaTheme="minorEastAsia" w:hAnsiTheme="minorEastAsia" w:cs="宋体"/>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投资目标</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紧密跟踪标的指数，追求跟踪偏离度和跟踪误差的最小化。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二、投资范围</w:t>
      </w:r>
    </w:p>
    <w:p w:rsidR="00C57945" w:rsidRPr="00256C1C">
      <w:pPr>
        <w:spacing w:line="360" w:lineRule="auto"/>
        <w:ind w:firstLine="480"/>
        <w:rPr>
          <w:rFonts w:asciiTheme="minorEastAsia" w:eastAsiaTheme="minorEastAsia" w:hAnsiTheme="minorEastAsia" w:cs="宋体"/>
          <w:sz w:val="24"/>
          <w:szCs w:val="24"/>
          <w:lang w:eastAsia="zh-CN"/>
        </w:rPr>
      </w:pPr>
      <w:bookmarkStart w:id="314" w:name="_Toc359426195"/>
      <w:r w:rsidRPr="00256C1C">
        <w:rPr>
          <w:rFonts w:asciiTheme="minorEastAsia" w:eastAsiaTheme="minorEastAsia" w:hAnsiTheme="minorEastAsia" w:cs="宋体" w:hint="eastAsia"/>
          <w:sz w:val="24"/>
          <w:szCs w:val="24"/>
          <w:lang w:eastAsia="zh-CN"/>
        </w:rPr>
        <w:t>本基金的投资范围包括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如法律法规或监管机构以后允许基金投资其他品种，基金管理人在履行适当程序后，本基金可以将其纳入投资范围。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本基金将根据法律法规的规定参与转融通证券出借及融资业务。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lang w:eastAsia="zh-CN"/>
        </w:rPr>
        <w:t>本基金投资于标的指数成份股及备选成份股的资产不低于非现金基金资产的80%且不低于基金资产净值的90%，法律法规另有规定的除外。</w:t>
      </w:r>
      <w:bookmarkEnd w:id="314"/>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三、投资策略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1、股票（含存托凭证）投资策略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本基金主要采取完全复制法，即完全按照标的指数的成份股组成及其权重构建基金股票投资组合，并根据标的指数成份股及其权重的变动进行相应调整。但在因特殊情形导致基金无法完全投资于标的指数成份股时，基金管理人可采取包括成份股替代策略在内的其他指数投资技术适当调整基金投资组合，以达到紧密跟踪标的指数的目的。特殊情形包括但不限于：（1）法律法规的限制；（2）标的指数成份股流动性严重不足；（3）标的指数的成份股票长期停牌；（4）标的指数成份股进行配股、增发或被吸收合并；（5）标的指数成份股派发现金股息；（6）指数成份股定期或临时调整；（7）标的指数编制方法发生变化；（8）其他基金管理人认定不适合投资的股票或可能严重限制本基金跟踪标的指数的合理原因等。</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本基金力争将日均跟踪偏离度的绝对值控制在0.2%以内，年化跟踪误差控制在2%以内。如因标的指数编制规则调整或其他因素导致跟踪误差超过上述范围，基金管理人应采取合理措施避免跟踪误差进一步扩大。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2、债券和货币市场工具投资策略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本基金将以降低跟踪误差和流动性管理为目的，综合考虑流动性和收益性，适当参与债券和货币市场工具的投资。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3、衍生品投资策略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为更好地实现投资目标，本基金可投资股指期货、国债期货、股票期权。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若本基金投资股指期货、国债期货，将根据风险管理的原则，以套期保值为目的，综合考虑流动性、基差水平等因素。</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若本基金投资股票期权，将根据风险管理的原则，以套期保值为主要目的，综合考虑流动性、价格等因素。</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此外，本基金将关注其他金融衍生品的推出情况，如法律法规或监管机构允许基金投资前述金融衍生品，本基金将按届时有效的法律法规和监管机构的规定，制定与本基金投资目标相适应的投资策略和估值政策，在充分评估金融衍生品的风险和收益的基础上，谨慎地进行投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4、参与转融通证券出借业务策略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为更好地实现投资目标，在加强风险防范并遵守审慎原则的前提下，本基金可根据投资管理的需要参与转融通证券出借业务。本基金将在分析市场环境、投资者类型与结构、基金历史申赎情况、出借证券流动性情况等因素的基础上，合理确定出借证券的范围、期限和比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5、融资业务策略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lang w:eastAsia="zh-CN"/>
        </w:rPr>
        <w:t>为更好地实现投资目标，在加强风险防范并遵守审慎原则的前提下，基金管理人可根据相关法律法规，参与融资业务，以提高投资效率及进行风险管理。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四、投资限制</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1、组合限制</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基金的投资组合应遵循以下限制：</w:t>
      </w:r>
    </w:p>
    <w:p w:rsidR="00C57945" w:rsidRPr="00256C1C">
      <w:pPr>
        <w:widowControl/>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sz w:val="24"/>
          <w:szCs w:val="24"/>
          <w:lang w:eastAsia="zh-CN"/>
        </w:rPr>
        <w:t>本基金投资于标的指数成份股及备选成份股的资产不低于非现金基金资产的80%且不低于基金资产净值的90%</w:t>
      </w:r>
      <w:r w:rsidRPr="00256C1C">
        <w:rPr>
          <w:rFonts w:asciiTheme="minorEastAsia" w:eastAsiaTheme="minorEastAsia" w:hAnsiTheme="minorEastAsia" w:cs="宋体"/>
          <w:sz w:val="24"/>
          <w:szCs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2</w:t>
      </w:r>
      <w:r w:rsidRPr="00256C1C">
        <w:rPr>
          <w:rFonts w:asciiTheme="minorEastAsia" w:eastAsiaTheme="minorEastAsia" w:hAnsiTheme="minorEastAsia"/>
          <w:bCs/>
          <w:sz w:val="24"/>
          <w:highlight w:val="white"/>
          <w:lang w:eastAsia="zh-CN"/>
        </w:rPr>
        <w:t>）本基金投资于同一原始权益人的各类资产支持证券的比例，不得超过基金资产净值的10%；</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3</w:t>
      </w:r>
      <w:r w:rsidRPr="00256C1C">
        <w:rPr>
          <w:rFonts w:asciiTheme="minorEastAsia" w:eastAsiaTheme="minorEastAsia" w:hAnsiTheme="minorEastAsia"/>
          <w:bCs/>
          <w:sz w:val="24"/>
          <w:highlight w:val="white"/>
          <w:lang w:eastAsia="zh-CN"/>
        </w:rPr>
        <w:t>）本基金持有的全部资产支持证券，其市值不得超过基金资产净值的20%；</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4</w:t>
      </w:r>
      <w:r w:rsidRPr="00256C1C">
        <w:rPr>
          <w:rFonts w:asciiTheme="minorEastAsia" w:eastAsiaTheme="minorEastAsia" w:hAnsiTheme="minorEastAsia"/>
          <w:bCs/>
          <w:sz w:val="24"/>
          <w:highlight w:val="white"/>
          <w:lang w:eastAsia="zh-CN"/>
        </w:rPr>
        <w:t>）本基金持有的同一（指同一信用级别）资产支持证券的比例，不得超过该资产支持证券规模的10%；</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5</w:t>
      </w:r>
      <w:r w:rsidRPr="00256C1C">
        <w:rPr>
          <w:rFonts w:asciiTheme="minorEastAsia" w:eastAsiaTheme="minorEastAsia" w:hAnsiTheme="minorEastAsia"/>
          <w:bCs/>
          <w:sz w:val="24"/>
          <w:highlight w:val="white"/>
          <w:lang w:eastAsia="zh-CN"/>
        </w:rPr>
        <w:t>）本基金管理人管理的全部基金投资于同一原始权益人的各类资产支持证券，不得超过其各类资产支持证券合计规模的10%；</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6</w:t>
      </w:r>
      <w:r w:rsidRPr="00256C1C">
        <w:rPr>
          <w:rFonts w:asciiTheme="minorEastAsia" w:eastAsiaTheme="minorEastAsia" w:hAnsiTheme="minorEastAsia"/>
          <w:bCs/>
          <w:sz w:val="24"/>
          <w:highlight w:val="white"/>
          <w:lang w:eastAsia="zh-CN"/>
        </w:rPr>
        <w:t>）本基金应投资于信用级别评级为BBB以上（含BBB</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的资产支持证券。基金持有资产支持证券期间，如果其信用等级下降、不再符合投资标准，应在评级报告发布之日起3个月内予以全部卖出；</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7</w:t>
      </w:r>
      <w:r w:rsidRPr="00256C1C">
        <w:rPr>
          <w:rFonts w:asciiTheme="minorEastAsia" w:eastAsiaTheme="minorEastAsia" w:hAnsiTheme="minorEastAsia"/>
          <w:bCs/>
          <w:sz w:val="24"/>
          <w:highlight w:val="white"/>
          <w:lang w:eastAsia="zh-CN"/>
        </w:rPr>
        <w:t>）基金财产参与股票发行申购，本基金所申报的金额不超过本基金的总资产，本基金所申报的股票数量不超过拟发行股票公司本次发行股票的总量；</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8）本基金参与股指期货交易的，应当符合下列要求：在任何交易日日终，持有的买入股指期货合约价值，不得超过基金资产净值的10%；在任何交易日日终，持有的买入国债期货和股指期货合约价值与有价证券市值之和，不得超过基金资产净值的100%，其中，有价证券指股票、债券（不含到期日在一年以内的政府债券）、资产支持证券、买入返售金融资产（不含质押式回购）等；在任何交易日日终，持有的卖出股指期货合约价值不得超过基金持有的股票总市值的20%；持有的股票市值和买入、卖出股指期货合约价值，合计（轧差计算）应当符合基金合同关于股票投资比例的有关约定；在任何交易日内交易（不包括平仓）的股指期货合约的成交金额不得超过上一交易日基金资产净值的20%；每个交易日日终在扣除股指期货、国债期货合约需缴纳的交易保证金后，应当保持不低于交易保证金一倍的现金；</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9）本基金参与国债期货交易的，应当符合下列要求：在任何交易日日终，本基金持有的买入国债期货合约价值，不得超过基金资产净值的15%；本基金在任何交易日日终，持有的卖出国债期货合约价值不得超过基金持有的债券总市值的30%；本基金在任何交易日内交易（不包括平仓）的国债期货合约的成交金额不得超过上一交易日基金资产净值的30%；本基金所持有的债券（不含到期日在一年以内的政府债券）市值和买入、卖出国债期货合约价值，合计（轧差计算）应当符合基金合同关于债券投资比例的有关约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w:t>
      </w:r>
      <w:r w:rsidRPr="00256C1C">
        <w:rPr>
          <w:rFonts w:asciiTheme="minorEastAsia" w:eastAsiaTheme="minorEastAsia" w:hAnsiTheme="minorEastAsia"/>
          <w:bCs/>
          <w:sz w:val="24"/>
          <w:highlight w:val="white"/>
          <w:lang w:eastAsia="zh-CN"/>
        </w:rPr>
        <w:t>0</w:t>
      </w:r>
      <w:r w:rsidRPr="00256C1C">
        <w:rPr>
          <w:rFonts w:asciiTheme="minorEastAsia" w:eastAsiaTheme="minorEastAsia" w:hAnsiTheme="minorEastAsia" w:hint="eastAsia"/>
          <w:bCs/>
          <w:sz w:val="24"/>
          <w:highlight w:val="white"/>
          <w:lang w:eastAsia="zh-CN"/>
        </w:rPr>
        <w:t>）本基金参与股票期权交易的，应当符合下列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w:t>
      </w:r>
      <w:r w:rsidRPr="00256C1C">
        <w:rPr>
          <w:rFonts w:asciiTheme="minorEastAsia" w:eastAsiaTheme="minorEastAsia" w:hAnsiTheme="minorEastAsia"/>
          <w:bCs/>
          <w:sz w:val="24"/>
          <w:highlight w:val="white"/>
          <w:lang w:eastAsia="zh-CN"/>
        </w:rPr>
        <w:t>1</w:t>
      </w:r>
      <w:r w:rsidRPr="00256C1C">
        <w:rPr>
          <w:rFonts w:asciiTheme="minorEastAsia" w:eastAsiaTheme="minorEastAsia" w:hAnsiTheme="minorEastAsia" w:hint="eastAsia"/>
          <w:bCs/>
          <w:sz w:val="24"/>
          <w:highlight w:val="white"/>
          <w:lang w:eastAsia="zh-CN"/>
        </w:rPr>
        <w:t>）本基金参与转融通证券出借业务的，应当符合下列要求：</w:t>
      </w:r>
      <w:r w:rsidRPr="00256C1C">
        <w:rPr>
          <w:rFonts w:asciiTheme="minorEastAsia" w:eastAsiaTheme="minorEastAsia" w:hAnsiTheme="minorEastAsia" w:cs="宋体" w:hint="eastAsia"/>
          <w:bCs/>
          <w:sz w:val="24"/>
          <w:szCs w:val="24"/>
          <w:highlight w:val="white"/>
          <w:lang w:eastAsia="zh-CN"/>
        </w:rPr>
        <w:t>出借证券资产不得超过基金资产净值的30%，出借期限在10个交易日以上的出借证券应纳入《流动性风险管理规定》所述流动性受限证券的范围；参与出借业务的单只证券不得超过基金持有该证券总量的30%；最近6个月内日均基金资产净值不得低于2亿元；证券出借的平均剩余期限不得超过30天，平均剩余期限按照市值加权平均计算</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hint="eastAsia"/>
          <w:bCs/>
          <w:sz w:val="24"/>
          <w:highlight w:val="white"/>
          <w:lang w:eastAsia="zh-CN"/>
        </w:rPr>
        <w:t>（1</w:t>
      </w:r>
      <w:r w:rsidRPr="00256C1C">
        <w:rPr>
          <w:rFonts w:asciiTheme="minorEastAsia" w:eastAsiaTheme="minorEastAsia" w:hAnsiTheme="minorEastAsia"/>
          <w:bCs/>
          <w:sz w:val="24"/>
          <w:highlight w:val="white"/>
          <w:lang w:eastAsia="zh-CN"/>
        </w:rPr>
        <w:t>2</w:t>
      </w:r>
      <w:r w:rsidRPr="00256C1C">
        <w:rPr>
          <w:rFonts w:asciiTheme="minorEastAsia" w:eastAsiaTheme="minorEastAsia" w:hAnsiTheme="minorEastAsia" w:hint="eastAsia"/>
          <w:bCs/>
          <w:sz w:val="24"/>
          <w:highlight w:val="white"/>
          <w:lang w:eastAsia="zh-CN"/>
        </w:rPr>
        <w:t>）基金参与融资业务后，在任何交易日日终，持有的融资买入股票与其他有价证券市值之和，不得超过基金资产净值的95%；</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sz w:val="24"/>
          <w:highlight w:val="white"/>
          <w:lang w:eastAsia="zh-CN"/>
        </w:rPr>
        <w:t>（</w:t>
      </w:r>
      <w:r w:rsidRPr="00256C1C">
        <w:rPr>
          <w:rFonts w:asciiTheme="minorEastAsia" w:eastAsiaTheme="minorEastAsia" w:hAnsiTheme="minorEastAsia" w:hint="eastAsia"/>
          <w:sz w:val="24"/>
          <w:highlight w:val="white"/>
          <w:lang w:eastAsia="zh-CN"/>
        </w:rPr>
        <w:t>1</w:t>
      </w:r>
      <w:r w:rsidRPr="00256C1C">
        <w:rPr>
          <w:rFonts w:asciiTheme="minorEastAsia" w:eastAsiaTheme="minorEastAsia" w:hAnsiTheme="minorEastAsia"/>
          <w:sz w:val="24"/>
          <w:highlight w:val="white"/>
          <w:lang w:eastAsia="zh-CN"/>
        </w:rPr>
        <w:t>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sz w:val="24"/>
          <w:highlight w:val="white"/>
          <w:lang w:eastAsia="zh-CN"/>
        </w:rPr>
        <w:t>（</w:t>
      </w:r>
      <w:r w:rsidRPr="00256C1C">
        <w:rPr>
          <w:rFonts w:asciiTheme="minorEastAsia" w:eastAsiaTheme="minorEastAsia" w:hAnsiTheme="minorEastAsia" w:hint="eastAsia"/>
          <w:sz w:val="24"/>
          <w:highlight w:val="white"/>
          <w:lang w:eastAsia="zh-CN"/>
        </w:rPr>
        <w:t>1</w:t>
      </w:r>
      <w:r w:rsidRPr="00256C1C">
        <w:rPr>
          <w:rFonts w:asciiTheme="minorEastAsia" w:eastAsiaTheme="minorEastAsia" w:hAnsiTheme="minorEastAsia"/>
          <w:sz w:val="24"/>
          <w:highlight w:val="white"/>
          <w:lang w:eastAsia="zh-CN"/>
        </w:rPr>
        <w:t>4）本基金与私募类证券资管产品及中国证监会认定的其他主体为交易对手开展逆回购交易的，可接受质押品的资质要求应当与本基金合同约定的投资范围保持一致；</w:t>
      </w:r>
    </w:p>
    <w:p w:rsidR="00C57945" w:rsidRPr="00256C1C">
      <w:pPr>
        <w:spacing w:line="360" w:lineRule="auto"/>
        <w:ind w:firstLine="480" w:firstLineChars="200"/>
        <w:rPr>
          <w:rFonts w:asciiTheme="minorEastAsia" w:eastAsiaTheme="minorEastAsia" w:hAnsiTheme="minorEastAsia"/>
          <w:sz w:val="24"/>
          <w:lang w:eastAsia="zh-CN"/>
        </w:rPr>
      </w:pPr>
      <w:r w:rsidRPr="00256C1C">
        <w:rPr>
          <w:rFonts w:asciiTheme="minorEastAsia" w:eastAsiaTheme="minorEastAsia" w:hAnsiTheme="minorEastAsia"/>
          <w:sz w:val="24"/>
          <w:highlight w:val="white"/>
          <w:lang w:eastAsia="zh-CN"/>
        </w:rPr>
        <w:t>（</w:t>
      </w:r>
      <w:r w:rsidRPr="00256C1C">
        <w:rPr>
          <w:rFonts w:asciiTheme="minorEastAsia" w:eastAsiaTheme="minorEastAsia" w:hAnsiTheme="minorEastAsia" w:hint="eastAsia"/>
          <w:sz w:val="24"/>
          <w:highlight w:val="white"/>
          <w:lang w:eastAsia="zh-CN"/>
        </w:rPr>
        <w:t>1</w:t>
      </w:r>
      <w:r w:rsidRPr="00256C1C">
        <w:rPr>
          <w:rFonts w:asciiTheme="minorEastAsia" w:eastAsiaTheme="minorEastAsia" w:hAnsiTheme="minorEastAsia"/>
          <w:sz w:val="24"/>
          <w:highlight w:val="white"/>
          <w:lang w:eastAsia="zh-CN"/>
        </w:rPr>
        <w:t>5）本基金资产总值不超过基金资产净值的140%；</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w:t>
      </w:r>
      <w:r w:rsidRPr="00256C1C">
        <w:rPr>
          <w:rFonts w:asciiTheme="minorEastAsia" w:eastAsiaTheme="minorEastAsia" w:hAnsiTheme="minorEastAsia"/>
          <w:bCs/>
          <w:sz w:val="24"/>
          <w:highlight w:val="white"/>
          <w:lang w:eastAsia="zh-CN"/>
        </w:rPr>
        <w:t>6</w:t>
      </w:r>
      <w:r w:rsidRPr="00256C1C">
        <w:rPr>
          <w:rFonts w:asciiTheme="minorEastAsia" w:eastAsiaTheme="minorEastAsia" w:hAnsiTheme="minorEastAsia" w:hint="eastAsia"/>
          <w:bCs/>
          <w:sz w:val="24"/>
          <w:highlight w:val="white"/>
          <w:lang w:eastAsia="zh-CN"/>
        </w:rPr>
        <w:t>）本基金投资存托凭证的比例限制依照境内上市交易的股票执行，与境内上市交易的股票合并计算；</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1</w:t>
      </w:r>
      <w:r w:rsidRPr="00256C1C">
        <w:rPr>
          <w:rFonts w:asciiTheme="minorEastAsia" w:eastAsiaTheme="minorEastAsia" w:hAnsiTheme="minorEastAsia"/>
          <w:bCs/>
          <w:sz w:val="24"/>
          <w:highlight w:val="white"/>
          <w:lang w:eastAsia="zh-CN"/>
        </w:rPr>
        <w:t>7）</w:t>
      </w:r>
      <w:r w:rsidRPr="00256C1C">
        <w:rPr>
          <w:rFonts w:asciiTheme="minorEastAsia" w:eastAsiaTheme="minorEastAsia" w:hAnsiTheme="minorEastAsia" w:hint="eastAsia"/>
          <w:bCs/>
          <w:sz w:val="24"/>
          <w:highlight w:val="white"/>
          <w:lang w:eastAsia="zh-CN"/>
        </w:rPr>
        <w:t>法律法规及中国证监会规定的和《基金合同》约定的其他投资限制。</w:t>
      </w:r>
    </w:p>
    <w:p w:rsidR="00C57945" w:rsidRPr="00256C1C">
      <w:pPr>
        <w:spacing w:line="360" w:lineRule="auto"/>
        <w:ind w:firstLine="480"/>
        <w:rPr>
          <w:rFonts w:asciiTheme="minorEastAsia" w:eastAsiaTheme="minorEastAsia" w:hAnsiTheme="minorEastAsia"/>
          <w:bCs/>
          <w:sz w:val="24"/>
          <w:lang w:eastAsia="zh-CN"/>
        </w:rPr>
      </w:pPr>
      <w:r w:rsidRPr="00256C1C">
        <w:rPr>
          <w:rFonts w:asciiTheme="minorEastAsia" w:eastAsiaTheme="minorEastAsia" w:hAnsiTheme="minorEastAsia"/>
          <w:sz w:val="24"/>
          <w:highlight w:val="white"/>
          <w:lang w:eastAsia="zh-CN"/>
        </w:rPr>
        <w:t>除上述（</w:t>
      </w:r>
      <w:r w:rsidRPr="00256C1C">
        <w:rPr>
          <w:rFonts w:asciiTheme="minorEastAsia" w:eastAsiaTheme="minorEastAsia" w:hAnsiTheme="minorEastAsia" w:hint="eastAsia"/>
          <w:sz w:val="24"/>
          <w:highlight w:val="white"/>
          <w:lang w:eastAsia="zh-CN"/>
        </w:rPr>
        <w:t>6</w:t>
      </w:r>
      <w:r w:rsidRPr="00256C1C">
        <w:rPr>
          <w:rFonts w:asciiTheme="minorEastAsia" w:eastAsiaTheme="minorEastAsia" w:hAnsiTheme="minorEastAsia"/>
          <w:sz w:val="24"/>
          <w:highlight w:val="white"/>
          <w:lang w:eastAsia="zh-CN"/>
        </w:rPr>
        <w:t>）、（</w:t>
      </w:r>
      <w:r w:rsidRPr="00256C1C">
        <w:rPr>
          <w:rFonts w:asciiTheme="minorEastAsia" w:eastAsiaTheme="minorEastAsia" w:hAnsiTheme="minorEastAsia" w:hint="eastAsia"/>
          <w:sz w:val="24"/>
          <w:highlight w:val="white"/>
          <w:lang w:eastAsia="zh-CN"/>
        </w:rPr>
        <w:t>7</w:t>
      </w:r>
      <w:r w:rsidRPr="00256C1C">
        <w:rPr>
          <w:rFonts w:asciiTheme="minorEastAsia" w:eastAsiaTheme="minorEastAsia" w:hAnsiTheme="minorEastAsia"/>
          <w:sz w:val="24"/>
          <w:highlight w:val="white"/>
          <w:lang w:eastAsia="zh-CN"/>
        </w:rPr>
        <w:t>）、</w:t>
      </w:r>
      <w:r w:rsidRPr="00256C1C">
        <w:rPr>
          <w:rFonts w:asciiTheme="minorEastAsia" w:eastAsiaTheme="minorEastAsia" w:hAnsiTheme="minorEastAsia" w:hint="eastAsia"/>
          <w:sz w:val="24"/>
          <w:highlight w:val="white"/>
          <w:lang w:eastAsia="zh-CN"/>
        </w:rPr>
        <w:t>（1</w:t>
      </w:r>
      <w:r w:rsidRPr="00256C1C">
        <w:rPr>
          <w:rFonts w:asciiTheme="minorEastAsia" w:eastAsiaTheme="minorEastAsia" w:hAnsiTheme="minorEastAsia"/>
          <w:sz w:val="24"/>
          <w:highlight w:val="white"/>
          <w:lang w:eastAsia="zh-CN"/>
        </w:rPr>
        <w:t>1</w:t>
      </w:r>
      <w:r w:rsidRPr="00256C1C">
        <w:rPr>
          <w:rFonts w:asciiTheme="minorEastAsia" w:eastAsiaTheme="minorEastAsia" w:hAnsiTheme="minorEastAsia" w:hint="eastAsia"/>
          <w:sz w:val="24"/>
          <w:highlight w:val="white"/>
          <w:lang w:eastAsia="zh-CN"/>
        </w:rPr>
        <w:t>）、</w:t>
      </w:r>
      <w:r w:rsidRPr="00256C1C">
        <w:rPr>
          <w:rFonts w:asciiTheme="minorEastAsia" w:eastAsiaTheme="minorEastAsia" w:hAnsiTheme="minorEastAsia"/>
          <w:sz w:val="24"/>
          <w:highlight w:val="white"/>
          <w:lang w:eastAsia="zh-CN"/>
        </w:rPr>
        <w:t>（</w:t>
      </w:r>
      <w:r w:rsidRPr="00256C1C">
        <w:rPr>
          <w:rFonts w:asciiTheme="minorEastAsia" w:eastAsiaTheme="minorEastAsia" w:hAnsiTheme="minorEastAsia" w:hint="eastAsia"/>
          <w:sz w:val="24"/>
          <w:highlight w:val="white"/>
          <w:lang w:eastAsia="zh-CN"/>
        </w:rPr>
        <w:t>1</w:t>
      </w:r>
      <w:r w:rsidRPr="00256C1C">
        <w:rPr>
          <w:rFonts w:asciiTheme="minorEastAsia" w:eastAsiaTheme="minorEastAsia" w:hAnsiTheme="minorEastAsia"/>
          <w:sz w:val="24"/>
          <w:highlight w:val="white"/>
          <w:lang w:eastAsia="zh-CN"/>
        </w:rPr>
        <w:t>3）、（</w:t>
      </w:r>
      <w:r w:rsidRPr="00256C1C">
        <w:rPr>
          <w:rFonts w:asciiTheme="minorEastAsia" w:eastAsiaTheme="minorEastAsia" w:hAnsiTheme="minorEastAsia" w:hint="eastAsia"/>
          <w:sz w:val="24"/>
          <w:highlight w:val="white"/>
          <w:lang w:eastAsia="zh-CN"/>
        </w:rPr>
        <w:t>1</w:t>
      </w:r>
      <w:r w:rsidRPr="00256C1C">
        <w:rPr>
          <w:rFonts w:asciiTheme="minorEastAsia" w:eastAsiaTheme="minorEastAsia" w:hAnsiTheme="minorEastAsia"/>
          <w:sz w:val="24"/>
          <w:highlight w:val="white"/>
          <w:lang w:eastAsia="zh-CN"/>
        </w:rPr>
        <w:t>4）情形之外，</w:t>
      </w:r>
      <w:r w:rsidRPr="00256C1C">
        <w:rPr>
          <w:rFonts w:asciiTheme="minorEastAsia" w:eastAsiaTheme="minorEastAsia" w:hAnsiTheme="minorEastAsia" w:hint="eastAsia"/>
          <w:bCs/>
          <w:sz w:val="24"/>
          <w:highlight w:val="white"/>
          <w:lang w:eastAsia="zh-CN"/>
        </w:rPr>
        <w:t>因证券/期货市场波动、证券发行人合并</w:t>
      </w:r>
      <w:r w:rsidRPr="00256C1C">
        <w:rPr>
          <w:rFonts w:asciiTheme="minorEastAsia" w:eastAsiaTheme="minorEastAsia" w:hAnsiTheme="minorEastAsia"/>
          <w:bCs/>
          <w:sz w:val="24"/>
          <w:highlight w:val="white"/>
          <w:lang w:eastAsia="zh-CN"/>
        </w:rPr>
        <w:t>、基金规模变动</w:t>
      </w:r>
      <w:r w:rsidRPr="00256C1C">
        <w:rPr>
          <w:rFonts w:asciiTheme="minorEastAsia" w:eastAsiaTheme="minorEastAsia" w:hAnsiTheme="minorEastAsia" w:hint="eastAsia"/>
          <w:bCs/>
          <w:sz w:val="24"/>
          <w:highlight w:val="white"/>
          <w:lang w:eastAsia="zh-CN"/>
        </w:rPr>
        <w:t>、标的指数成份股调整、流动性限制或成份股市场价格变化</w:t>
      </w:r>
      <w:r w:rsidRPr="00256C1C">
        <w:rPr>
          <w:rFonts w:asciiTheme="minorEastAsia" w:eastAsiaTheme="minorEastAsia" w:hAnsiTheme="minorEastAsia"/>
          <w:bCs/>
          <w:sz w:val="24"/>
          <w:highlight w:val="white"/>
          <w:lang w:eastAsia="zh-CN"/>
        </w:rPr>
        <w:t>等基金管理人之外的因素致使基金投资比例不符合上述规定投资比例的，基金管理人应当在10个交易日内进行调整</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但中国证监会规定的特殊情形除外。</w:t>
      </w:r>
      <w:r w:rsidRPr="00256C1C">
        <w:rPr>
          <w:rFonts w:asciiTheme="minorEastAsia" w:eastAsiaTheme="minorEastAsia" w:hAnsiTheme="minorEastAsia" w:hint="eastAsia"/>
          <w:bCs/>
          <w:sz w:val="24"/>
          <w:highlight w:val="white"/>
          <w:lang w:eastAsia="zh-CN"/>
        </w:rPr>
        <w:t>因证券/期货市场波动、证券发行人合并、基金规模变动等基金管理人之外的因素致使基金投资不符合第（11）项规定的，基金管理人不得新增出借业务。法律法规或监管部门另有规定的，届时按最新规定执行。</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基金管理人应当自基金合同生效之日起</w:t>
      </w:r>
      <w:r w:rsidRPr="00256C1C">
        <w:rPr>
          <w:rFonts w:asciiTheme="minorEastAsia" w:eastAsiaTheme="minorEastAsia" w:hAnsiTheme="minorEastAsia" w:cs="宋体"/>
          <w:bCs/>
          <w:sz w:val="24"/>
          <w:szCs w:val="24"/>
          <w:highlight w:val="white"/>
          <w:lang w:eastAsia="zh-CN"/>
        </w:rPr>
        <w:t>6</w:t>
      </w:r>
      <w:r w:rsidRPr="00256C1C">
        <w:rPr>
          <w:rFonts w:asciiTheme="minorEastAsia" w:eastAsiaTheme="minorEastAsia" w:hAnsiTheme="minorEastAsia" w:cs="宋体" w:hint="eastAsia"/>
          <w:bCs/>
          <w:sz w:val="24"/>
          <w:szCs w:val="24"/>
          <w:highlight w:val="white"/>
          <w:lang w:eastAsia="zh-CN"/>
        </w:rPr>
        <w:t>个月内使基金的投资组合比例符合基金合同的有关约定。</w:t>
      </w:r>
      <w:r w:rsidRPr="00256C1C">
        <w:rPr>
          <w:rFonts w:asciiTheme="minorEastAsia" w:eastAsiaTheme="minorEastAsia" w:hAnsiTheme="minorEastAsia" w:cs="宋体"/>
          <w:bCs/>
          <w:sz w:val="24"/>
          <w:szCs w:val="24"/>
          <w:highlight w:val="white"/>
          <w:lang w:eastAsia="zh-CN"/>
        </w:rPr>
        <w:t>在上述期间内，本基金的投资范围</w:t>
      </w:r>
      <w:r w:rsidRPr="00256C1C">
        <w:rPr>
          <w:rFonts w:asciiTheme="minorEastAsia" w:eastAsiaTheme="minorEastAsia" w:hAnsiTheme="minorEastAsia" w:cs="宋体" w:hint="eastAsia"/>
          <w:bCs/>
          <w:sz w:val="24"/>
          <w:szCs w:val="24"/>
          <w:highlight w:val="white"/>
          <w:lang w:eastAsia="zh-CN"/>
        </w:rPr>
        <w:t>、投资策略应当符合基金合同的约定。基金托管人对基金的投资的监督与检查自本基金合同生效之日起开始。</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2、禁止行为</w:t>
      </w:r>
    </w:p>
    <w:p w:rsidR="00C57945" w:rsidRPr="00256C1C">
      <w:pPr>
        <w:spacing w:line="360" w:lineRule="auto"/>
        <w:ind w:firstLine="46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为维护基金份额持有人的合法权益，基金财产不得用于下列投资或者活动：</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cs="宋体" w:hint="eastAsia"/>
          <w:bCs/>
          <w:sz w:val="24"/>
          <w:szCs w:val="24"/>
          <w:highlight w:val="white"/>
          <w:lang w:eastAsia="zh-CN"/>
        </w:rPr>
        <w:t>）承销证券；</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2</w:t>
      </w:r>
      <w:r w:rsidRPr="00256C1C">
        <w:rPr>
          <w:rFonts w:asciiTheme="minorEastAsia" w:eastAsiaTheme="minorEastAsia" w:hAnsiTheme="minorEastAsia" w:cs="宋体" w:hint="eastAsia"/>
          <w:bCs/>
          <w:sz w:val="24"/>
          <w:szCs w:val="24"/>
          <w:highlight w:val="white"/>
          <w:lang w:eastAsia="zh-CN"/>
        </w:rPr>
        <w:t>）违反规定向他人贷款或者提供担保；</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3</w:t>
      </w:r>
      <w:r w:rsidRPr="00256C1C">
        <w:rPr>
          <w:rFonts w:asciiTheme="minorEastAsia" w:eastAsiaTheme="minorEastAsia" w:hAnsiTheme="minorEastAsia" w:cs="宋体" w:hint="eastAsia"/>
          <w:bCs/>
          <w:sz w:val="24"/>
          <w:szCs w:val="24"/>
          <w:highlight w:val="white"/>
          <w:lang w:eastAsia="zh-CN"/>
        </w:rPr>
        <w:t>）从事承担无限责任的投资；</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hint="eastAsia"/>
          <w:bCs/>
          <w:sz w:val="24"/>
          <w:szCs w:val="24"/>
          <w:highlight w:val="white"/>
          <w:lang w:eastAsia="zh-CN"/>
        </w:rPr>
        <w:t>）向其基金管理人、基金托管人出资；</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5</w:t>
      </w:r>
      <w:r w:rsidRPr="00256C1C">
        <w:rPr>
          <w:rFonts w:asciiTheme="minorEastAsia" w:eastAsiaTheme="minorEastAsia" w:hAnsiTheme="minorEastAsia" w:cs="宋体" w:hint="eastAsia"/>
          <w:bCs/>
          <w:sz w:val="24"/>
          <w:szCs w:val="24"/>
          <w:highlight w:val="white"/>
          <w:lang w:eastAsia="zh-CN"/>
        </w:rPr>
        <w:t>）从事内幕交易、操纵证券交易价格及其他不正当的证券交易活动；</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6</w:t>
      </w:r>
      <w:r w:rsidRPr="00256C1C">
        <w:rPr>
          <w:rFonts w:asciiTheme="minorEastAsia" w:eastAsiaTheme="minorEastAsia" w:hAnsiTheme="minorEastAsia" w:cs="宋体" w:hint="eastAsia"/>
          <w:bCs/>
          <w:sz w:val="24"/>
          <w:szCs w:val="24"/>
          <w:highlight w:val="white"/>
          <w:lang w:eastAsia="zh-CN"/>
        </w:rPr>
        <w:t>）法律、行政法规和中国证监会规定禁止的其他活动。</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w:t>
      </w:r>
      <w:r w:rsidRPr="00256C1C">
        <w:rPr>
          <w:rFonts w:asciiTheme="minorEastAsia" w:eastAsiaTheme="minorEastAsia" w:hAnsiTheme="minorEastAsia" w:cs="宋体"/>
          <w:bCs/>
          <w:sz w:val="24"/>
          <w:szCs w:val="24"/>
          <w:highlight w:val="white"/>
          <w:lang w:eastAsia="zh-CN"/>
        </w:rPr>
        <w:t>遵循基金份额持有人利益优先原则</w:t>
      </w:r>
      <w:r w:rsidRPr="00256C1C">
        <w:rPr>
          <w:rFonts w:asciiTheme="minorEastAsia" w:eastAsiaTheme="minorEastAsia" w:hAnsiTheme="minorEastAsia" w:cs="宋体" w:hint="eastAsia"/>
          <w:bCs/>
          <w:sz w:val="24"/>
          <w:szCs w:val="24"/>
          <w:highlight w:val="white"/>
          <w:lang w:eastAsia="zh-CN"/>
        </w:rPr>
        <w:t>，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4、法</w:t>
      </w:r>
      <w:r w:rsidRPr="00256C1C">
        <w:rPr>
          <w:rFonts w:asciiTheme="minorEastAsia" w:eastAsiaTheme="minorEastAsia" w:hAnsiTheme="minorEastAsia" w:cs="宋体"/>
          <w:color w:val="000000"/>
          <w:sz w:val="24"/>
          <w:highlight w:val="white"/>
          <w:lang w:eastAsia="zh-CN"/>
        </w:rPr>
        <w:t>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并履行适当程序后，基金管理人可依据法律法规或监管部门规定对基金合同进行变更</w:t>
      </w:r>
      <w:r w:rsidRPr="00256C1C">
        <w:rPr>
          <w:rFonts w:asciiTheme="minorEastAsia" w:eastAsiaTheme="minorEastAsia" w:hAnsiTheme="minorEastAsia" w:cs="宋体" w:hint="eastAsia"/>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五、业绩比较基准</w:t>
      </w:r>
    </w:p>
    <w:p w:rsidR="00C57945" w:rsidRPr="00256C1C">
      <w:pPr>
        <w:widowControl/>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本基金业绩比较基准为：</w:t>
      </w:r>
      <w:r w:rsidRPr="00256C1C">
        <w:rPr>
          <w:rFonts w:asciiTheme="minorEastAsia" w:eastAsiaTheme="minorEastAsia" w:hAnsiTheme="minorEastAsia" w:hint="eastAsia"/>
          <w:bCs/>
          <w:sz w:val="24"/>
          <w:lang w:eastAsia="zh-CN"/>
        </w:rPr>
        <w:t>中证全指通信设备指数收益率</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1、业绩比较基准设定的原因</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本基金为股票型ETF，主要采取完全复制法跟踪标的指数，以“紧密跟踪标的指数，追求跟踪偏离度和跟踪误差的最小化”作为投资目标，在投资中将不低于基金资产净值90%的资产投资于标的指数成份股及备选成份股。本基金的标的指数为中证全指通信设备指数，相应选取中证全指通信设备指数作为基准要素，同时将中证全指通信设备指数的基准要素权重设置为100%。</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综上，本基金选取的业绩比较基准与基金投资目标、投资范围、投资策略、投资比例限制相匹配。</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2、业绩比较基准要素的基本信息</w:t>
      </w:r>
    </w:p>
    <w:p w:rsidR="00C57945" w:rsidRPr="00256C1C">
      <w:pPr>
        <w:spacing w:line="360" w:lineRule="auto"/>
        <w:ind w:firstLine="480"/>
        <w:rPr>
          <w:rFonts w:asciiTheme="minorEastAsia" w:eastAsiaTheme="minorEastAsia" w:hAnsiTheme="minorEastAsia" w:cs="宋体"/>
          <w:bCs/>
          <w:sz w:val="24"/>
          <w:szCs w:val="24"/>
        </w:rPr>
      </w:pPr>
      <w:r w:rsidRPr="00256C1C">
        <w:rPr>
          <w:rFonts w:asciiTheme="minorEastAsia" w:eastAsiaTheme="minorEastAsia" w:hAnsiTheme="minorEastAsia" w:cs="宋体"/>
          <w:sz w:val="24"/>
          <w:szCs w:val="24"/>
        </w:rPr>
        <w:t>中证全指通信设备指数由中证指数有限公司编制发布，指数代码为931160，指数具体信息详见中证指数有限公司网站，网址：www.csindex.com.cn。</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3、业绩比较基准的计算方法</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本基金业绩比较基准收益率的计算方法以每日收益率为基础，以时间加权为计算原则。</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4、管理投资偏离业绩比较基准的定性或定量方法</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本基金主要采取完全复制法，即完全按照标的指数的成份股组成及其权重构建基金股票投资组合，并根据标的指数成份股及其权重的变动进行相应调整。但在因特殊情形导致基金无法完全投资于标的指数成份股时，基金管理人可采取包括成份股替代策略在内的其他指数投资技术适当调整基金投资组合，以达到紧密跟踪标的指数的目的。本基金力争将日均跟踪偏离度的绝对值控制在0.2%以内，年化跟踪误差控制在2%以内。如因标的指数编制规则调整或其他因素导致跟踪误差超过上述范围，基金管理人应采取合理措施避免跟踪误差进一步扩大。</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5、未来可能变更业绩比较基准的情况和程序</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lang w:eastAsia="zh-CN"/>
        </w:rPr>
        <w:t>若本基金调整业绩比较基准的要素权重，本基金将根据法律法规、中国证监会的规定和基金合同约定履行相关程序。</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未来</w:t>
      </w:r>
      <w:r w:rsidRPr="00256C1C">
        <w:rPr>
          <w:rFonts w:asciiTheme="minorEastAsia" w:eastAsiaTheme="minorEastAsia" w:hAnsiTheme="minorEastAsia" w:hint="eastAsia"/>
          <w:bCs/>
          <w:sz w:val="24"/>
          <w:highlight w:val="white"/>
          <w:lang w:eastAsia="zh-CN"/>
        </w:rPr>
        <w:t>若出现标的指数不符合法律法规及监管要求（因成份股价格波动等指数编制方法变动之外的因素致使标的指数不符合要求的情形除外）、指数编制机构退出等情形，基金管理人应当自该情形发生之日起十个工作日向中国证监会报告并提出解决方案，如转换运作方式、与其他基金合并、或者终止基金合同等，并在6个月内召集基金份额持有人大会进行表决，基金份额持有人大会未成功召开或就上述事项表决未通过的，本基金合同终止</w:t>
      </w:r>
      <w:r w:rsidRPr="00256C1C">
        <w:rPr>
          <w:rFonts w:asciiTheme="minorEastAsia" w:eastAsiaTheme="minorEastAsia" w:hAnsiTheme="minorEastAsia" w:cs="宋体"/>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自指数编制机构停止标的指数的编制及发布至解决方案确定期间，基金管理人应按照指数编制机构提供的最近一个交易日的指数信息遵循基金份额持有人利益优先原则维持基金投资运作。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法律法规或监管机构另有规定的，从其规定</w:t>
      </w:r>
      <w:r w:rsidRPr="00256C1C">
        <w:rPr>
          <w:rFonts w:asciiTheme="minorEastAsia" w:eastAsiaTheme="minorEastAsia" w:hAnsiTheme="minorEastAsia" w:cs="宋体"/>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六、风险收益特征</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lang w:eastAsia="zh-CN"/>
        </w:rPr>
        <w:t>本基金为股票型基金，预期风险与预期收益水平高于混合型基金、债券型基金与货币市场基金。本基金为指数型基金，主要采用完全复制法跟踪标的指数的表现，具有与标的指数相似的风险收益特征。</w:t>
      </w:r>
    </w:p>
    <w:p w:rsidR="00C57945" w:rsidRPr="00256C1C">
      <w:pPr>
        <w:spacing w:line="360" w:lineRule="auto"/>
        <w:ind w:firstLine="480" w:firstLineChars="200"/>
        <w:rPr>
          <w:rFonts w:asciiTheme="minorEastAsia" w:eastAsiaTheme="minorEastAsia" w:hAnsiTheme="minorEastAsia" w:cs="宋体"/>
          <w:bCs/>
          <w:sz w:val="24"/>
          <w:szCs w:val="24"/>
          <w:lang w:eastAsia="zh-CN"/>
        </w:rPr>
      </w:pPr>
      <w:r w:rsidRPr="00256C1C">
        <w:rPr>
          <w:rFonts w:asciiTheme="minorEastAsia" w:eastAsiaTheme="minorEastAsia" w:hAnsiTheme="minorEastAsia" w:hint="eastAsia"/>
          <w:bCs/>
          <w:sz w:val="24"/>
          <w:highlight w:val="white"/>
          <w:lang w:eastAsia="zh-CN"/>
        </w:rPr>
        <w:t>七、</w:t>
      </w:r>
      <w:r w:rsidRPr="00256C1C">
        <w:rPr>
          <w:rFonts w:asciiTheme="minorEastAsia" w:eastAsiaTheme="minorEastAsia" w:hAnsiTheme="minorEastAsia" w:cs="宋体"/>
          <w:bCs/>
          <w:sz w:val="24"/>
          <w:szCs w:val="24"/>
          <w:highlight w:val="white"/>
          <w:lang w:eastAsia="zh-CN"/>
        </w:rPr>
        <w:t>基金管理人代表基金行使股东或债权人权利的处理原则及方法</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 xml:space="preserve">1、基金管理人按照国家有关规定代表基金独立行使股东或债权人权利，保护基金份额持有人的利益； </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 xml:space="preserve">2、不谋求对上市公司的控股； </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 xml:space="preserve">3、有利于基金财产的安全与增值； </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4、不通过关联交易为自身、雇员、授权代理人或任何存在利害关系的第三人牟取任何不当利益。</w:t>
      </w:r>
    </w:p>
    <w:p w:rsidR="00C57945" w:rsidRPr="00256C1C">
      <w:pPr>
        <w:spacing w:line="360" w:lineRule="auto"/>
        <w:ind w:firstLine="480"/>
        <w:rPr>
          <w:rFonts w:asciiTheme="minorEastAsia" w:eastAsiaTheme="minorEastAsia" w:hAnsiTheme="minorEastAsia" w:cs="宋体"/>
          <w:sz w:val="24"/>
          <w:lang w:eastAsia="zh-CN"/>
        </w:rPr>
      </w:pP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color w:val="auto"/>
          <w:sz w:val="21"/>
          <w:highlight w:val="white"/>
          <w:lang w:eastAsia="zh-CN"/>
        </w:rPr>
        <w:br w:type="page"/>
      </w:r>
      <w:bookmarkStart w:id="315" w:name="_Toc92662704"/>
      <w:bookmarkStart w:id="316" w:name="_Toc93226145"/>
      <w:bookmarkStart w:id="317" w:name="_Toc139991743"/>
      <w:bookmarkStart w:id="318" w:name="_Toc18000"/>
      <w:bookmarkStart w:id="319" w:name="_Toc29561"/>
      <w:bookmarkStart w:id="320" w:name="_Toc141703893"/>
      <w:bookmarkStart w:id="321" w:name="_Toc24474"/>
      <w:bookmarkStart w:id="322" w:name="_Toc20102"/>
      <w:bookmarkStart w:id="323" w:name="_Toc26114"/>
      <w:bookmarkStart w:id="324" w:name="_Toc128310496"/>
      <w:bookmarkStart w:id="325" w:name="_Toc20782"/>
      <w:bookmarkStart w:id="326" w:name="_Toc32030"/>
      <w:bookmarkStart w:id="327" w:name="_Toc13819"/>
      <w:bookmarkStart w:id="328" w:name="_Toc21642"/>
      <w:bookmarkStart w:id="329" w:name="_Toc3054"/>
      <w:bookmarkStart w:id="330" w:name="_Toc446339251"/>
      <w:bookmarkStart w:id="331" w:name="_Toc31611"/>
      <w:bookmarkStart w:id="332" w:name="_Toc129511049"/>
      <w:r w:rsidRPr="00256C1C">
        <w:rPr>
          <w:rFonts w:asciiTheme="minorEastAsia" w:eastAsiaTheme="minorEastAsia" w:hAnsiTheme="minorEastAsia" w:cs="宋体" w:hint="eastAsia"/>
          <w:color w:val="auto"/>
          <w:sz w:val="30"/>
          <w:highlight w:val="white"/>
          <w:lang w:eastAsia="zh-CN"/>
        </w:rPr>
        <w:t>第十五部分 基金</w:t>
      </w:r>
      <w:bookmarkEnd w:id="315"/>
      <w:bookmarkEnd w:id="316"/>
      <w:r w:rsidRPr="00256C1C">
        <w:rPr>
          <w:rFonts w:asciiTheme="minorEastAsia" w:eastAsiaTheme="minorEastAsia" w:hAnsiTheme="minorEastAsia" w:cs="宋体" w:hint="eastAsia"/>
          <w:color w:val="auto"/>
          <w:sz w:val="30"/>
          <w:highlight w:val="white"/>
          <w:lang w:eastAsia="zh-CN"/>
        </w:rPr>
        <w:t>的财产</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rsidR="00C57945" w:rsidRPr="00256C1C">
      <w:pPr>
        <w:spacing w:line="360" w:lineRule="auto"/>
        <w:ind w:firstLine="482"/>
        <w:rPr>
          <w:rFonts w:asciiTheme="minorEastAsia" w:eastAsiaTheme="minorEastAsia" w:hAnsiTheme="minorEastAsia" w:cs="宋体"/>
          <w:sz w:val="24"/>
          <w:szCs w:val="24"/>
          <w:lang w:eastAsia="zh-CN"/>
        </w:rPr>
      </w:pP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一、基金资产总值</w:t>
      </w:r>
    </w:p>
    <w:p w:rsidR="00C57945" w:rsidRPr="00256C1C">
      <w:pPr>
        <w:spacing w:line="360" w:lineRule="auto"/>
        <w:ind w:firstLine="482"/>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基金资产总值是指购买的各类证券及票据价值、银行存款本息和基金应收的申购基金款以及其他投资所形成的价值总和。</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二、基金资产净值</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基金资产净值是指基金资产总值减去基金负债后的价值。</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三、基金财产的账户</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基金托管人根据相关法律法规、</w:t>
      </w:r>
      <w:r w:rsidRPr="00256C1C">
        <w:rPr>
          <w:rFonts w:asciiTheme="minorEastAsia" w:eastAsiaTheme="minorEastAsia" w:hAnsiTheme="minorEastAsia" w:cs="宋体"/>
          <w:bCs/>
          <w:sz w:val="24"/>
          <w:szCs w:val="24"/>
          <w:highlight w:val="white"/>
          <w:lang w:eastAsia="zh-CN"/>
        </w:rPr>
        <w:t>规范性文件为本基金开立资金</w:t>
      </w:r>
      <w:r w:rsidRPr="00256C1C">
        <w:rPr>
          <w:rFonts w:asciiTheme="minorEastAsia" w:eastAsiaTheme="minorEastAsia" w:hAnsiTheme="minorEastAsia" w:cs="宋体" w:hint="eastAsia"/>
          <w:bCs/>
          <w:sz w:val="24"/>
          <w:szCs w:val="24"/>
          <w:highlight w:val="white"/>
          <w:lang w:eastAsia="zh-CN"/>
        </w:rPr>
        <w:t>账户</w:t>
      </w:r>
      <w:r w:rsidRPr="00256C1C">
        <w:rPr>
          <w:rFonts w:asciiTheme="minorEastAsia" w:eastAsiaTheme="minorEastAsia" w:hAnsiTheme="minorEastAsia" w:cs="宋体" w:hint="eastAsia"/>
          <w:sz w:val="24"/>
          <w:szCs w:val="24"/>
          <w:highlight w:val="white"/>
          <w:lang w:eastAsia="zh-CN"/>
        </w:rPr>
        <w:t>、证券账户以及投资所需的其他专用账户。开立的基金专用账户与基金管理人、基金托管人、基金销售机构和基金登记结算机构自有的财产账户以及其他基金财产账户相独立。</w:t>
      </w:r>
      <w:bookmarkStart w:id="333" w:name="_Hlt88841837"/>
      <w:bookmarkEnd w:id="333"/>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四、基金财产的保管和处分</w:t>
      </w:r>
      <w:bookmarkStart w:id="334" w:name="_Hlt88900062"/>
      <w:bookmarkEnd w:id="334"/>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本基金财产独立于基金管理人、</w:t>
      </w:r>
      <w:r w:rsidRPr="00256C1C">
        <w:rPr>
          <w:rFonts w:asciiTheme="minorEastAsia" w:eastAsiaTheme="minorEastAsia" w:hAnsiTheme="minorEastAsia" w:cs="宋体"/>
          <w:bCs/>
          <w:sz w:val="24"/>
          <w:szCs w:val="24"/>
          <w:highlight w:val="white"/>
          <w:lang w:eastAsia="zh-CN"/>
        </w:rPr>
        <w:t>基金托管人和基金</w:t>
      </w:r>
      <w:r w:rsidRPr="00256C1C">
        <w:rPr>
          <w:rFonts w:asciiTheme="minorEastAsia" w:eastAsiaTheme="minorEastAsia" w:hAnsiTheme="minorEastAsia" w:cs="宋体" w:hint="eastAsia"/>
          <w:bCs/>
          <w:sz w:val="24"/>
          <w:szCs w:val="24"/>
          <w:highlight w:val="white"/>
          <w:lang w:eastAsia="zh-CN"/>
        </w:rPr>
        <w:t>销售</w:t>
      </w:r>
      <w:r w:rsidRPr="00256C1C">
        <w:rPr>
          <w:rFonts w:asciiTheme="minorEastAsia" w:eastAsiaTheme="minorEastAsia" w:hAnsiTheme="minorEastAsia" w:cs="宋体"/>
          <w:bCs/>
          <w:sz w:val="24"/>
          <w:szCs w:val="24"/>
          <w:highlight w:val="white"/>
          <w:lang w:eastAsia="zh-CN"/>
        </w:rPr>
        <w:t>机构的财产，并由基金托管人保管。</w:t>
      </w:r>
      <w:r w:rsidRPr="00256C1C">
        <w:rPr>
          <w:rFonts w:asciiTheme="minorEastAsia" w:eastAsiaTheme="minorEastAsia" w:hAnsiTheme="minorEastAsia" w:cs="宋体" w:hint="eastAsia"/>
          <w:bCs/>
          <w:sz w:val="24"/>
          <w:szCs w:val="24"/>
          <w:highlight w:val="white"/>
          <w:lang w:eastAsia="zh-CN"/>
        </w:rPr>
        <w:t>基金管理人、基金托管人不得将基金财产归入其固有财产。</w:t>
      </w:r>
      <w:r w:rsidRPr="00256C1C">
        <w:rPr>
          <w:rFonts w:asciiTheme="minorEastAsia" w:eastAsiaTheme="minorEastAsia" w:hAnsiTheme="minorEastAsia" w:cs="宋体" w:hint="eastAsia"/>
          <w:sz w:val="24"/>
          <w:szCs w:val="24"/>
          <w:highlight w:val="white"/>
          <w:lang w:eastAsia="zh-CN"/>
        </w:rPr>
        <w:t>基金管理人、基金托管人因基金财产的管理、运用或者其他情形而取得的财产和收益，归入基金财产。基金管理人、基金托管人、基金登记结算机构和基金销售机构以其自有的财产承担其自身的法律责任，其债权人不得对本基金财产行使请求冻结、扣押或其他权利。除依法律法规和《基金合同》的规定处分外，基金财产不得被处分。</w:t>
      </w:r>
    </w:p>
    <w:p w:rsidR="00C57945" w:rsidRPr="00256C1C">
      <w:pPr>
        <w:spacing w:line="360" w:lineRule="auto"/>
        <w:ind w:firstLine="482"/>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sz w:val="24"/>
          <w:szCs w:val="24"/>
          <w:highlight w:val="white"/>
          <w:lang w:eastAsia="zh-CN"/>
        </w:rPr>
        <w:t>基金管理人、</w:t>
      </w:r>
      <w:r w:rsidRPr="00256C1C">
        <w:rPr>
          <w:rFonts w:asciiTheme="minorEastAsia" w:eastAsiaTheme="minorEastAsia" w:hAnsiTheme="minorEastAsia" w:cs="宋体"/>
          <w:bCs/>
          <w:sz w:val="24"/>
          <w:szCs w:val="24"/>
          <w:highlight w:val="white"/>
          <w:lang w:eastAsia="zh-CN"/>
        </w:rPr>
        <w:t>基金托管人因依法解散</w:t>
      </w:r>
      <w:r w:rsidRPr="00256C1C">
        <w:rPr>
          <w:rFonts w:asciiTheme="minorEastAsia" w:eastAsiaTheme="minorEastAsia" w:hAnsiTheme="minorEastAsia" w:cs="宋体" w:hint="eastAsia"/>
          <w:sz w:val="24"/>
          <w:szCs w:val="24"/>
          <w:highlight w:val="white"/>
          <w:lang w:eastAsia="zh-CN"/>
        </w:rPr>
        <w:t>、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sidRPr="00256C1C">
        <w:rPr>
          <w:rFonts w:asciiTheme="minorEastAsia" w:eastAsiaTheme="minorEastAsia" w:hAnsiTheme="minorEastAsia" w:cs="宋体"/>
          <w:bCs/>
          <w:sz w:val="24"/>
          <w:szCs w:val="24"/>
          <w:highlight w:val="white"/>
          <w:lang w:eastAsia="zh-CN"/>
        </w:rPr>
        <w:t>非因基金财产本身承担的债务，不得对基金财产强制执行。</w:t>
      </w:r>
    </w:p>
    <w:p w:rsidR="00C57945" w:rsidRPr="00256C1C">
      <w:pPr>
        <w:pStyle w:val="Heading1"/>
        <w:spacing w:before="0" w:after="0"/>
        <w:jc w:val="center"/>
        <w:rPr>
          <w:rFonts w:asciiTheme="minorEastAsia" w:eastAsiaTheme="minorEastAsia" w:hAnsiTheme="minorEastAsia" w:cs="宋体"/>
          <w:sz w:val="30"/>
          <w:lang w:eastAsia="zh-CN"/>
        </w:rPr>
      </w:pPr>
      <w:r w:rsidRPr="00256C1C">
        <w:rPr>
          <w:rFonts w:asciiTheme="minorEastAsia" w:eastAsiaTheme="minorEastAsia" w:hAnsiTheme="minorEastAsia" w:cs="宋体"/>
          <w:b w:val="0"/>
          <w:highlight w:val="white"/>
          <w:lang w:eastAsia="zh-CN"/>
        </w:rPr>
        <w:br w:type="page"/>
      </w:r>
      <w:bookmarkStart w:id="335" w:name="_Toc446339252"/>
      <w:bookmarkStart w:id="336" w:name="_Toc2623"/>
      <w:bookmarkStart w:id="337" w:name="_Toc129511050"/>
      <w:r w:rsidRPr="00256C1C">
        <w:rPr>
          <w:rFonts w:asciiTheme="minorEastAsia" w:eastAsiaTheme="minorEastAsia" w:hAnsiTheme="minorEastAsia" w:cs="宋体" w:hint="eastAsia"/>
          <w:sz w:val="30"/>
          <w:highlight w:val="white"/>
          <w:lang w:eastAsia="zh-CN"/>
        </w:rPr>
        <w:t>第十六部分</w:t>
      </w:r>
      <w:r w:rsidRPr="00256C1C">
        <w:rPr>
          <w:rFonts w:asciiTheme="minorEastAsia" w:eastAsiaTheme="minorEastAsia" w:hAnsiTheme="minorEastAsia" w:cs="宋体"/>
          <w:sz w:val="30"/>
          <w:highlight w:val="white"/>
          <w:lang w:eastAsia="zh-CN"/>
        </w:rPr>
        <w:t xml:space="preserve"> </w:t>
      </w:r>
      <w:bookmarkStart w:id="338" w:name="_Toc27832"/>
      <w:bookmarkStart w:id="339" w:name="_Toc871"/>
      <w:bookmarkStart w:id="340" w:name="_Toc19714"/>
      <w:bookmarkStart w:id="341" w:name="_Toc17782"/>
      <w:bookmarkStart w:id="342" w:name="_Toc31917"/>
      <w:bookmarkStart w:id="343" w:name="_Toc7802"/>
      <w:bookmarkStart w:id="344" w:name="_Toc141703894"/>
      <w:bookmarkStart w:id="345" w:name="_Toc139991744"/>
      <w:r w:rsidRPr="00256C1C">
        <w:rPr>
          <w:rFonts w:asciiTheme="minorEastAsia" w:eastAsiaTheme="minorEastAsia" w:hAnsiTheme="minorEastAsia" w:cs="宋体" w:hint="eastAsia"/>
          <w:sz w:val="30"/>
          <w:highlight w:val="white"/>
          <w:lang w:eastAsia="zh-CN"/>
        </w:rPr>
        <w:t>基金资产估值</w:t>
      </w:r>
      <w:bookmarkEnd w:id="335"/>
      <w:bookmarkEnd w:id="336"/>
      <w:bookmarkEnd w:id="337"/>
      <w:bookmarkEnd w:id="338"/>
      <w:bookmarkEnd w:id="339"/>
      <w:bookmarkEnd w:id="340"/>
      <w:bookmarkEnd w:id="341"/>
      <w:bookmarkEnd w:id="342"/>
      <w:bookmarkEnd w:id="343"/>
      <w:bookmarkEnd w:id="344"/>
      <w:bookmarkEnd w:id="345"/>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bookmarkStart w:id="346" w:name="_Toc32046"/>
      <w:bookmarkStart w:id="347" w:name="_Toc139991745"/>
      <w:bookmarkStart w:id="348" w:name="_Toc141703895"/>
      <w:r w:rsidRPr="00256C1C">
        <w:rPr>
          <w:rFonts w:asciiTheme="minorEastAsia" w:eastAsiaTheme="minorEastAsia" w:hAnsiTheme="minorEastAsia" w:cs="宋体" w:hint="eastAsia"/>
          <w:sz w:val="24"/>
          <w:szCs w:val="24"/>
          <w:highlight w:val="white"/>
          <w:lang w:eastAsia="zh-CN"/>
        </w:rPr>
        <w:t>一、估值日</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本基金的估值日为本基金相关的证券交易场所的交易日以及国家法律法规规定需要对外披露基金净值的非交易日。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二、估值对象</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基金所拥有的股票、</w:t>
      </w:r>
      <w:r w:rsidRPr="00256C1C">
        <w:rPr>
          <w:rFonts w:asciiTheme="minorEastAsia" w:eastAsiaTheme="minorEastAsia" w:hAnsiTheme="minorEastAsia" w:cs="宋体"/>
          <w:bCs/>
          <w:sz w:val="24"/>
          <w:szCs w:val="24"/>
          <w:highlight w:val="white"/>
          <w:lang w:eastAsia="zh-CN"/>
        </w:rPr>
        <w:t>债券和银行存款本息</w:t>
      </w:r>
      <w:r w:rsidRPr="00256C1C">
        <w:rPr>
          <w:rFonts w:asciiTheme="minorEastAsia" w:eastAsiaTheme="minorEastAsia" w:hAnsiTheme="minorEastAsia" w:cs="宋体" w:hint="eastAsia"/>
          <w:bCs/>
          <w:sz w:val="24"/>
          <w:szCs w:val="24"/>
          <w:highlight w:val="white"/>
          <w:lang w:eastAsia="zh-CN"/>
        </w:rPr>
        <w:t>、应收款项、其它投资等资产及负债。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三</w:t>
      </w:r>
      <w:r w:rsidRPr="00256C1C">
        <w:rPr>
          <w:rFonts w:asciiTheme="minorEastAsia" w:eastAsiaTheme="minorEastAsia" w:hAnsiTheme="minorEastAsia" w:cs="宋体"/>
          <w:bCs/>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估值方法</w:t>
      </w:r>
    </w:p>
    <w:p w:rsidR="00C57945" w:rsidRPr="00256C1C">
      <w:pPr>
        <w:spacing w:line="360" w:lineRule="auto"/>
        <w:ind w:firstLine="480"/>
        <w:rPr>
          <w:rFonts w:asciiTheme="minorEastAsia" w:eastAsiaTheme="minorEastAsia" w:hAnsiTheme="minorEastAsia"/>
          <w:sz w:val="22"/>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color w:val="000000"/>
          <w:sz w:val="24"/>
          <w:highlight w:val="white"/>
          <w:lang w:eastAsia="zh-CN"/>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2、处于未上市期间的有价证券应区分如下情况处理：</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（1）送股、转增股、配股和公开增发的新股，按估值日在证券交易所挂牌的同一股票的估值方法估值；该日无交易的，以最近一日的市价（收盘价）估值；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（2）首次公开发行未上市的股票，采用估值技术确定公允价值；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3、对于已上市或已挂牌转让的不含权固定收益品种，选取估值日第三方估值基准服务机构提供的相应品种当日的估值全价进行估值。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4、对于已上市或已挂牌转让的含权固定收益品种，选取估值日第三方估值基准服务机构提供的相应品种当日的唯一估值全价或推荐估值全价进行估值。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6、对于未上市或未挂牌转让且不存在活跃市场的固定收益品种，采用在当前情况下适用并且有足够可利用数据和其他信息支持的估值技术确定其公允价值。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7、期货合约以估值当日结算价进行估值，估值当日无结算价的，且最近交易日后经济环境未发生重大变化的，采用最近交易日结算价估值。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8、本基金投资期权，根据相关法律法规以及监管部门的规定估值。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9、本基金参与融资业务的，按照相关法律法规、监管部门和行业协会的相关规定进行估值。</w:t>
      </w:r>
    </w:p>
    <w:p w:rsidR="00C57945" w:rsidRPr="00256C1C">
      <w:pPr>
        <w:spacing w:line="360" w:lineRule="auto"/>
        <w:ind w:firstLine="480"/>
        <w:rPr>
          <w:rFonts w:asciiTheme="minorEastAsia" w:eastAsiaTheme="minorEastAsia" w:hAnsiTheme="minorEastAsia"/>
          <w:lang w:eastAsia="zh-CN"/>
        </w:rPr>
      </w:pPr>
      <w:r w:rsidRPr="00256C1C">
        <w:rPr>
          <w:rFonts w:asciiTheme="minorEastAsia" w:eastAsiaTheme="minorEastAsia" w:hAnsiTheme="minorEastAsia" w:cs="宋体" w:hint="eastAsia"/>
          <w:color w:val="000000"/>
          <w:sz w:val="24"/>
          <w:highlight w:val="white"/>
          <w:lang w:eastAsia="zh-CN"/>
        </w:rPr>
        <w:t>10、本基金参与转融通证券出借业务的，按照相关法律法规和行业协会的相关规定进行估值。</w:t>
      </w:r>
    </w:p>
    <w:p w:rsidR="00C57945" w:rsidRPr="00256C1C">
      <w:pPr>
        <w:spacing w:line="360" w:lineRule="auto"/>
        <w:ind w:firstLine="480" w:firstLineChars="20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sz w:val="24"/>
          <w:szCs w:val="24"/>
          <w:highlight w:val="white"/>
          <w:lang w:eastAsia="zh-CN"/>
        </w:rPr>
        <w:t>11、</w:t>
      </w:r>
      <w:r w:rsidRPr="00256C1C">
        <w:rPr>
          <w:rFonts w:asciiTheme="minorEastAsia" w:eastAsiaTheme="minorEastAsia" w:hAnsiTheme="minorEastAsia" w:cs="宋体" w:hint="eastAsia"/>
          <w:bCs/>
          <w:sz w:val="24"/>
          <w:szCs w:val="24"/>
          <w:highlight w:val="white"/>
          <w:lang w:eastAsia="zh-CN"/>
        </w:rPr>
        <w:t>本基金投资存托凭证的估值核算，依照境内上市交易的股票执行</w:t>
      </w:r>
      <w:r w:rsidRPr="00256C1C">
        <w:rPr>
          <w:rFonts w:asciiTheme="minorEastAsia" w:eastAsiaTheme="minorEastAsia" w:hAnsiTheme="minorEastAsia" w:cs="宋体"/>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12、如有充分理由表明按上述方法进行估值不能客观反映其公允价值的，基金管理人可根据具体情况与基金托管人商定后，按最能反映公允价值的价格估值。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13</w:t>
      </w:r>
      <w:r w:rsidRPr="00256C1C">
        <w:rPr>
          <w:rFonts w:asciiTheme="minorEastAsia" w:eastAsiaTheme="minorEastAsia" w:hAnsiTheme="minorEastAsia" w:cs="宋体"/>
          <w:sz w:val="24"/>
          <w:szCs w:val="24"/>
          <w:highlight w:val="white"/>
          <w:lang w:eastAsia="zh-CN"/>
        </w:rPr>
        <w:t>、相关法律法规以及监管部门有强制规定的，从其规定。如有新增事项，按国家最新规定估值。</w:t>
      </w:r>
    </w:p>
    <w:p w:rsidR="00C57945" w:rsidRPr="00256C1C">
      <w:pPr>
        <w:spacing w:line="360" w:lineRule="auto"/>
        <w:ind w:firstLine="480"/>
        <w:rPr>
          <w:rStyle w:val="read"/>
          <w:rFonts w:asciiTheme="minorEastAsia" w:eastAsiaTheme="minorEastAsia" w:hAnsiTheme="minorEastAsia" w:cs="宋体"/>
          <w:bCs/>
          <w:sz w:val="24"/>
          <w:szCs w:val="24"/>
          <w:lang w:eastAsia="zh-CN"/>
        </w:rPr>
      </w:pPr>
      <w:r w:rsidRPr="00256C1C">
        <w:rPr>
          <w:rStyle w:val="read"/>
          <w:rFonts w:asciiTheme="minorEastAsia" w:eastAsiaTheme="minorEastAsia" w:hAnsiTheme="minorEastAsia" w:cs="宋体" w:hint="eastAsia"/>
          <w:bCs/>
          <w:sz w:val="24"/>
          <w:szCs w:val="24"/>
          <w:highlight w:val="white"/>
          <w:lang w:eastAsia="zh-CN"/>
        </w:rPr>
        <w:t>如基金管理人或基金托管人发现基金估值违反基金合同订明的估值方法、程序及相关法律法规的规定或者未能充分维护基金份额持有人利益时，应立即通知对方，共同查明原因，双方协商解决。</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w:t>
      </w:r>
      <w:r w:rsidRPr="00256C1C">
        <w:rPr>
          <w:rFonts w:asciiTheme="minorEastAsia" w:eastAsiaTheme="minorEastAsia" w:hAnsiTheme="minorEastAsia" w:cs="宋体" w:hint="eastAsia"/>
          <w:sz w:val="24"/>
          <w:szCs w:val="24"/>
          <w:highlight w:val="white"/>
          <w:lang w:eastAsia="zh-CN"/>
        </w:rPr>
        <w:t>净值</w:t>
      </w:r>
      <w:r w:rsidRPr="00256C1C">
        <w:rPr>
          <w:rFonts w:asciiTheme="minorEastAsia" w:eastAsiaTheme="minorEastAsia" w:hAnsiTheme="minorEastAsia" w:cs="宋体" w:hint="eastAsia"/>
          <w:bCs/>
          <w:sz w:val="24"/>
          <w:szCs w:val="24"/>
          <w:highlight w:val="white"/>
          <w:lang w:eastAsia="zh-CN"/>
        </w:rPr>
        <w:t>的计算结果对外予以公布。</w:t>
      </w:r>
    </w:p>
    <w:p w:rsidR="00C57945" w:rsidRPr="00256C1C">
      <w:pPr>
        <w:spacing w:line="360" w:lineRule="auto"/>
        <w:ind w:firstLine="42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四、估值程序</w:t>
      </w:r>
    </w:p>
    <w:p w:rsidR="00C57945" w:rsidRPr="00256C1C">
      <w:pPr>
        <w:widowControl/>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cs="宋体" w:hint="eastAsia"/>
          <w:bCs/>
          <w:sz w:val="24"/>
          <w:szCs w:val="24"/>
          <w:highlight w:val="white"/>
          <w:lang w:eastAsia="zh-CN"/>
        </w:rPr>
        <w:t>、基金份额净值是按照每个估值日闭市后，基金资产净值除以当日基金份额的余额数量计算，精确到</w:t>
      </w:r>
      <w:r w:rsidRPr="00256C1C">
        <w:rPr>
          <w:rFonts w:asciiTheme="minorEastAsia" w:eastAsiaTheme="minorEastAsia" w:hAnsiTheme="minorEastAsia" w:cs="宋体"/>
          <w:bCs/>
          <w:sz w:val="24"/>
          <w:szCs w:val="24"/>
          <w:highlight w:val="white"/>
          <w:lang w:eastAsia="zh-CN"/>
        </w:rPr>
        <w:t>0.0001</w:t>
      </w:r>
      <w:r w:rsidRPr="00256C1C">
        <w:rPr>
          <w:rFonts w:asciiTheme="minorEastAsia" w:eastAsiaTheme="minorEastAsia" w:hAnsiTheme="minorEastAsia" w:cs="宋体" w:hint="eastAsia"/>
          <w:bCs/>
          <w:sz w:val="24"/>
          <w:szCs w:val="24"/>
          <w:highlight w:val="white"/>
          <w:lang w:eastAsia="zh-CN"/>
        </w:rPr>
        <w:t>元，小数点后第</w:t>
      </w: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bCs/>
          <w:sz w:val="24"/>
          <w:szCs w:val="24"/>
          <w:highlight w:val="white"/>
          <w:lang w:eastAsia="zh-CN"/>
        </w:rPr>
        <w:t>位四舍五入。国家另有规定的，从其规定。</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每个估值日计算基金资产净值及基金份额净值，并按规定公告。</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hint="eastAsia"/>
          <w:bCs/>
          <w:sz w:val="24"/>
          <w:szCs w:val="24"/>
          <w:highlight w:val="white"/>
          <w:lang w:eastAsia="zh-CN"/>
        </w:rPr>
        <w:t>基金管理人应每个估值日对基金资产估值。但基金管理人根据法律法规或本基金合同的规定暂停估值时除外。基金管理人每个估值日对基金资产估值后，将基金份额净值结果发送基金托管人，经基金托管人复核无误后，由基金管理人按规定对外公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五、估值错误的处理</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基金管理人和基金托管人将采取必要、适当、合理的措施确保基金资产估值的准确性、及时性。当基金份额净值小数点后</w:t>
      </w: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hint="eastAsia"/>
          <w:bCs/>
          <w:sz w:val="24"/>
          <w:szCs w:val="24"/>
          <w:highlight w:val="white"/>
          <w:lang w:eastAsia="zh-CN"/>
        </w:rPr>
        <w:t>位以内（含第</w:t>
      </w: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hint="eastAsia"/>
          <w:bCs/>
          <w:sz w:val="24"/>
          <w:szCs w:val="24"/>
          <w:highlight w:val="white"/>
          <w:lang w:eastAsia="zh-CN"/>
        </w:rPr>
        <w:t>位）发生估值错误时，视为基金份额净值错误。</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本基金合同的当事人应按照以下约定处理：</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cs="宋体" w:hint="eastAsia"/>
          <w:bCs/>
          <w:sz w:val="24"/>
          <w:szCs w:val="24"/>
          <w:highlight w:val="white"/>
          <w:lang w:eastAsia="zh-CN"/>
        </w:rPr>
        <w:t>、估值错误类型</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本基金运作过程中，如果由于基金管理人或基金托管人、或登记结算机构、或销售机构、或投资人自身的过错造成估值错误，导致其他当事人遭受损失的，过错的责任人应当对由于该估值错误遭受损失当事人（“受损方”）的直接损失按下述</w:t>
      </w:r>
      <w:r w:rsidRPr="00256C1C">
        <w:rPr>
          <w:rFonts w:asciiTheme="minorEastAsia" w:eastAsiaTheme="minorEastAsia" w:hAnsiTheme="minorEastAsia" w:cs="宋体"/>
          <w:bCs/>
          <w:sz w:val="24"/>
          <w:szCs w:val="24"/>
          <w:highlight w:val="white"/>
          <w:lang w:eastAsia="zh-CN"/>
        </w:rPr>
        <w:t>“</w:t>
      </w:r>
      <w:r w:rsidRPr="00256C1C">
        <w:rPr>
          <w:rFonts w:asciiTheme="minorEastAsia" w:eastAsiaTheme="minorEastAsia" w:hAnsiTheme="minorEastAsia" w:cs="宋体" w:hint="eastAsia"/>
          <w:bCs/>
          <w:sz w:val="24"/>
          <w:szCs w:val="24"/>
          <w:highlight w:val="white"/>
          <w:lang w:eastAsia="zh-CN"/>
        </w:rPr>
        <w:t>估值错误处理原则</w:t>
      </w:r>
      <w:r w:rsidRPr="00256C1C">
        <w:rPr>
          <w:rFonts w:asciiTheme="minorEastAsia" w:eastAsiaTheme="minorEastAsia" w:hAnsiTheme="minorEastAsia" w:cs="宋体"/>
          <w:bCs/>
          <w:sz w:val="24"/>
          <w:szCs w:val="24"/>
          <w:highlight w:val="white"/>
          <w:lang w:eastAsia="zh-CN"/>
        </w:rPr>
        <w:t>”</w:t>
      </w:r>
      <w:r w:rsidRPr="00256C1C">
        <w:rPr>
          <w:rFonts w:asciiTheme="minorEastAsia" w:eastAsiaTheme="minorEastAsia" w:hAnsiTheme="minorEastAsia" w:cs="宋体" w:hint="eastAsia"/>
          <w:bCs/>
          <w:sz w:val="24"/>
          <w:szCs w:val="24"/>
          <w:highlight w:val="white"/>
          <w:lang w:eastAsia="zh-CN"/>
        </w:rPr>
        <w:t>给予赔偿，承担赔偿责任。</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上述估值错误的主要类型包括但不限于：资料申报差错、数据传输差错、数据计算差错、系统故障差错、下达指令差错等。</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2</w:t>
      </w:r>
      <w:r w:rsidRPr="00256C1C">
        <w:rPr>
          <w:rFonts w:asciiTheme="minorEastAsia" w:eastAsiaTheme="minorEastAsia" w:hAnsiTheme="minorEastAsia" w:cs="宋体" w:hint="eastAsia"/>
          <w:bCs/>
          <w:sz w:val="24"/>
          <w:szCs w:val="24"/>
          <w:highlight w:val="white"/>
          <w:lang w:eastAsia="zh-CN"/>
        </w:rPr>
        <w:t>、估值错误处理原则</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cs="宋体" w:hint="eastAsia"/>
          <w:bCs/>
          <w:sz w:val="24"/>
          <w:szCs w:val="24"/>
          <w:highlight w:val="white"/>
          <w:lang w:eastAsia="zh-CN"/>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2</w:t>
      </w:r>
      <w:r w:rsidRPr="00256C1C">
        <w:rPr>
          <w:rFonts w:asciiTheme="minorEastAsia" w:eastAsiaTheme="minorEastAsia" w:hAnsiTheme="minorEastAsia" w:cs="宋体" w:hint="eastAsia"/>
          <w:bCs/>
          <w:sz w:val="24"/>
          <w:szCs w:val="24"/>
          <w:highlight w:val="white"/>
          <w:lang w:eastAsia="zh-CN"/>
        </w:rPr>
        <w:t>）估值错误的责任方对有关当事人的直接损失负责，不对间接损失负责，并且仅对估值错误的有关直接当事人负责，不对第三方负责。</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3</w:t>
      </w:r>
      <w:r w:rsidRPr="00256C1C">
        <w:rPr>
          <w:rFonts w:asciiTheme="minorEastAsia" w:eastAsiaTheme="minorEastAsia" w:hAnsiTheme="minorEastAsia" w:cs="宋体" w:hint="eastAsia"/>
          <w:bCs/>
          <w:sz w:val="24"/>
          <w:szCs w:val="24"/>
          <w:highlight w:val="white"/>
          <w:lang w:eastAsia="zh-CN"/>
        </w:rPr>
        <w:t>）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hint="eastAsia"/>
          <w:bCs/>
          <w:sz w:val="24"/>
          <w:szCs w:val="24"/>
          <w:highlight w:val="white"/>
          <w:lang w:eastAsia="zh-CN"/>
        </w:rPr>
        <w:t>）估值错误调整采用尽量恢复至假设未发生估值错误的正确情形的方式。</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3</w:t>
      </w:r>
      <w:r w:rsidRPr="00256C1C">
        <w:rPr>
          <w:rFonts w:asciiTheme="minorEastAsia" w:eastAsiaTheme="minorEastAsia" w:hAnsiTheme="minorEastAsia" w:cs="宋体" w:hint="eastAsia"/>
          <w:bCs/>
          <w:sz w:val="24"/>
          <w:szCs w:val="24"/>
          <w:highlight w:val="white"/>
          <w:lang w:eastAsia="zh-CN"/>
        </w:rPr>
        <w:t>、估值错误处理程序</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估值错误被发现后，有关的当事人应当及时进行处理，处理的程序如下：</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cs="宋体" w:hint="eastAsia"/>
          <w:bCs/>
          <w:sz w:val="24"/>
          <w:szCs w:val="24"/>
          <w:highlight w:val="white"/>
          <w:lang w:eastAsia="zh-CN"/>
        </w:rPr>
        <w:t>）查明估值错误发生的原因，列明所有的当事人，并根据估值错误发生的原因确定估值错误的责任方；</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2</w:t>
      </w:r>
      <w:r w:rsidRPr="00256C1C">
        <w:rPr>
          <w:rFonts w:asciiTheme="minorEastAsia" w:eastAsiaTheme="minorEastAsia" w:hAnsiTheme="minorEastAsia" w:cs="宋体" w:hint="eastAsia"/>
          <w:bCs/>
          <w:sz w:val="24"/>
          <w:szCs w:val="24"/>
          <w:highlight w:val="white"/>
          <w:lang w:eastAsia="zh-CN"/>
        </w:rPr>
        <w:t>）根据估值错误处理原则或当事人协商的方法对因估值错误造成的损失进行评估；</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3</w:t>
      </w:r>
      <w:r w:rsidRPr="00256C1C">
        <w:rPr>
          <w:rFonts w:asciiTheme="minorEastAsia" w:eastAsiaTheme="minorEastAsia" w:hAnsiTheme="minorEastAsia" w:cs="宋体" w:hint="eastAsia"/>
          <w:bCs/>
          <w:sz w:val="24"/>
          <w:szCs w:val="24"/>
          <w:highlight w:val="white"/>
          <w:lang w:eastAsia="zh-CN"/>
        </w:rPr>
        <w:t>）根据估值错误处理原则或当事人协商的方法由估值错误的责任方进行更正和赔偿损失；</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hint="eastAsia"/>
          <w:bCs/>
          <w:sz w:val="24"/>
          <w:szCs w:val="24"/>
          <w:highlight w:val="white"/>
          <w:lang w:eastAsia="zh-CN"/>
        </w:rPr>
        <w:t>）根据估值错误处理的方法，需要修改基金登记结算机构交易数据的，由基金登记结算机构进行更正，并就估值错误的更正向有关当事人进行确认。</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hint="eastAsia"/>
          <w:bCs/>
          <w:sz w:val="24"/>
          <w:szCs w:val="24"/>
          <w:highlight w:val="white"/>
          <w:lang w:eastAsia="zh-CN"/>
        </w:rPr>
        <w:t>、基金份额净值估值错误处理的方法如下：</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cs="宋体" w:hint="eastAsia"/>
          <w:bCs/>
          <w:sz w:val="24"/>
          <w:szCs w:val="24"/>
          <w:highlight w:val="white"/>
          <w:lang w:eastAsia="zh-CN"/>
        </w:rPr>
        <w:t>）基金份额净值计算出现错误时，基金管理人应当立即予以纠正，通报基金托管人，并采取合理的措施防止损失进一步扩大。</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2</w:t>
      </w:r>
      <w:r w:rsidRPr="00256C1C">
        <w:rPr>
          <w:rFonts w:asciiTheme="minorEastAsia" w:eastAsiaTheme="minorEastAsia" w:hAnsiTheme="minorEastAsia" w:cs="宋体" w:hint="eastAsia"/>
          <w:bCs/>
          <w:sz w:val="24"/>
          <w:szCs w:val="24"/>
          <w:highlight w:val="white"/>
          <w:lang w:eastAsia="zh-CN"/>
        </w:rPr>
        <w:t>）错误偏差达到基金份额净值的</w:t>
      </w:r>
      <w:r w:rsidRPr="00256C1C">
        <w:rPr>
          <w:rFonts w:asciiTheme="minorEastAsia" w:eastAsiaTheme="minorEastAsia" w:hAnsiTheme="minorEastAsia" w:cs="宋体"/>
          <w:bCs/>
          <w:sz w:val="24"/>
          <w:szCs w:val="24"/>
          <w:highlight w:val="white"/>
          <w:lang w:eastAsia="zh-CN"/>
        </w:rPr>
        <w:t>0.25%</w:t>
      </w:r>
      <w:r w:rsidRPr="00256C1C">
        <w:rPr>
          <w:rFonts w:asciiTheme="minorEastAsia" w:eastAsiaTheme="minorEastAsia" w:hAnsiTheme="minorEastAsia" w:cs="宋体" w:hint="eastAsia"/>
          <w:bCs/>
          <w:sz w:val="24"/>
          <w:szCs w:val="24"/>
          <w:highlight w:val="white"/>
          <w:lang w:eastAsia="zh-CN"/>
        </w:rPr>
        <w:t>时，</w:t>
      </w:r>
      <w:r w:rsidRPr="00256C1C">
        <w:rPr>
          <w:rFonts w:asciiTheme="minorEastAsia" w:eastAsiaTheme="minorEastAsia" w:hAnsiTheme="minorEastAsia" w:cs="宋体"/>
          <w:bCs/>
          <w:sz w:val="24"/>
          <w:szCs w:val="24"/>
          <w:highlight w:val="white"/>
          <w:lang w:eastAsia="zh-CN"/>
        </w:rPr>
        <w:t>基金管理人应当通报基金托管人并报中国证监会备案</w:t>
      </w:r>
      <w:r w:rsidRPr="00256C1C">
        <w:rPr>
          <w:rFonts w:asciiTheme="minorEastAsia" w:eastAsiaTheme="minorEastAsia" w:hAnsiTheme="minorEastAsia" w:cs="宋体" w:hint="eastAsia"/>
          <w:bCs/>
          <w:sz w:val="24"/>
          <w:szCs w:val="24"/>
          <w:highlight w:val="white"/>
          <w:lang w:eastAsia="zh-CN"/>
        </w:rPr>
        <w:t>；错误偏差达到基金份额净值的</w:t>
      </w:r>
      <w:r w:rsidRPr="00256C1C">
        <w:rPr>
          <w:rFonts w:asciiTheme="minorEastAsia" w:eastAsiaTheme="minorEastAsia" w:hAnsiTheme="minorEastAsia" w:cs="宋体"/>
          <w:bCs/>
          <w:sz w:val="24"/>
          <w:szCs w:val="24"/>
          <w:highlight w:val="white"/>
          <w:lang w:eastAsia="zh-CN"/>
        </w:rPr>
        <w:t>0.5%</w:t>
      </w:r>
      <w:r w:rsidRPr="00256C1C">
        <w:rPr>
          <w:rFonts w:asciiTheme="minorEastAsia" w:eastAsiaTheme="minorEastAsia" w:hAnsiTheme="minorEastAsia" w:cs="宋体" w:hint="eastAsia"/>
          <w:bCs/>
          <w:sz w:val="24"/>
          <w:szCs w:val="24"/>
          <w:highlight w:val="white"/>
          <w:lang w:eastAsia="zh-CN"/>
        </w:rPr>
        <w:t>时，基金管理人应当公告，并报中国证监会备案。</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（3）前述内容如法律法规或监管机关另有规定的，从其规定处理。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六</w:t>
      </w:r>
      <w:r w:rsidRPr="00256C1C">
        <w:rPr>
          <w:rFonts w:asciiTheme="minorEastAsia" w:eastAsiaTheme="minorEastAsia" w:hAnsiTheme="minorEastAsia" w:cs="宋体" w:hint="eastAsia"/>
          <w:sz w:val="24"/>
          <w:szCs w:val="24"/>
          <w:highlight w:val="white"/>
          <w:lang w:eastAsia="zh-CN"/>
        </w:rPr>
        <w:t>、暂停估值的情形</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bCs/>
          <w:sz w:val="24"/>
          <w:highlight w:val="white"/>
          <w:lang w:eastAsia="zh-CN"/>
        </w:rPr>
        <w:t>基金投资所涉及的证券交易市场遇法定节假日或因其他原因暂停营业时；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2、因不可抗力或其他情形致使基金管理人、基金托管人无法准确评估基金资产价值时；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sz w:val="24"/>
          <w:highlight w:val="white"/>
          <w:lang w:eastAsia="zh-CN"/>
        </w:rPr>
        <w:t>3、当前一估值日基金资产净值50%以上的资产出现无可参考的活跃市场价格且采用估值技术仍导致公允价值存在重大不确定性时，经与基金托管人协商确认后，基金管理人应当暂停估值；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4、法律法规规定、中国证监会和基金合同认定的其它情形</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七</w:t>
      </w:r>
      <w:r w:rsidRPr="00256C1C">
        <w:rPr>
          <w:rFonts w:asciiTheme="minorEastAsia" w:eastAsiaTheme="minorEastAsia" w:hAnsiTheme="minorEastAsia" w:cs="宋体" w:hint="eastAsia"/>
          <w:sz w:val="24"/>
          <w:szCs w:val="24"/>
          <w:highlight w:val="white"/>
          <w:lang w:eastAsia="zh-CN"/>
        </w:rPr>
        <w:t>、基金净值的确认</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用于基金信息披露的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按规定对基金净值予以公布。</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sz w:val="24"/>
          <w:szCs w:val="24"/>
          <w:highlight w:val="white"/>
          <w:lang w:eastAsia="zh-CN"/>
        </w:rPr>
        <w:t>八、</w:t>
      </w:r>
      <w:r w:rsidRPr="00256C1C">
        <w:rPr>
          <w:rFonts w:asciiTheme="minorEastAsia" w:eastAsiaTheme="minorEastAsia" w:hAnsiTheme="minorEastAsia" w:cs="宋体" w:hint="eastAsia"/>
          <w:bCs/>
          <w:sz w:val="24"/>
          <w:szCs w:val="24"/>
          <w:highlight w:val="white"/>
          <w:lang w:eastAsia="zh-CN"/>
        </w:rPr>
        <w:t>特殊情况的处理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、基金管理人或基金托管人按估值方法的第</w:t>
      </w:r>
      <w:r w:rsidRPr="00256C1C">
        <w:rPr>
          <w:rFonts w:asciiTheme="minorEastAsia" w:eastAsiaTheme="minorEastAsia" w:hAnsiTheme="minorEastAsia" w:cs="宋体"/>
          <w:sz w:val="24"/>
          <w:szCs w:val="24"/>
          <w:highlight w:val="white"/>
          <w:lang w:eastAsia="zh-CN"/>
        </w:rPr>
        <w:t>12</w:t>
      </w:r>
      <w:r w:rsidRPr="00256C1C">
        <w:rPr>
          <w:rFonts w:asciiTheme="minorEastAsia" w:eastAsiaTheme="minorEastAsia" w:hAnsiTheme="minorEastAsia" w:cs="宋体" w:hint="eastAsia"/>
          <w:sz w:val="24"/>
          <w:szCs w:val="24"/>
          <w:highlight w:val="white"/>
          <w:lang w:eastAsia="zh-CN"/>
        </w:rPr>
        <w:t>项进行估值时，所造成的误差不作为基金资产估值错误处理。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、由于</w:t>
      </w:r>
      <w:r w:rsidRPr="00256C1C">
        <w:rPr>
          <w:rFonts w:asciiTheme="minorEastAsia" w:eastAsiaTheme="minorEastAsia" w:hAnsiTheme="minorEastAsia" w:cs="宋体"/>
          <w:color w:val="000000"/>
          <w:sz w:val="24"/>
          <w:highlight w:val="white"/>
          <w:lang w:eastAsia="zh-CN"/>
        </w:rPr>
        <w:t>不可抗力，或证券交易所、登记结算机构、指数编制机构及存款银行等第三方机构发送的数据错误，或国家会计政策变更、市场规则变更等非基金管理人与基金托管人原因，基金管理人和基金托管人虽然已经采取必要、适当、合理的措施进行检查，但未能发现错误或因前述原因无法及时更正的，由此造成的基金资产估值错误，基金管理人和基金托管人免除赔偿责任。但基金管理人、基金托管人应当积极采取必要的措施消除或减轻由此造成的影响</w:t>
      </w:r>
      <w:r w:rsidRPr="00256C1C">
        <w:rPr>
          <w:rFonts w:asciiTheme="minorEastAsia" w:eastAsiaTheme="minorEastAsia" w:hAnsiTheme="minorEastAsia" w:cs="宋体" w:hint="eastAsia"/>
          <w:sz w:val="24"/>
          <w:szCs w:val="24"/>
          <w:highlight w:val="white"/>
          <w:lang w:eastAsia="zh-CN"/>
        </w:rPr>
        <w:t>。</w:t>
      </w: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color w:val="auto"/>
          <w:sz w:val="30"/>
          <w:highlight w:val="white"/>
          <w:lang w:eastAsia="zh-CN"/>
        </w:rPr>
        <w:br w:type="page"/>
      </w:r>
      <w:bookmarkStart w:id="349" w:name="_Toc32041"/>
      <w:bookmarkStart w:id="350" w:name="_Toc3365"/>
      <w:bookmarkStart w:id="351" w:name="_Toc19706"/>
      <w:bookmarkStart w:id="352" w:name="_Toc32227"/>
      <w:bookmarkStart w:id="353" w:name="_Toc19752"/>
      <w:bookmarkStart w:id="354" w:name="_Toc446339253"/>
      <w:bookmarkStart w:id="355" w:name="_Toc13987"/>
      <w:bookmarkStart w:id="356" w:name="_Toc15779"/>
      <w:bookmarkStart w:id="357" w:name="_Toc12105"/>
      <w:bookmarkStart w:id="358" w:name="_Toc24601"/>
      <w:bookmarkStart w:id="359" w:name="_Toc6493"/>
      <w:bookmarkStart w:id="360" w:name="_Toc129511051"/>
      <w:r w:rsidRPr="00256C1C">
        <w:rPr>
          <w:rFonts w:asciiTheme="minorEastAsia" w:eastAsiaTheme="minorEastAsia" w:hAnsiTheme="minorEastAsia" w:cs="宋体" w:hint="eastAsia"/>
          <w:color w:val="auto"/>
          <w:sz w:val="30"/>
          <w:highlight w:val="white"/>
          <w:lang w:eastAsia="zh-CN"/>
        </w:rPr>
        <w:t>第十七部分 基金费用与税收</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一、基金费用的种类</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、基金管理人的管理费</w:t>
      </w:r>
      <w:r w:rsidRPr="00256C1C">
        <w:rPr>
          <w:rFonts w:asciiTheme="minorEastAsia" w:eastAsiaTheme="minorEastAsia" w:hAnsiTheme="minorEastAsia" w:cs="宋体"/>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、基金托管人的托管费</w:t>
      </w:r>
      <w:r w:rsidRPr="00256C1C">
        <w:rPr>
          <w:rFonts w:asciiTheme="minorEastAsia" w:eastAsiaTheme="minorEastAsia" w:hAnsiTheme="minorEastAsia" w:cs="宋体"/>
          <w:bCs/>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3、《基金合同》生效后与基金相关的信息披露费用，但法律法规、中国证监会另有规定的除外；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、《基金合同》生效后与基金相关的会计师费、律师费</w:t>
      </w:r>
      <w:r w:rsidRPr="00256C1C">
        <w:rPr>
          <w:rFonts w:asciiTheme="minorEastAsia" w:eastAsiaTheme="minorEastAsia" w:hAnsiTheme="minorEastAsia" w:cs="宋体" w:hint="eastAsia"/>
          <w:bCs/>
          <w:sz w:val="24"/>
          <w:szCs w:val="24"/>
          <w:highlight w:val="white"/>
          <w:lang w:eastAsia="zh-CN"/>
        </w:rPr>
        <w:t>、诉讼费</w:t>
      </w:r>
      <w:r w:rsidRPr="00256C1C">
        <w:rPr>
          <w:rFonts w:asciiTheme="minorEastAsia" w:eastAsiaTheme="minorEastAsia" w:hAnsiTheme="minorEastAsia" w:cs="宋体" w:hint="eastAsia"/>
          <w:sz w:val="24"/>
          <w:szCs w:val="24"/>
          <w:highlight w:val="white"/>
          <w:lang w:eastAsia="zh-CN"/>
        </w:rPr>
        <w:t>和</w:t>
      </w:r>
      <w:r w:rsidRPr="00256C1C">
        <w:rPr>
          <w:rFonts w:asciiTheme="minorEastAsia" w:eastAsiaTheme="minorEastAsia" w:hAnsiTheme="minorEastAsia" w:cs="宋体" w:hint="eastAsia"/>
          <w:bCs/>
          <w:sz w:val="24"/>
          <w:szCs w:val="24"/>
          <w:highlight w:val="white"/>
          <w:lang w:eastAsia="zh-CN"/>
        </w:rPr>
        <w:t>仲裁</w:t>
      </w:r>
      <w:r w:rsidRPr="00256C1C">
        <w:rPr>
          <w:rFonts w:asciiTheme="minorEastAsia" w:eastAsiaTheme="minorEastAsia" w:hAnsiTheme="minorEastAsia" w:cs="宋体" w:hint="eastAsia"/>
          <w:sz w:val="24"/>
          <w:szCs w:val="24"/>
          <w:highlight w:val="white"/>
          <w:lang w:eastAsia="zh-CN"/>
        </w:rPr>
        <w:t>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、基金份额持有人大会费用；</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6、基金的证券</w:t>
      </w:r>
      <w:r w:rsidRPr="00256C1C">
        <w:rPr>
          <w:rFonts w:asciiTheme="minorEastAsia" w:eastAsiaTheme="minorEastAsia" w:hAnsiTheme="minorEastAsia" w:cs="宋体" w:hint="eastAsia"/>
          <w:bCs/>
          <w:sz w:val="24"/>
          <w:szCs w:val="24"/>
          <w:highlight w:val="white"/>
          <w:lang w:eastAsia="zh-CN"/>
        </w:rPr>
        <w:t>/期货</w:t>
      </w:r>
      <w:r w:rsidRPr="00256C1C">
        <w:rPr>
          <w:rFonts w:asciiTheme="minorEastAsia" w:eastAsiaTheme="minorEastAsia" w:hAnsiTheme="minorEastAsia" w:cs="宋体"/>
          <w:bCs/>
          <w:sz w:val="24"/>
          <w:szCs w:val="24"/>
          <w:highlight w:val="white"/>
          <w:lang w:eastAsia="zh-CN"/>
        </w:rPr>
        <w:t>交易费用；</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7、基金的银行汇划费用；</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8</w:t>
      </w:r>
      <w:r w:rsidRPr="00256C1C">
        <w:rPr>
          <w:rFonts w:asciiTheme="minorEastAsia" w:eastAsiaTheme="minorEastAsia" w:hAnsiTheme="minorEastAsia" w:cs="宋体" w:hint="eastAsia"/>
          <w:bCs/>
          <w:sz w:val="24"/>
          <w:szCs w:val="24"/>
          <w:highlight w:val="white"/>
          <w:lang w:eastAsia="zh-CN"/>
        </w:rPr>
        <w:t>、证券账户开户费用、银行账户维护费用；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bCs/>
          <w:sz w:val="24"/>
          <w:szCs w:val="24"/>
          <w:highlight w:val="white"/>
          <w:lang w:eastAsia="zh-CN"/>
        </w:rPr>
        <w:t>9、</w:t>
      </w:r>
      <w:r w:rsidRPr="00256C1C">
        <w:rPr>
          <w:rFonts w:asciiTheme="minorEastAsia" w:eastAsiaTheme="minorEastAsia" w:hAnsiTheme="minorEastAsia" w:hint="eastAsia"/>
          <w:bCs/>
          <w:sz w:val="24"/>
          <w:highlight w:val="white"/>
          <w:lang w:eastAsia="zh-CN"/>
        </w:rPr>
        <w:t>基金上市初费及年费、登记结算费用、IOPV计算与发布费用；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10、收益分配中发生的费用；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11</w:t>
      </w: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cs="宋体" w:hint="eastAsia"/>
          <w:sz w:val="24"/>
          <w:szCs w:val="24"/>
          <w:highlight w:val="white"/>
          <w:lang w:eastAsia="zh-CN"/>
        </w:rPr>
        <w:t>按照国家有关规定和《基金合同》约定，可以在基金财产中列支的其他费用。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二、基金费用计提方法、计提标准和支付方式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、基金管理人的管理费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本基金的管理费按前一日基金资产净值的</w:t>
      </w:r>
      <w:r w:rsidRPr="00256C1C">
        <w:rPr>
          <w:rFonts w:asciiTheme="minorEastAsia" w:eastAsiaTheme="minorEastAsia" w:hAnsiTheme="minorEastAsia" w:cs="宋体"/>
          <w:sz w:val="24"/>
          <w:szCs w:val="24"/>
          <w:lang w:eastAsia="zh-CN"/>
        </w:rPr>
        <w:t>0.15%</w:t>
      </w:r>
      <w:r w:rsidRPr="00256C1C">
        <w:rPr>
          <w:rFonts w:asciiTheme="minorEastAsia" w:eastAsiaTheme="minorEastAsia" w:hAnsiTheme="minorEastAsia" w:cs="宋体" w:hint="eastAsia"/>
          <w:sz w:val="24"/>
          <w:szCs w:val="24"/>
          <w:highlight w:val="white"/>
          <w:lang w:eastAsia="zh-CN"/>
        </w:rPr>
        <w:t>年费率计提。管理费的计算方法如下：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H</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E×</w:t>
      </w:r>
      <w:r w:rsidRPr="00256C1C">
        <w:rPr>
          <w:rFonts w:asciiTheme="minorEastAsia" w:eastAsiaTheme="minorEastAsia" w:hAnsiTheme="minorEastAsia" w:cs="宋体"/>
          <w:sz w:val="24"/>
          <w:szCs w:val="24"/>
          <w:lang w:eastAsia="zh-CN"/>
        </w:rPr>
        <w:t>0.15%</w:t>
      </w:r>
      <w:r w:rsidRPr="00256C1C">
        <w:rPr>
          <w:rFonts w:asciiTheme="minorEastAsia" w:eastAsiaTheme="minorEastAsia" w:hAnsiTheme="minorEastAsia" w:cs="宋体"/>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当年天数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H</w:t>
      </w:r>
      <w:r w:rsidRPr="00256C1C">
        <w:rPr>
          <w:rFonts w:asciiTheme="minorEastAsia" w:eastAsiaTheme="minorEastAsia" w:hAnsiTheme="minorEastAsia" w:cs="宋体" w:hint="eastAsia"/>
          <w:sz w:val="24"/>
          <w:szCs w:val="24"/>
          <w:highlight w:val="white"/>
          <w:lang w:eastAsia="zh-CN"/>
        </w:rPr>
        <w:t>为每日应计提的基金管理费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E</w:t>
      </w:r>
      <w:r w:rsidRPr="00256C1C">
        <w:rPr>
          <w:rFonts w:asciiTheme="minorEastAsia" w:eastAsiaTheme="minorEastAsia" w:hAnsiTheme="minorEastAsia" w:cs="宋体" w:hint="eastAsia"/>
          <w:sz w:val="24"/>
          <w:szCs w:val="24"/>
          <w:highlight w:val="white"/>
          <w:lang w:eastAsia="zh-CN"/>
        </w:rPr>
        <w:t>为前一日的基金资产净值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管理费每日计提，逐日累计至每月月末，按月支付，由基金托管人根据与基金管理人核对一致的财务数据，自动在次月前5个工作日内、按照指定的账户路径进行资金支付，基金管理人无需再出具资金划拨指令。若遇法定节假日、公休日等，支付日期顺延。费用自动扣划后，基金管理人应进行核对，如发现数据不符，及时联系基金托管人协商解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、基金托管人的托管费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本基金的托管费按前一日基金资产净值的</w:t>
      </w:r>
      <w:r w:rsidRPr="00256C1C">
        <w:rPr>
          <w:rFonts w:asciiTheme="minorEastAsia" w:eastAsiaTheme="minorEastAsia" w:hAnsiTheme="minorEastAsia" w:cs="宋体"/>
          <w:sz w:val="24"/>
          <w:szCs w:val="24"/>
          <w:lang w:eastAsia="zh-CN"/>
        </w:rPr>
        <w:t>0.05%</w:t>
      </w:r>
      <w:r w:rsidRPr="00256C1C">
        <w:rPr>
          <w:rFonts w:asciiTheme="minorEastAsia" w:eastAsiaTheme="minorEastAsia" w:hAnsiTheme="minorEastAsia" w:cs="宋体" w:hint="eastAsia"/>
          <w:sz w:val="24"/>
          <w:szCs w:val="24"/>
          <w:highlight w:val="white"/>
          <w:lang w:eastAsia="zh-CN"/>
        </w:rPr>
        <w:t>年费率计提。托管费的计算方法如下：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H</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E×</w:t>
      </w:r>
      <w:r w:rsidRPr="00256C1C">
        <w:rPr>
          <w:rFonts w:asciiTheme="minorEastAsia" w:eastAsiaTheme="minorEastAsia" w:hAnsiTheme="minorEastAsia" w:cs="宋体"/>
          <w:sz w:val="24"/>
          <w:szCs w:val="24"/>
          <w:lang w:eastAsia="zh-CN"/>
        </w:rPr>
        <w:t>0.05%</w:t>
      </w:r>
      <w:r w:rsidRPr="00256C1C">
        <w:rPr>
          <w:rFonts w:asciiTheme="minorEastAsia" w:eastAsiaTheme="minorEastAsia" w:hAnsiTheme="minorEastAsia" w:cs="宋体"/>
          <w:sz w:val="24"/>
          <w:szCs w:val="24"/>
          <w:highlight w:val="white"/>
          <w:lang w:eastAsia="zh-CN"/>
        </w:rPr>
        <w:t>÷</w:t>
      </w:r>
      <w:r w:rsidRPr="00256C1C">
        <w:rPr>
          <w:rFonts w:asciiTheme="minorEastAsia" w:eastAsiaTheme="minorEastAsia" w:hAnsiTheme="minorEastAsia" w:cs="宋体" w:hint="eastAsia"/>
          <w:sz w:val="24"/>
          <w:szCs w:val="24"/>
          <w:highlight w:val="white"/>
          <w:lang w:eastAsia="zh-CN"/>
        </w:rPr>
        <w:t>当年天数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H</w:t>
      </w:r>
      <w:r w:rsidRPr="00256C1C">
        <w:rPr>
          <w:rFonts w:asciiTheme="minorEastAsia" w:eastAsiaTheme="minorEastAsia" w:hAnsiTheme="minorEastAsia" w:cs="宋体" w:hint="eastAsia"/>
          <w:sz w:val="24"/>
          <w:szCs w:val="24"/>
          <w:highlight w:val="white"/>
          <w:lang w:eastAsia="zh-CN"/>
        </w:rPr>
        <w:t>为每日应计提的基金托管费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E</w:t>
      </w:r>
      <w:r w:rsidRPr="00256C1C">
        <w:rPr>
          <w:rFonts w:asciiTheme="minorEastAsia" w:eastAsiaTheme="minorEastAsia" w:hAnsiTheme="minorEastAsia" w:cs="宋体" w:hint="eastAsia"/>
          <w:sz w:val="24"/>
          <w:szCs w:val="24"/>
          <w:highlight w:val="white"/>
          <w:lang w:eastAsia="zh-CN"/>
        </w:rPr>
        <w:t>为前一日的基金资产净值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托管费每日计提，逐日累计至每月月末，按月支付，由基金托管人根据与基金管理人核对一致的财务数据，自动在次月前5个工作日内、按照指定的账户路径进行资金支付，基金管理人无需再出具资金划拨指令。若遇法定节假日、公休日等，支付日期顺延。费用自动扣划后，基金管理人应进行核对，如发现数据不符，及时联系基金托管人协商解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上述“一、基金费用的种类”中第</w:t>
      </w: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11</w:t>
      </w:r>
      <w:r w:rsidRPr="00256C1C">
        <w:rPr>
          <w:rFonts w:asciiTheme="minorEastAsia" w:eastAsiaTheme="minorEastAsia" w:hAnsiTheme="minorEastAsia" w:cs="宋体" w:hint="eastAsia"/>
          <w:sz w:val="24"/>
          <w:szCs w:val="24"/>
          <w:highlight w:val="white"/>
          <w:lang w:eastAsia="zh-CN"/>
        </w:rPr>
        <w:t>项费用，根据有关法规及相应协议规定，按费用实际支出金额列入当期费用，由基金托管人从基金财产中支付。</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三、不列入基金费用的项目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下列费用不列入基金费用：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、基金管理人和基金托管人因未履行或未完全履行义务导致的费用支出或基金财产的损失；</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、基金管理人和基金托管人处理与基金运作无关的事项发生的费用；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3、《基金合同》生效前的相关费用；</w:t>
      </w:r>
    </w:p>
    <w:p w:rsidR="00C57945" w:rsidRPr="00256C1C">
      <w:pPr>
        <w:pBdr>
          <w:top w:val="nil"/>
          <w:left w:val="nil"/>
          <w:bottom w:val="nil"/>
          <w:right w:val="nil"/>
        </w:pBd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4、标的指数许可使用费。标的指数许可使用费由基金管理人承担，不得从基金财产中列支；</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5、其他根据相关法律法规及中国证监会的有关规定不得列入基金费用的项目。</w:t>
      </w:r>
      <w:bookmarkStart w:id="361" w:name="_Hlt88827255"/>
      <w:bookmarkEnd w:id="361"/>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四、基金税收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本基金运作过程中涉及的各纳税主体，其纳税义务按国家税收法律、法规执行。</w:t>
      </w:r>
      <w:r w:rsidRPr="00256C1C">
        <w:rPr>
          <w:rFonts w:asciiTheme="minorEastAsia" w:eastAsiaTheme="minorEastAsia" w:hAnsiTheme="minorEastAsia" w:cs="宋体"/>
          <w:sz w:val="24"/>
          <w:szCs w:val="24"/>
          <w:highlight w:val="white"/>
          <w:lang w:eastAsia="zh-CN"/>
        </w:rPr>
        <w:t>基金财产投资的相关税收，由基金份额持有人承担，基金管理人或者其他扣缴义务人按照国家有关税收征收的规定代扣代缴。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在投资和运作过程中如发生增值税等应税行为，相应的增值税、附加税费以及可能涉及的税收滞纳金等由基金财产承担，届时基金管理人可通过本基金托管账户直接缴付，或划付至基金管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p>
    <w:p w:rsidR="00C57945" w:rsidRPr="00256C1C">
      <w:pPr>
        <w:pStyle w:val="Heading1"/>
        <w:spacing w:before="0" w:after="0"/>
        <w:jc w:val="center"/>
        <w:rPr>
          <w:rFonts w:asciiTheme="minorEastAsia" w:eastAsiaTheme="minorEastAsia" w:hAnsiTheme="minorEastAsia" w:cs="宋体"/>
          <w:color w:val="auto"/>
          <w:sz w:val="30"/>
        </w:rPr>
      </w:pPr>
      <w:bookmarkStart w:id="362" w:name="_Toc93226149"/>
      <w:bookmarkStart w:id="363" w:name="_Toc92662707"/>
      <w:bookmarkStart w:id="364" w:name="_Toc128310499"/>
      <w:bookmarkStart w:id="365" w:name="_Toc139991746"/>
      <w:bookmarkStart w:id="366" w:name="_Toc22552"/>
      <w:bookmarkStart w:id="367" w:name="_Toc141703896"/>
      <w:r w:rsidRPr="00256C1C">
        <w:rPr>
          <w:rFonts w:asciiTheme="minorEastAsia" w:eastAsiaTheme="minorEastAsia" w:hAnsiTheme="minorEastAsia" w:cs="宋体"/>
          <w:b w:val="0"/>
          <w:color w:val="auto"/>
          <w:sz w:val="30"/>
          <w:highlight w:val="white"/>
          <w:lang w:eastAsia="zh-CN"/>
        </w:rPr>
        <w:br w:type="page"/>
      </w:r>
      <w:bookmarkStart w:id="368" w:name="_Toc178"/>
      <w:bookmarkStart w:id="369" w:name="_Toc15525"/>
      <w:bookmarkStart w:id="370" w:name="_Toc19558"/>
      <w:bookmarkStart w:id="371" w:name="_Toc15351"/>
      <w:bookmarkStart w:id="372" w:name="_Toc21829"/>
      <w:bookmarkStart w:id="373" w:name="_Toc446339254"/>
      <w:bookmarkStart w:id="374" w:name="_Toc20052"/>
      <w:bookmarkStart w:id="375" w:name="_Toc3656"/>
      <w:bookmarkStart w:id="376" w:name="_Toc25883"/>
      <w:bookmarkStart w:id="377" w:name="_Toc12761"/>
      <w:bookmarkStart w:id="378" w:name="_Toc1617"/>
      <w:bookmarkStart w:id="379" w:name="_Toc129511052"/>
      <w:r w:rsidRPr="00256C1C">
        <w:rPr>
          <w:rFonts w:asciiTheme="minorEastAsia" w:eastAsiaTheme="minorEastAsia" w:hAnsiTheme="minorEastAsia" w:cs="宋体" w:hint="eastAsia"/>
          <w:color w:val="auto"/>
          <w:sz w:val="30"/>
          <w:highlight w:val="white"/>
        </w:rPr>
        <w:t>第十八部分</w:t>
      </w:r>
      <w:r w:rsidRPr="00256C1C">
        <w:rPr>
          <w:rFonts w:asciiTheme="minorEastAsia" w:eastAsiaTheme="minorEastAsia" w:hAnsiTheme="minorEastAsia" w:cs="宋体"/>
          <w:sz w:val="30"/>
          <w:highlight w:val="white"/>
        </w:rPr>
        <w:t xml:space="preserve"> </w:t>
      </w:r>
      <w:r w:rsidRPr="00256C1C">
        <w:rPr>
          <w:rFonts w:asciiTheme="minorEastAsia" w:eastAsiaTheme="minorEastAsia" w:hAnsiTheme="minorEastAsia" w:cs="宋体" w:hint="eastAsia"/>
          <w:color w:val="auto"/>
          <w:sz w:val="30"/>
          <w:highlight w:val="white"/>
        </w:rPr>
        <w:t>基金</w:t>
      </w:r>
      <w:bookmarkEnd w:id="362"/>
      <w:bookmarkEnd w:id="363"/>
      <w:r w:rsidRPr="00256C1C">
        <w:rPr>
          <w:rFonts w:asciiTheme="minorEastAsia" w:eastAsiaTheme="minorEastAsia" w:hAnsiTheme="minorEastAsia" w:cs="宋体" w:hint="eastAsia"/>
          <w:color w:val="auto"/>
          <w:sz w:val="30"/>
          <w:highlight w:val="white"/>
        </w:rPr>
        <w:t>的收益与分配</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rsidR="00C57945" w:rsidRPr="00256C1C">
      <w:pPr>
        <w:spacing w:line="360" w:lineRule="auto"/>
        <w:rPr>
          <w:rFonts w:asciiTheme="minorEastAsia" w:eastAsiaTheme="minorEastAsia" w:hAnsiTheme="minorEastAsia" w:cs="宋体"/>
          <w:sz w:val="24"/>
          <w:szCs w:val="24"/>
        </w:rPr>
      </w:pPr>
    </w:p>
    <w:p w:rsidR="00C57945" w:rsidRPr="00256C1C">
      <w:pPr>
        <w:spacing w:line="360" w:lineRule="auto"/>
        <w:ind w:firstLine="480"/>
        <w:rPr>
          <w:rFonts w:asciiTheme="minorEastAsia" w:eastAsiaTheme="minorEastAsia" w:hAnsiTheme="minorEastAsia" w:cs="宋体"/>
          <w:sz w:val="24"/>
          <w:szCs w:val="24"/>
          <w:lang w:eastAsia="zh-CN"/>
        </w:rPr>
      </w:pPr>
      <w:bookmarkStart w:id="380" w:name="_Toc92662708"/>
      <w:bookmarkStart w:id="381" w:name="_Toc93226150"/>
      <w:bookmarkStart w:id="382" w:name="_Toc139991747"/>
      <w:bookmarkStart w:id="383" w:name="_Toc141703897"/>
      <w:bookmarkStart w:id="384" w:name="_Toc13255"/>
      <w:bookmarkStart w:id="385" w:name="_Toc31736"/>
      <w:bookmarkStart w:id="386" w:name="_Toc10894"/>
      <w:bookmarkStart w:id="387" w:name="_Toc18007"/>
      <w:bookmarkStart w:id="388" w:name="_Toc28961"/>
      <w:bookmarkStart w:id="389" w:name="_Toc446339255"/>
      <w:bookmarkStart w:id="390" w:name="_Toc29695"/>
      <w:bookmarkStart w:id="391" w:name="_Toc17499"/>
      <w:bookmarkStart w:id="392" w:name="_Toc23859"/>
      <w:bookmarkStart w:id="393" w:name="_Toc1043"/>
      <w:bookmarkStart w:id="394" w:name="_Toc128310500"/>
      <w:bookmarkStart w:id="395" w:name="_Toc21206"/>
      <w:bookmarkStart w:id="396" w:name="_Toc18747"/>
      <w:bookmarkStart w:id="397" w:name="_Toc129511053"/>
      <w:r w:rsidRPr="00256C1C">
        <w:rPr>
          <w:rFonts w:asciiTheme="minorEastAsia" w:eastAsiaTheme="minorEastAsia" w:hAnsiTheme="minorEastAsia" w:cs="宋体" w:hint="eastAsia"/>
          <w:sz w:val="24"/>
          <w:szCs w:val="24"/>
          <w:highlight w:val="white"/>
          <w:lang w:eastAsia="zh-CN"/>
        </w:rPr>
        <w:t>一、基金利润的构成</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基金利润指基金利息收入、投资收益、公允价值变动收益和其他收入扣除相关费用后的余额，基金已实现收益指基金利润减去公允价值变动收益后的余额。</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二、基金可供分配利润</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基金可供分配利润指截至收益分配基准日基金未分配利润与未分配利润中已实现收益的孰低数。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三、基金收益分配原则</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1、本基金收益分配方式采用现金分红；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2、每一基金份额享有同等分配权；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3、在符合以下有关基金分红条件的情形下，基金管理人可以根据实际情况进行收益分配，具体分配方案以届时的公告为准：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本基金收益评价日核定的基金累计报酬率超过业绩比较基准同期累计报酬率或者基金可供分配利润金额大于0元时，基金管理人可进行收益分配，累计报酬率计算方式详见招募说明书；若《基金合同》生效不满3个月可不进行收益分配；</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2）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color w:val="000000"/>
          <w:sz w:val="24"/>
          <w:highlight w:val="white"/>
          <w:lang w:eastAsia="zh-CN"/>
        </w:rPr>
        <w:t>4、在对基金份额持有人利益无实质不利影响的前提下，基金管理人经与基金托管人协商一致并履行适当程序后，可调整基金收益的分配原则；</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、法律法规或监管机关另有规定的，从其规定。证券交易所或基金登记结算机构对收益分配另有规定的，从其规定。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四、收益分配方案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基金收益分配方案中应载明基金收益分配对象、分配时间、分配数额、分配方式等内容。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五、收益分配方案的确定、公告与实施</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本基金收益分配方案由基金管理人拟定，并由基金托管人复核，在2日内在规定媒介公告。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法律法规或监管机关另有规定的，从其规定。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六、基金收益分配中发生的费用</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基金收益分配时所发生的银行转账或其他手续费用由投资者自行承担。</w:t>
      </w:r>
    </w:p>
    <w:p w:rsidR="00C57945" w:rsidRPr="00256C1C">
      <w:pPr>
        <w:widowControl/>
        <w:jc w:val="left"/>
        <w:rPr>
          <w:rFonts w:asciiTheme="minorEastAsia" w:eastAsiaTheme="minorEastAsia" w:hAnsiTheme="minorEastAsia" w:cs="宋体"/>
          <w:b/>
          <w:sz w:val="30"/>
          <w:lang w:eastAsia="zh-CN"/>
        </w:rPr>
      </w:pPr>
      <w:r w:rsidRPr="00256C1C">
        <w:rPr>
          <w:rFonts w:asciiTheme="minorEastAsia" w:eastAsiaTheme="minorEastAsia" w:hAnsiTheme="minorEastAsia" w:cs="宋体"/>
          <w:sz w:val="30"/>
          <w:highlight w:val="white"/>
          <w:lang w:eastAsia="zh-CN"/>
        </w:rPr>
        <w:br w:type="page"/>
      </w: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hint="eastAsia"/>
          <w:color w:val="auto"/>
          <w:sz w:val="30"/>
          <w:highlight w:val="white"/>
          <w:lang w:eastAsia="zh-CN"/>
        </w:rPr>
        <w:t>第十九部分</w:t>
      </w:r>
      <w:r w:rsidRPr="00256C1C">
        <w:rPr>
          <w:rFonts w:asciiTheme="minorEastAsia" w:eastAsiaTheme="minorEastAsia" w:hAnsiTheme="minorEastAsia" w:cs="宋体"/>
          <w:sz w:val="30"/>
          <w:highlight w:val="white"/>
          <w:lang w:eastAsia="zh-CN"/>
        </w:rPr>
        <w:t xml:space="preserve"> </w:t>
      </w:r>
      <w:r w:rsidRPr="00256C1C">
        <w:rPr>
          <w:rFonts w:asciiTheme="minorEastAsia" w:eastAsiaTheme="minorEastAsia" w:hAnsiTheme="minorEastAsia" w:cs="宋体" w:hint="eastAsia"/>
          <w:color w:val="auto"/>
          <w:sz w:val="30"/>
          <w:highlight w:val="white"/>
          <w:lang w:eastAsia="zh-CN"/>
        </w:rPr>
        <w:t>基金</w:t>
      </w:r>
      <w:bookmarkEnd w:id="380"/>
      <w:bookmarkEnd w:id="381"/>
      <w:r w:rsidRPr="00256C1C">
        <w:rPr>
          <w:rFonts w:asciiTheme="minorEastAsia" w:eastAsiaTheme="minorEastAsia" w:hAnsiTheme="minorEastAsia" w:cs="宋体" w:hint="eastAsia"/>
          <w:color w:val="auto"/>
          <w:sz w:val="30"/>
          <w:highlight w:val="white"/>
          <w:lang w:eastAsia="zh-CN"/>
        </w:rPr>
        <w:t>的会计与审计</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rsidR="00C57945" w:rsidRPr="00256C1C">
      <w:pPr>
        <w:spacing w:line="360" w:lineRule="auto"/>
        <w:ind w:firstLine="482"/>
        <w:rPr>
          <w:rFonts w:asciiTheme="minorEastAsia" w:eastAsiaTheme="minorEastAsia" w:hAnsiTheme="minorEastAsia" w:cs="宋体"/>
          <w:sz w:val="24"/>
          <w:szCs w:val="24"/>
          <w:lang w:eastAsia="zh-CN"/>
        </w:rPr>
      </w:pP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一、基金会计政策</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、基金管理人为本基金的基金会计责任方；</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、基金的会计年度为公历年度的</w:t>
      </w: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月</w:t>
      </w: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日至</w:t>
      </w:r>
      <w:r w:rsidRPr="00256C1C">
        <w:rPr>
          <w:rFonts w:asciiTheme="minorEastAsia" w:eastAsiaTheme="minorEastAsia" w:hAnsiTheme="minorEastAsia" w:cs="宋体"/>
          <w:sz w:val="24"/>
          <w:szCs w:val="24"/>
          <w:highlight w:val="white"/>
          <w:lang w:eastAsia="zh-CN"/>
        </w:rPr>
        <w:t>12</w:t>
      </w:r>
      <w:r w:rsidRPr="00256C1C">
        <w:rPr>
          <w:rFonts w:asciiTheme="minorEastAsia" w:eastAsiaTheme="minorEastAsia" w:hAnsiTheme="minorEastAsia" w:cs="宋体" w:hint="eastAsia"/>
          <w:sz w:val="24"/>
          <w:szCs w:val="24"/>
          <w:highlight w:val="white"/>
          <w:lang w:eastAsia="zh-CN"/>
        </w:rPr>
        <w:t>月</w:t>
      </w:r>
      <w:r w:rsidRPr="00256C1C">
        <w:rPr>
          <w:rFonts w:asciiTheme="minorEastAsia" w:eastAsiaTheme="minorEastAsia" w:hAnsiTheme="minorEastAsia" w:cs="宋体"/>
          <w:sz w:val="24"/>
          <w:szCs w:val="24"/>
          <w:highlight w:val="white"/>
          <w:lang w:eastAsia="zh-CN"/>
        </w:rPr>
        <w:t>31</w:t>
      </w:r>
      <w:r w:rsidRPr="00256C1C">
        <w:rPr>
          <w:rFonts w:asciiTheme="minorEastAsia" w:eastAsiaTheme="minorEastAsia" w:hAnsiTheme="minorEastAsia" w:cs="宋体" w:hint="eastAsia"/>
          <w:sz w:val="24"/>
          <w:szCs w:val="24"/>
          <w:highlight w:val="white"/>
          <w:lang w:eastAsia="zh-CN"/>
        </w:rPr>
        <w:t>日；</w:t>
      </w:r>
      <w:r w:rsidRPr="00256C1C">
        <w:rPr>
          <w:rFonts w:asciiTheme="minorEastAsia" w:eastAsiaTheme="minorEastAsia" w:hAnsiTheme="minorEastAsia" w:cs="宋体"/>
          <w:bCs/>
          <w:sz w:val="24"/>
          <w:szCs w:val="24"/>
          <w:highlight w:val="white"/>
          <w:lang w:eastAsia="zh-CN"/>
        </w:rPr>
        <w:t>基金首次募集的会计年度按如下原则：如果《基金合同》生效少于2个月，可以并入下一个会计年度；</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、基金核算以人民币为记账本位币，以人民币元为记账单位；</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、会计制度执行国家有关会计制度；</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、本基金独立建账、独立核算；</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、基金管理人及基金托管人各自保留完整的会计账目、凭证并进行日常的会计核算，按照有关规定编制基金会计报表；</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w:t>
      </w:r>
      <w:r w:rsidRPr="00256C1C">
        <w:rPr>
          <w:rFonts w:asciiTheme="minorEastAsia" w:eastAsiaTheme="minorEastAsia" w:hAnsiTheme="minorEastAsia" w:cs="宋体" w:hint="eastAsia"/>
          <w:sz w:val="24"/>
          <w:szCs w:val="24"/>
          <w:highlight w:val="white"/>
          <w:lang w:eastAsia="zh-CN"/>
        </w:rPr>
        <w:t>、基金托管人每月与基金管理人就基金的会计核算、报表编制等进行核对确认。</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二、基金的年度审计</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、基金管理人聘请与基金管理人、基金托管人相互独立的符合《证券法》规定的会计师事务所及其注册会计师对本基金的年度财务报表进行审计。</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、会计师事务所更换经办注册会计师，应事先征得基金管理人同意。</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w:t>
      </w:r>
      <w:bookmarkStart w:id="398" w:name="_Hlt4221115"/>
      <w:bookmarkEnd w:id="398"/>
      <w:r w:rsidRPr="00256C1C">
        <w:rPr>
          <w:rFonts w:asciiTheme="minorEastAsia" w:eastAsiaTheme="minorEastAsia" w:hAnsiTheme="minorEastAsia" w:cs="宋体" w:hint="eastAsia"/>
          <w:sz w:val="24"/>
          <w:szCs w:val="24"/>
          <w:highlight w:val="white"/>
          <w:lang w:eastAsia="zh-CN"/>
        </w:rPr>
        <w:t>基金管理人认为有充足理由更换会计师事务所，须通报基金托管人。更换会计师事务所需在</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日内在规定媒介公告。</w:t>
      </w:r>
    </w:p>
    <w:p w:rsidR="00C57945" w:rsidRPr="00256C1C">
      <w:pPr>
        <w:pStyle w:val="Heading1"/>
        <w:spacing w:before="0" w:after="0"/>
        <w:jc w:val="center"/>
        <w:rPr>
          <w:rFonts w:asciiTheme="minorEastAsia" w:eastAsiaTheme="minorEastAsia" w:hAnsiTheme="minorEastAsia" w:cs="宋体"/>
          <w:color w:val="auto"/>
          <w:sz w:val="30"/>
        </w:rPr>
      </w:pPr>
      <w:r w:rsidRPr="00256C1C">
        <w:rPr>
          <w:rFonts w:asciiTheme="minorEastAsia" w:eastAsiaTheme="minorEastAsia" w:hAnsiTheme="minorEastAsia" w:cs="宋体"/>
          <w:b w:val="0"/>
          <w:color w:val="auto"/>
          <w:highlight w:val="white"/>
          <w:lang w:eastAsia="zh-CN"/>
        </w:rPr>
        <w:br w:type="page"/>
      </w:r>
      <w:bookmarkStart w:id="399" w:name="_Toc92662709"/>
      <w:bookmarkStart w:id="400" w:name="_Toc93226151"/>
      <w:bookmarkStart w:id="401" w:name="_Toc8512"/>
      <w:bookmarkStart w:id="402" w:name="_Toc3056"/>
      <w:bookmarkStart w:id="403" w:name="_Toc446339256"/>
      <w:bookmarkStart w:id="404" w:name="_Toc11049"/>
      <w:bookmarkStart w:id="405" w:name="_Toc11802"/>
      <w:bookmarkStart w:id="406" w:name="_Toc128310501"/>
      <w:bookmarkStart w:id="407" w:name="_Toc29289"/>
      <w:bookmarkStart w:id="408" w:name="_Toc31866"/>
      <w:bookmarkStart w:id="409" w:name="_Toc21351"/>
      <w:bookmarkStart w:id="410" w:name="_Toc193"/>
      <w:bookmarkStart w:id="411" w:name="_Toc1421"/>
      <w:bookmarkStart w:id="412" w:name="_Toc1173"/>
      <w:bookmarkStart w:id="413" w:name="_Toc141703898"/>
      <w:bookmarkStart w:id="414" w:name="_Toc139991748"/>
      <w:bookmarkStart w:id="415" w:name="_Toc12028"/>
      <w:bookmarkStart w:id="416" w:name="_Toc129511054"/>
      <w:r w:rsidRPr="00256C1C">
        <w:rPr>
          <w:rFonts w:asciiTheme="minorEastAsia" w:eastAsiaTheme="minorEastAsia" w:hAnsiTheme="minorEastAsia" w:cs="宋体" w:hint="eastAsia"/>
          <w:color w:val="auto"/>
          <w:sz w:val="30"/>
          <w:highlight w:val="white"/>
        </w:rPr>
        <w:t>第二十部分</w:t>
      </w:r>
      <w:r w:rsidRPr="00256C1C">
        <w:rPr>
          <w:rFonts w:asciiTheme="minorEastAsia" w:eastAsiaTheme="minorEastAsia" w:hAnsiTheme="minorEastAsia" w:cs="宋体"/>
          <w:sz w:val="30"/>
          <w:highlight w:val="white"/>
        </w:rPr>
        <w:t xml:space="preserve"> </w:t>
      </w:r>
      <w:r w:rsidRPr="00256C1C">
        <w:rPr>
          <w:rFonts w:asciiTheme="minorEastAsia" w:eastAsiaTheme="minorEastAsia" w:hAnsiTheme="minorEastAsia" w:cs="宋体" w:hint="eastAsia"/>
          <w:color w:val="auto"/>
          <w:sz w:val="30"/>
          <w:highlight w:val="white"/>
        </w:rPr>
        <w:t>基金</w:t>
      </w:r>
      <w:bookmarkEnd w:id="399"/>
      <w:bookmarkEnd w:id="400"/>
      <w:r w:rsidRPr="00256C1C">
        <w:rPr>
          <w:rFonts w:asciiTheme="minorEastAsia" w:eastAsiaTheme="minorEastAsia" w:hAnsiTheme="minorEastAsia" w:cs="宋体" w:hint="eastAsia"/>
          <w:color w:val="auto"/>
          <w:sz w:val="30"/>
          <w:highlight w:val="white"/>
        </w:rPr>
        <w:t>的信息披露</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rsidR="00C57945" w:rsidRPr="00256C1C">
      <w:pPr>
        <w:spacing w:line="360" w:lineRule="auto"/>
        <w:ind w:firstLine="480"/>
        <w:rPr>
          <w:rFonts w:asciiTheme="minorEastAsia" w:eastAsiaTheme="minorEastAsia" w:hAnsiTheme="minorEastAsia" w:cs="宋体"/>
          <w:sz w:val="24"/>
          <w:szCs w:val="24"/>
        </w:rPr>
      </w:pP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sz w:val="24"/>
          <w:szCs w:val="24"/>
          <w:highlight w:val="white"/>
          <w:lang w:eastAsia="zh-CN"/>
        </w:rPr>
        <w:t>一、本基金的信息披露应符合《基金法》《运作办法》《信息披露办法》《流动性风险管理规定》《基金合同》及其他有关规定。</w:t>
      </w:r>
      <w:r w:rsidRPr="00256C1C">
        <w:rPr>
          <w:rFonts w:asciiTheme="minorEastAsia" w:eastAsiaTheme="minorEastAsia" w:hAnsiTheme="minorEastAsia" w:cs="宋体" w:hint="eastAsia"/>
          <w:bCs/>
          <w:sz w:val="24"/>
          <w:szCs w:val="24"/>
          <w:highlight w:val="white"/>
          <w:lang w:eastAsia="zh-CN"/>
        </w:rPr>
        <w:t>相关法律法规关于信息披露的披露内容、披露方式、披露时间、登载媒介、报备方式等规定发生变化时，本基金从其最新规定。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二、信息披露义务人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本基金信息披露义务人包括基金管理人、基金托管人、召集基金份额持有人大会的基金份额持有人等法律、行政法规和中国证监会规定的自然人、法人和非法人组织。</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本基金信息披露义务人以保护基金份额持有人利益为根本出发点，按照法律法规和中国证监会的规定披露基金信息，并保证所披露信息的真实性、准确性、完整性、及时性、简明性和易得性。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本基金信息披露义务人应当在中国证监会规定时间内，将应予披露的基金信息通过规定媒介披露，并保证基金投资者能够按照《基金合同》约定的时间和方式查阅或者复制公开披露的信息资料。</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三、本基金信息披露义务人承诺公开披露的基金信息，不得有下列行为：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、虚假记载、误导性陈述或者重大遗漏；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、对证券投资业绩进行预测；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、违规承诺收益或者承担损失；</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、诋毁其他基金管理人、基金托管人或者基金销售机构；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、登载任何自然人、法人和非法人组织的祝贺性、恭维性或推荐性的文字；</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、中国证监会禁止的其他行为。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四、本基金公开披露的信息应采用中文文本。如同时采用外文文本的，基金信息披露义务人应保证不同文本的内容一致。不同文本之间发生歧义的，以中文文本为准。</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sz w:val="24"/>
          <w:szCs w:val="24"/>
          <w:highlight w:val="white"/>
          <w:lang w:eastAsia="zh-CN"/>
        </w:rPr>
        <w:t>本基金公开披露的信息采用阿拉伯数字；</w:t>
      </w:r>
      <w:r w:rsidRPr="00256C1C">
        <w:rPr>
          <w:rFonts w:asciiTheme="minorEastAsia" w:eastAsiaTheme="minorEastAsia" w:hAnsiTheme="minorEastAsia" w:cs="宋体"/>
          <w:bCs/>
          <w:sz w:val="24"/>
          <w:szCs w:val="24"/>
          <w:highlight w:val="white"/>
          <w:lang w:eastAsia="zh-CN"/>
        </w:rPr>
        <w:t>除特别说明外，货币单位为人民币元。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五、公开披露的基金信息</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公开披露的基金信息包括：</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（一）基金招募说明书、《基金合同》、基金托管协议、基金产品资料概要</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、《基金合同》是界定《基金合同》当事人的各项权利、义务关系，明确基金份额持有人大会召开的规则及具体程序，说明基金产品的特性等涉及基金投资者重大利益的事项的法律文件。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、基金托管协议是界定基金托管人和基金管理人在基金财产保管及基金运作监督等活动中的权利、义务关系的法律文件。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（二）基金份额发售公告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基金管理人应当就基金份额发售的具体事宜编制基金份额发售公告，并在披露招募说明书的当日登载于规定媒介上。</w:t>
      </w:r>
    </w:p>
    <w:p w:rsidR="00C57945" w:rsidRPr="00256C1C">
      <w:pPr>
        <w:spacing w:line="360" w:lineRule="auto"/>
        <w:ind w:firstLine="480"/>
        <w:rPr>
          <w:rFonts w:asciiTheme="minorEastAsia" w:eastAsiaTheme="minorEastAsia" w:hAnsiTheme="minorEastAsia" w:cs="宋体"/>
          <w:sz w:val="24"/>
          <w:szCs w:val="24"/>
        </w:rPr>
      </w:pPr>
      <w:r w:rsidRPr="00256C1C">
        <w:rPr>
          <w:rFonts w:asciiTheme="minorEastAsia" w:eastAsiaTheme="minorEastAsia" w:hAnsiTheme="minorEastAsia" w:cs="宋体" w:hint="eastAsia"/>
          <w:sz w:val="24"/>
          <w:szCs w:val="24"/>
          <w:highlight w:val="white"/>
        </w:rPr>
        <w:t>（三）《基金合同》生效公告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基金管理人应当在收到中国证监会确认文件的次日在规定媒介上登载《基金合同》生效公告。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（四）基金份额折算日公告、基金份额折算结果公告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基金管理人确定基金份额折算日，并提前将基金份额折算日公告登载于规定媒介上。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基金份额进行折算并由登记结算机构完成基金份额的变更登记后，基金管理人将基金份额折算结果公告登载于规定媒介上。</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（五）基金份额上市交易公告书</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基金份额获准在证券交易所上市交易的，基金管理人应当在基金份额上市交易的三个工作日前，将基金份额上市交易公告书登载在规定网站上，并将上市交易公告书提示性公告登载在规定报刊上</w:t>
      </w:r>
      <w:r w:rsidRPr="00256C1C">
        <w:rPr>
          <w:rFonts w:asciiTheme="minorEastAsia" w:eastAsiaTheme="minorEastAsia" w:hAnsiTheme="minorEastAsia" w:hint="eastAsia"/>
          <w:bCs/>
          <w:sz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（六）基金净值信息</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cs="宋体" w:hint="eastAsia"/>
          <w:sz w:val="24"/>
          <w:szCs w:val="24"/>
          <w:highlight w:val="white"/>
          <w:lang w:eastAsia="zh-CN"/>
        </w:rPr>
        <w:t>《基金合同》生效后，</w:t>
      </w:r>
      <w:r w:rsidRPr="00256C1C">
        <w:rPr>
          <w:rFonts w:asciiTheme="minorEastAsia" w:eastAsiaTheme="minorEastAsia" w:hAnsiTheme="minorEastAsia"/>
          <w:bCs/>
          <w:sz w:val="24"/>
          <w:highlight w:val="white"/>
          <w:lang w:eastAsia="zh-CN"/>
        </w:rPr>
        <w:t>在开始办理基金份额申购或者赎回前，基金管理人应当至少每周在规定网站披露一次基金份额净值和基金份额累计净值。</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在开始办理基金份额申购或者赎回后，基金管理人应当在不晚于每个开放日的次日，通过规定网站、基金销售机构网站或者营业网点披露开放日的基金份额净值和基金份额累计净值。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基金管理人应当在不晚于半年度和年度最后一日的次日，在</w:t>
      </w:r>
      <w:bookmarkStart w:id="417" w:name="_Hlk15161112"/>
      <w:r w:rsidRPr="00256C1C">
        <w:rPr>
          <w:rFonts w:asciiTheme="minorEastAsia" w:eastAsiaTheme="minorEastAsia" w:hAnsiTheme="minorEastAsia"/>
          <w:bCs/>
          <w:sz w:val="24"/>
          <w:highlight w:val="white"/>
          <w:lang w:eastAsia="zh-CN"/>
        </w:rPr>
        <w:t>规定网站披露</w:t>
      </w:r>
      <w:bookmarkEnd w:id="417"/>
      <w:r w:rsidRPr="00256C1C">
        <w:rPr>
          <w:rFonts w:asciiTheme="minorEastAsia" w:eastAsiaTheme="minorEastAsia" w:hAnsiTheme="minorEastAsia"/>
          <w:bCs/>
          <w:sz w:val="24"/>
          <w:highlight w:val="white"/>
          <w:lang w:eastAsia="zh-CN"/>
        </w:rPr>
        <w:t>半年度和年度最后一日的基金份额净值和基金份额累计净值</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w:t>
      </w:r>
      <w:r w:rsidRPr="00256C1C">
        <w:rPr>
          <w:rFonts w:asciiTheme="minorEastAsia" w:eastAsiaTheme="minorEastAsia" w:hAnsiTheme="minorEastAsia" w:hint="eastAsia"/>
          <w:bCs/>
          <w:sz w:val="24"/>
          <w:highlight w:val="white"/>
          <w:lang w:eastAsia="zh-CN"/>
        </w:rPr>
        <w:t>七</w:t>
      </w:r>
      <w:r w:rsidRPr="00256C1C">
        <w:rPr>
          <w:rFonts w:asciiTheme="minorEastAsia" w:eastAsiaTheme="minorEastAsia" w:hAnsiTheme="minorEastAsia"/>
          <w:bCs/>
          <w:sz w:val="24"/>
          <w:highlight w:val="white"/>
          <w:lang w:eastAsia="zh-CN"/>
        </w:rPr>
        <w:t>）基金份额申购、赎回</w:t>
      </w:r>
      <w:r w:rsidRPr="00256C1C">
        <w:rPr>
          <w:rFonts w:asciiTheme="minorEastAsia" w:eastAsiaTheme="minorEastAsia" w:hAnsiTheme="minorEastAsia" w:hint="eastAsia"/>
          <w:bCs/>
          <w:sz w:val="24"/>
          <w:highlight w:val="white"/>
          <w:lang w:eastAsia="zh-CN"/>
        </w:rPr>
        <w:t>对价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基金管理人应当在《基金合同》、招募说明书等信息披露文件上载明基金份额申购、赎回</w:t>
      </w:r>
      <w:r w:rsidRPr="00256C1C">
        <w:rPr>
          <w:rFonts w:asciiTheme="minorEastAsia" w:eastAsiaTheme="minorEastAsia" w:hAnsiTheme="minorEastAsia" w:hint="eastAsia"/>
          <w:bCs/>
          <w:sz w:val="24"/>
          <w:highlight w:val="white"/>
          <w:lang w:eastAsia="zh-CN"/>
        </w:rPr>
        <w:t>对价</w:t>
      </w:r>
      <w:r w:rsidRPr="00256C1C">
        <w:rPr>
          <w:rFonts w:asciiTheme="minorEastAsia" w:eastAsiaTheme="minorEastAsia" w:hAnsiTheme="minorEastAsia"/>
          <w:bCs/>
          <w:sz w:val="24"/>
          <w:highlight w:val="white"/>
          <w:lang w:eastAsia="zh-CN"/>
        </w:rPr>
        <w:t>的计算方式及有关申购、赎回费率，并保证投资者能够在基金销售机构网站或营业网点查阅或者复制前述信息资料。</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hint="eastAsia"/>
          <w:bCs/>
          <w:sz w:val="24"/>
          <w:highlight w:val="white"/>
          <w:lang w:eastAsia="zh-CN"/>
        </w:rPr>
        <w:t>（八）基金份额申购赎回清单</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hint="eastAsia"/>
          <w:bCs/>
          <w:sz w:val="24"/>
          <w:highlight w:val="white"/>
          <w:lang w:eastAsia="zh-CN"/>
        </w:rPr>
        <w:t>在开始办理基金申购或者赎回之后，基金管理人应当在每个开放日，通过基金公司网站公告当日的申购赎回清单。</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（九）基金定期报告，包括基金年度报告、基金中期报告和基金季度报告</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基金管理人应当在每年结束之日起三个月内，编制完成基金年度报告，将年度报告登载在规定网站上，并将年度报告提示性公告登载在规定报刊上。基金年度报告中的财务会计报告应当经过符合《证券法》规定的会计师事务所审计。</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基金管理人应当在上半年结束之日起两个月内，编制完成基金中期报告，将中期报告登载在规定网站上，并将中期报告提示性公告登载在规定报刊上。</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基金管理人应当在季度结束之日起</w:t>
      </w:r>
      <w:r w:rsidRPr="00256C1C">
        <w:rPr>
          <w:rFonts w:asciiTheme="minorEastAsia" w:eastAsiaTheme="minorEastAsia" w:hAnsiTheme="minorEastAsia" w:cs="宋体"/>
          <w:bCs/>
          <w:sz w:val="24"/>
          <w:szCs w:val="24"/>
          <w:highlight w:val="white"/>
          <w:lang w:eastAsia="zh-CN"/>
        </w:rPr>
        <w:t>15</w:t>
      </w:r>
      <w:r w:rsidRPr="00256C1C">
        <w:rPr>
          <w:rFonts w:asciiTheme="minorEastAsia" w:eastAsiaTheme="minorEastAsia" w:hAnsiTheme="minorEastAsia" w:cs="宋体" w:hint="eastAsia"/>
          <w:bCs/>
          <w:sz w:val="24"/>
          <w:szCs w:val="24"/>
          <w:highlight w:val="white"/>
          <w:lang w:eastAsia="zh-CN"/>
        </w:rPr>
        <w:t>个工作日内，编制完成基金季度报告，将季度报告登载在规定网站上，并将季度报告提示性公告登载在规定报刊上。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《基金合同》生效不足</w:t>
      </w:r>
      <w:r w:rsidRPr="00256C1C">
        <w:rPr>
          <w:rFonts w:asciiTheme="minorEastAsia" w:eastAsiaTheme="minorEastAsia" w:hAnsiTheme="minorEastAsia" w:cs="宋体"/>
          <w:bCs/>
          <w:sz w:val="24"/>
          <w:szCs w:val="24"/>
          <w:highlight w:val="white"/>
          <w:lang w:eastAsia="zh-CN"/>
        </w:rPr>
        <w:t>2</w:t>
      </w:r>
      <w:r w:rsidRPr="00256C1C">
        <w:rPr>
          <w:rFonts w:asciiTheme="minorEastAsia" w:eastAsiaTheme="minorEastAsia" w:hAnsiTheme="minorEastAsia" w:cs="宋体" w:hint="eastAsia"/>
          <w:bCs/>
          <w:sz w:val="24"/>
          <w:szCs w:val="24"/>
          <w:highlight w:val="white"/>
          <w:lang w:eastAsia="zh-CN"/>
        </w:rPr>
        <w:t>个月的，基金管理人可以不编制当期季度报告、中期报告或者年度报告。</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bCs/>
          <w:sz w:val="24"/>
          <w:szCs w:val="24"/>
          <w:highlight w:val="white"/>
          <w:lang w:eastAsia="zh-CN"/>
        </w:rPr>
        <w:t>如报告期内出现单一投资者持有基金份额达到或超过基金总份额20%的情形，为保障其他投资者的权益，基金管理人至少应当在定期报告</w:t>
      </w: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bCs/>
          <w:sz w:val="24"/>
          <w:szCs w:val="24"/>
          <w:highlight w:val="white"/>
          <w:lang w:eastAsia="zh-CN"/>
        </w:rPr>
        <w:t>影响投资者决策的其他重要信息</w:t>
      </w:r>
      <w:r w:rsidRPr="00256C1C">
        <w:rPr>
          <w:rFonts w:asciiTheme="minorEastAsia" w:eastAsiaTheme="minorEastAsia" w:hAnsiTheme="minorEastAsia" w:cs="宋体" w:hint="eastAsia"/>
          <w:bCs/>
          <w:sz w:val="24"/>
          <w:szCs w:val="24"/>
          <w:highlight w:val="white"/>
          <w:lang w:eastAsia="zh-CN"/>
        </w:rPr>
        <w:t>”</w:t>
      </w:r>
      <w:r w:rsidRPr="00256C1C">
        <w:rPr>
          <w:rFonts w:asciiTheme="minorEastAsia" w:eastAsiaTheme="minorEastAsia" w:hAnsiTheme="minorEastAsia" w:cs="宋体"/>
          <w:bCs/>
          <w:sz w:val="24"/>
          <w:szCs w:val="24"/>
          <w:highlight w:val="white"/>
          <w:lang w:eastAsia="zh-CN"/>
        </w:rPr>
        <w:t>项下披露该投资者的类别、报告期末持有份额及占比、报告期内持有份额变化情况及本基金的特有风险，中国证监会认定的特殊情形除外。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基金管理人应当在基金年度报告和</w:t>
      </w:r>
      <w:r w:rsidRPr="00256C1C">
        <w:rPr>
          <w:rFonts w:asciiTheme="minorEastAsia" w:eastAsiaTheme="minorEastAsia" w:hAnsiTheme="minorEastAsia" w:cs="宋体" w:hint="eastAsia"/>
          <w:bCs/>
          <w:sz w:val="24"/>
          <w:szCs w:val="24"/>
          <w:highlight w:val="white"/>
          <w:lang w:eastAsia="zh-CN"/>
        </w:rPr>
        <w:t>中期</w:t>
      </w:r>
      <w:r w:rsidRPr="00256C1C">
        <w:rPr>
          <w:rFonts w:asciiTheme="minorEastAsia" w:eastAsiaTheme="minorEastAsia" w:hAnsiTheme="minorEastAsia" w:cs="宋体"/>
          <w:bCs/>
          <w:sz w:val="24"/>
          <w:szCs w:val="24"/>
          <w:highlight w:val="white"/>
          <w:lang w:eastAsia="zh-CN"/>
        </w:rPr>
        <w:t>报告中披露基金组合资产情况及其流动性风险分析等。</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（十）临时报告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本基金发生重大事件，有关信息披露义务人应当在2日内编制临时报告书，并登载在规定报刊和规定网站上。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前款所称重大事件，是指可能对基金份额持有人权益或者基金份额的价格产生重大影响的下列事件：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、基金份额持有人大会的召开及决定的事项；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、基金合同终止、基金清算；</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、转换基金运作方式、基金合并；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、更换基金管理人、基金托管人、基金份额登记结算机构，基金改聘会计师事务所；</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、基金管理人委托基金服务机构代为办理基金的份额登记、核算、估值等事项，基金托管人委托基金服务机构代为办理基金的核算、估值、复核等事项；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、基金管理人、基金托管人的法定名称、住所发生变更；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w:t>
      </w:r>
      <w:r w:rsidRPr="00256C1C">
        <w:rPr>
          <w:rFonts w:asciiTheme="minorEastAsia" w:eastAsiaTheme="minorEastAsia" w:hAnsiTheme="minorEastAsia" w:cs="宋体" w:hint="eastAsia"/>
          <w:sz w:val="24"/>
          <w:szCs w:val="24"/>
          <w:highlight w:val="white"/>
          <w:lang w:eastAsia="zh-CN"/>
        </w:rPr>
        <w:t>、基金管理公司变更持有百分之五以上股权的股东、基金管理人的实际控制人变更；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w:t>
      </w:r>
      <w:r w:rsidRPr="00256C1C">
        <w:rPr>
          <w:rFonts w:asciiTheme="minorEastAsia" w:eastAsiaTheme="minorEastAsia" w:hAnsiTheme="minorEastAsia" w:cs="宋体" w:hint="eastAsia"/>
          <w:sz w:val="24"/>
          <w:szCs w:val="24"/>
          <w:highlight w:val="white"/>
          <w:lang w:eastAsia="zh-CN"/>
        </w:rPr>
        <w:t>、基金募集期延长或提前结束募集；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9</w:t>
      </w:r>
      <w:r w:rsidRPr="00256C1C">
        <w:rPr>
          <w:rFonts w:asciiTheme="minorEastAsia" w:eastAsiaTheme="minorEastAsia" w:hAnsiTheme="minorEastAsia" w:cs="宋体" w:hint="eastAsia"/>
          <w:sz w:val="24"/>
          <w:szCs w:val="24"/>
          <w:highlight w:val="white"/>
          <w:lang w:eastAsia="zh-CN"/>
        </w:rPr>
        <w:t>、基金管理人的高级管理人员、基金经理和基金托管人专门基金托管部门负责人发生变动；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10</w:t>
      </w:r>
      <w:r w:rsidRPr="00256C1C">
        <w:rPr>
          <w:rFonts w:asciiTheme="minorEastAsia" w:eastAsiaTheme="minorEastAsia" w:hAnsiTheme="minorEastAsia" w:cs="宋体" w:hint="eastAsia"/>
          <w:sz w:val="24"/>
          <w:szCs w:val="24"/>
          <w:highlight w:val="white"/>
          <w:lang w:eastAsia="zh-CN"/>
        </w:rPr>
        <w:t>、基金管理人的董事在最近</w:t>
      </w:r>
      <w:r w:rsidRPr="00256C1C">
        <w:rPr>
          <w:rFonts w:asciiTheme="minorEastAsia" w:eastAsiaTheme="minorEastAsia" w:hAnsiTheme="minorEastAsia" w:cs="宋体"/>
          <w:sz w:val="24"/>
          <w:szCs w:val="24"/>
          <w:highlight w:val="white"/>
          <w:lang w:eastAsia="zh-CN"/>
        </w:rPr>
        <w:t>12</w:t>
      </w:r>
      <w:r w:rsidRPr="00256C1C">
        <w:rPr>
          <w:rFonts w:asciiTheme="minorEastAsia" w:eastAsiaTheme="minorEastAsia" w:hAnsiTheme="minorEastAsia" w:cs="宋体" w:hint="eastAsia"/>
          <w:sz w:val="24"/>
          <w:szCs w:val="24"/>
          <w:highlight w:val="white"/>
          <w:lang w:eastAsia="zh-CN"/>
        </w:rPr>
        <w:t>个月内变更超过百分之五十，基金管理人、基金托管人专门基金托管部门的主要业务人员在最近</w:t>
      </w:r>
      <w:r w:rsidRPr="00256C1C">
        <w:rPr>
          <w:rFonts w:asciiTheme="minorEastAsia" w:eastAsiaTheme="minorEastAsia" w:hAnsiTheme="minorEastAsia" w:cs="宋体"/>
          <w:sz w:val="24"/>
          <w:szCs w:val="24"/>
          <w:highlight w:val="white"/>
          <w:lang w:eastAsia="zh-CN"/>
        </w:rPr>
        <w:t>12</w:t>
      </w:r>
      <w:r w:rsidRPr="00256C1C">
        <w:rPr>
          <w:rFonts w:asciiTheme="minorEastAsia" w:eastAsiaTheme="minorEastAsia" w:hAnsiTheme="minorEastAsia" w:cs="宋体" w:hint="eastAsia"/>
          <w:sz w:val="24"/>
          <w:szCs w:val="24"/>
          <w:highlight w:val="white"/>
          <w:lang w:eastAsia="zh-CN"/>
        </w:rPr>
        <w:t>个月内变动超过百分之三十；</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11</w:t>
      </w:r>
      <w:r w:rsidRPr="00256C1C">
        <w:rPr>
          <w:rFonts w:asciiTheme="minorEastAsia" w:eastAsiaTheme="minorEastAsia" w:hAnsiTheme="minorEastAsia" w:cs="宋体" w:hint="eastAsia"/>
          <w:sz w:val="24"/>
          <w:szCs w:val="24"/>
          <w:highlight w:val="white"/>
          <w:lang w:eastAsia="zh-CN"/>
        </w:rPr>
        <w:t>、涉及基金财产、基金管理业务、基金托管业务的诉讼或仲裁；</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12</w:t>
      </w:r>
      <w:r w:rsidRPr="00256C1C">
        <w:rPr>
          <w:rFonts w:asciiTheme="minorEastAsia" w:eastAsiaTheme="minorEastAsia" w:hAnsiTheme="minorEastAsia" w:cs="宋体" w:hint="eastAsia"/>
          <w:sz w:val="24"/>
          <w:szCs w:val="24"/>
          <w:highlight w:val="white"/>
          <w:lang w:eastAsia="zh-CN"/>
        </w:rPr>
        <w:t>、基金管理人或其高级管理人员、基金经理因基金管理业务相关行为受到重大行政处罚、刑事处罚，基金托管人或其专门基金托管部门负责人因基金托管业务相关行为受到重大行政处罚、刑事处罚；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13</w:t>
      </w:r>
      <w:r w:rsidRPr="00256C1C">
        <w:rPr>
          <w:rFonts w:asciiTheme="minorEastAsia" w:eastAsiaTheme="minorEastAsia" w:hAnsiTheme="minorEastAsia" w:cs="宋体" w:hint="eastAsia"/>
          <w:sz w:val="24"/>
          <w:szCs w:val="24"/>
          <w:highlight w:val="white"/>
          <w:lang w:eastAsia="zh-CN"/>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14</w:t>
      </w:r>
      <w:r w:rsidRPr="00256C1C">
        <w:rPr>
          <w:rFonts w:asciiTheme="minorEastAsia" w:eastAsiaTheme="minorEastAsia" w:hAnsiTheme="minorEastAsia" w:cs="宋体" w:hint="eastAsia"/>
          <w:sz w:val="24"/>
          <w:szCs w:val="24"/>
          <w:highlight w:val="white"/>
          <w:lang w:eastAsia="zh-CN"/>
        </w:rPr>
        <w:t>、基金收益分配事项；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15</w:t>
      </w:r>
      <w:r w:rsidRPr="00256C1C">
        <w:rPr>
          <w:rFonts w:asciiTheme="minorEastAsia" w:eastAsiaTheme="minorEastAsia" w:hAnsiTheme="minorEastAsia" w:cs="宋体" w:hint="eastAsia"/>
          <w:sz w:val="24"/>
          <w:szCs w:val="24"/>
          <w:highlight w:val="white"/>
          <w:lang w:eastAsia="zh-CN"/>
        </w:rPr>
        <w:t>、管理费、托管费、申购费、赎回费等费用计提标准、计提方式和费率发生变更；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16</w:t>
      </w:r>
      <w:r w:rsidRPr="00256C1C">
        <w:rPr>
          <w:rFonts w:asciiTheme="minorEastAsia" w:eastAsiaTheme="minorEastAsia" w:hAnsiTheme="minorEastAsia" w:cs="宋体" w:hint="eastAsia"/>
          <w:sz w:val="24"/>
          <w:szCs w:val="24"/>
          <w:highlight w:val="white"/>
          <w:lang w:eastAsia="zh-CN"/>
        </w:rPr>
        <w:t>、基金份额净值计价错误达基金份额净值百分之零点五；</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17、本基金开始办理申购、赎回；</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18、本基金暂停接受申购、赎回申请或重新接受申购、赎回申请；</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19、</w:t>
      </w:r>
      <w:r w:rsidRPr="00256C1C">
        <w:rPr>
          <w:rFonts w:asciiTheme="minorEastAsia" w:eastAsiaTheme="minorEastAsia" w:hAnsiTheme="minorEastAsia"/>
          <w:sz w:val="24"/>
          <w:highlight w:val="white"/>
          <w:lang w:eastAsia="zh-CN"/>
        </w:rPr>
        <w:t>基金份额停牌、复牌、暂停上市、恢复上市或终止上市交易</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20、</w:t>
      </w:r>
      <w:r w:rsidRPr="00256C1C">
        <w:rPr>
          <w:rFonts w:asciiTheme="minorEastAsia" w:eastAsiaTheme="minorEastAsia" w:hAnsiTheme="minorEastAsia"/>
          <w:sz w:val="24"/>
          <w:highlight w:val="white"/>
          <w:lang w:eastAsia="zh-CN"/>
        </w:rPr>
        <w:t>调整最小申购赎回单位、申购赎回方式及申购对价、赎回对价组成</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21、</w:t>
      </w:r>
      <w:r w:rsidRPr="00256C1C">
        <w:rPr>
          <w:rFonts w:asciiTheme="minorEastAsia" w:eastAsiaTheme="minorEastAsia" w:hAnsiTheme="minorEastAsia"/>
          <w:sz w:val="24"/>
          <w:highlight w:val="white"/>
          <w:lang w:eastAsia="zh-CN"/>
        </w:rPr>
        <w:t>调整基金份额类别的设置</w:t>
      </w:r>
      <w:r w:rsidRPr="00256C1C">
        <w:rPr>
          <w:rFonts w:asciiTheme="minorEastAsia" w:eastAsiaTheme="minorEastAsia" w:hAnsiTheme="minorEastAsia"/>
          <w:bCs/>
          <w:sz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22、基金推出新业务或服务；</w:t>
      </w:r>
    </w:p>
    <w:p w:rsidR="00C57945" w:rsidRPr="00256C1C">
      <w:pPr>
        <w:spacing w:line="360" w:lineRule="auto"/>
        <w:ind w:firstLine="480"/>
        <w:rPr>
          <w:rFonts w:asciiTheme="minorEastAsia" w:eastAsiaTheme="minorEastAsia" w:hAnsiTheme="minorEastAsia" w:cs="宋体"/>
          <w:color w:val="000000"/>
          <w:sz w:val="24"/>
          <w:szCs w:val="24"/>
          <w:lang w:eastAsia="zh-CN"/>
        </w:rPr>
      </w:pPr>
      <w:r w:rsidRPr="00256C1C">
        <w:rPr>
          <w:rFonts w:asciiTheme="minorEastAsia" w:eastAsiaTheme="minorEastAsia" w:hAnsiTheme="minorEastAsia" w:cs="宋体"/>
          <w:color w:val="000000"/>
          <w:sz w:val="24"/>
          <w:szCs w:val="24"/>
          <w:highlight w:val="white"/>
          <w:lang w:eastAsia="zh-CN"/>
        </w:rPr>
        <w:t>23、</w:t>
      </w:r>
      <w:r w:rsidRPr="00256C1C">
        <w:rPr>
          <w:rFonts w:asciiTheme="minorEastAsia" w:eastAsiaTheme="minorEastAsia" w:hAnsiTheme="minorEastAsia" w:cs="宋体" w:hint="eastAsia"/>
          <w:sz w:val="24"/>
          <w:szCs w:val="24"/>
          <w:highlight w:val="white"/>
          <w:lang w:eastAsia="zh-CN"/>
        </w:rPr>
        <w:t>基金信息披露义务人认为可能对基金份额持有人权益或者基金份额的价格产生重大影响的其他事项或中国证监会规定的其他事项。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十一</w:t>
      </w:r>
      <w:r w:rsidRPr="00256C1C">
        <w:rPr>
          <w:rFonts w:asciiTheme="minorEastAsia" w:eastAsiaTheme="minorEastAsia" w:hAnsiTheme="minorEastAsia" w:cs="宋体" w:hint="eastAsia"/>
          <w:sz w:val="24"/>
          <w:szCs w:val="24"/>
          <w:highlight w:val="white"/>
          <w:lang w:eastAsia="zh-CN"/>
        </w:rPr>
        <w:t>）澄清公告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w:t>
      </w:r>
      <w:r w:rsidRPr="00256C1C">
        <w:rPr>
          <w:rFonts w:asciiTheme="minorEastAsia" w:eastAsiaTheme="minorEastAsia" w:hAnsiTheme="minorEastAsia"/>
          <w:bCs/>
          <w:sz w:val="24"/>
          <w:highlight w:val="white"/>
          <w:lang w:eastAsia="zh-CN"/>
        </w:rPr>
        <w:t>，并将有关情况立即报告基金上市交易的证券交易所</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（十二）清算报告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基金合同终止的，基金管理人应当依法组织基金财产清算小组对基金财产进行清算并作出清算报告。基金财产清算小组应当将清算报告登载在规定网站上，并将清算报告提示性公告登载在规定报刊上。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（十三）基金份额持有人大会决议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基金份额持有人大会决定的事项，应当依法报中国证监会备案，并予以公告。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（十四）中国证监会规定的其他信息</w:t>
      </w:r>
    </w:p>
    <w:p w:rsidR="00C57945" w:rsidRPr="00256C1C">
      <w:pPr>
        <w:spacing w:line="360" w:lineRule="auto"/>
        <w:ind w:firstLine="480"/>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hint="eastAsia"/>
          <w:bCs/>
          <w:sz w:val="24"/>
          <w:szCs w:val="24"/>
          <w:highlight w:val="white"/>
          <w:lang w:eastAsia="zh-CN"/>
        </w:rPr>
        <w:t>若本基金投资股指期货、国债期货、资产支持证券、股票期权，参与融资</w:t>
      </w:r>
      <w:r w:rsidRPr="00256C1C">
        <w:rPr>
          <w:rFonts w:asciiTheme="minorEastAsia" w:eastAsiaTheme="minorEastAsia" w:hAnsiTheme="minorEastAsia" w:cs="宋体"/>
          <w:bCs/>
          <w:sz w:val="24"/>
          <w:szCs w:val="24"/>
          <w:highlight w:val="white"/>
          <w:lang w:eastAsia="zh-CN"/>
        </w:rPr>
        <w:t>及转融通证券出借业务，基金管理人将按相关法律法规要求进行披露。</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当相关法律法规关于上述信息披露的规定发生变化时，基金管理人将按最新规定进行信息披露。</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六、信息披露事务管理</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基金管理人、基金托管人应当建立健全信息披露管理制度，指定专门部门及高级管理人员负责管理信息披露事务。</w:t>
      </w:r>
    </w:p>
    <w:p w:rsidR="00C57945" w:rsidRPr="00256C1C">
      <w:pPr>
        <w:spacing w:line="360" w:lineRule="auto"/>
        <w:ind w:firstLine="480" w:firstLineChars="200"/>
        <w:rPr>
          <w:rFonts w:asciiTheme="minorEastAsia" w:eastAsiaTheme="minorEastAsia" w:hAnsiTheme="minorEastAsia"/>
          <w:bCs/>
          <w:sz w:val="24"/>
          <w:lang w:eastAsia="zh-CN"/>
        </w:rPr>
      </w:pPr>
      <w:bookmarkStart w:id="418" w:name="_Hlk21526926"/>
      <w:r w:rsidRPr="00256C1C">
        <w:rPr>
          <w:rFonts w:asciiTheme="minorEastAsia" w:eastAsiaTheme="minorEastAsia" w:hAnsiTheme="minorEastAsia"/>
          <w:bCs/>
          <w:sz w:val="24"/>
          <w:highlight w:val="white"/>
          <w:lang w:eastAsia="zh-CN"/>
        </w:rPr>
        <w:t>基金信息披露义务人公开披露基金信息，应当符合中国证监会相关基金信息披露内容与格式准则</w:t>
      </w:r>
      <w:r w:rsidRPr="00256C1C">
        <w:rPr>
          <w:rFonts w:asciiTheme="minorEastAsia" w:eastAsiaTheme="minorEastAsia" w:hAnsiTheme="minorEastAsia" w:hint="eastAsia"/>
          <w:bCs/>
          <w:sz w:val="24"/>
          <w:highlight w:val="white"/>
          <w:lang w:eastAsia="zh-CN"/>
        </w:rPr>
        <w:t>等法规</w:t>
      </w:r>
      <w:r w:rsidRPr="00256C1C">
        <w:rPr>
          <w:rFonts w:asciiTheme="minorEastAsia" w:eastAsiaTheme="minorEastAsia" w:hAnsiTheme="minorEastAsia"/>
          <w:bCs/>
          <w:sz w:val="24"/>
          <w:highlight w:val="white"/>
          <w:lang w:eastAsia="zh-CN"/>
        </w:rPr>
        <w:t>的规定。</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基金托管人应当按照相关法律法规、中国证监会的规定和《基金合同》的约定，对基金管理人编制的基金资产净值、基金份额净值、基金定期报告</w:t>
      </w:r>
      <w:r w:rsidRPr="00256C1C">
        <w:rPr>
          <w:rFonts w:asciiTheme="minorEastAsia" w:eastAsiaTheme="minorEastAsia" w:hAnsiTheme="minorEastAsia" w:hint="eastAsia"/>
          <w:bCs/>
          <w:sz w:val="24"/>
          <w:highlight w:val="white"/>
          <w:lang w:eastAsia="zh-CN"/>
        </w:rPr>
        <w:t>、</w:t>
      </w:r>
      <w:r w:rsidRPr="00256C1C">
        <w:rPr>
          <w:rFonts w:asciiTheme="minorEastAsia" w:eastAsiaTheme="minorEastAsia" w:hAnsiTheme="minorEastAsia"/>
          <w:bCs/>
          <w:sz w:val="24"/>
          <w:highlight w:val="white"/>
          <w:lang w:eastAsia="zh-CN"/>
        </w:rPr>
        <w:t>更新的招募说明书、</w:t>
      </w:r>
      <w:r w:rsidRPr="00256C1C">
        <w:rPr>
          <w:rFonts w:asciiTheme="minorEastAsia" w:eastAsiaTheme="minorEastAsia" w:hAnsiTheme="minorEastAsia"/>
          <w:sz w:val="24"/>
          <w:highlight w:val="white"/>
          <w:lang w:eastAsia="zh-CN"/>
        </w:rPr>
        <w:t>基金产品资料概要、</w:t>
      </w:r>
      <w:r w:rsidRPr="00256C1C">
        <w:rPr>
          <w:rFonts w:asciiTheme="minorEastAsia" w:eastAsiaTheme="minorEastAsia" w:hAnsiTheme="minorEastAsia"/>
          <w:bCs/>
          <w:sz w:val="24"/>
          <w:highlight w:val="white"/>
          <w:lang w:eastAsia="zh-CN"/>
        </w:rPr>
        <w:t>基金清算报告等公开披露的相关基金信息进行复核、审查，并向基金管理人进行书面或电子确认。</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基金管理人、基金托管人应当在规定报刊中选择一家报刊披露本基金信息。基金管理人、基金托管人应当向中国证监会基金电子披露网站报送拟披露的基金信息，并保证相关报送信息的真实、准确、完整、及时。</w:t>
      </w:r>
    </w:p>
    <w:p w:rsidR="00C57945" w:rsidRPr="00256C1C">
      <w:pPr>
        <w:spacing w:line="360" w:lineRule="auto"/>
        <w:ind w:firstLine="480" w:firstLineChars="200"/>
        <w:rPr>
          <w:rFonts w:asciiTheme="minorEastAsia" w:eastAsiaTheme="minorEastAsia" w:hAnsiTheme="minorEastAsia"/>
          <w:bCs/>
          <w:sz w:val="24"/>
          <w:lang w:eastAsia="zh-CN"/>
        </w:rPr>
      </w:pPr>
      <w:r w:rsidRPr="00256C1C">
        <w:rPr>
          <w:rFonts w:asciiTheme="minorEastAsia" w:eastAsiaTheme="minorEastAsia" w:hAnsiTheme="minorEastAsia"/>
          <w:bCs/>
          <w:sz w:val="24"/>
          <w:highlight w:val="white"/>
          <w:lang w:eastAsia="zh-CN"/>
        </w:rPr>
        <w:t>基金管理人、基金托管人除依法在规定媒介上披露信息外，还可以根据需要在其他公共</w:t>
      </w:r>
      <w:r w:rsidRPr="00256C1C">
        <w:rPr>
          <w:rFonts w:asciiTheme="minorEastAsia" w:eastAsiaTheme="minorEastAsia" w:hAnsiTheme="minorEastAsia" w:hint="eastAsia"/>
          <w:bCs/>
          <w:sz w:val="24"/>
          <w:highlight w:val="white"/>
          <w:lang w:eastAsia="zh-CN"/>
        </w:rPr>
        <w:t>媒介</w:t>
      </w:r>
      <w:r w:rsidRPr="00256C1C">
        <w:rPr>
          <w:rFonts w:asciiTheme="minorEastAsia" w:eastAsiaTheme="minorEastAsia" w:hAnsiTheme="minorEastAsia"/>
          <w:bCs/>
          <w:sz w:val="24"/>
          <w:highlight w:val="white"/>
          <w:lang w:eastAsia="zh-CN"/>
        </w:rPr>
        <w:t>披露信息，但是其他公共</w:t>
      </w:r>
      <w:r w:rsidRPr="00256C1C">
        <w:rPr>
          <w:rFonts w:asciiTheme="minorEastAsia" w:eastAsiaTheme="minorEastAsia" w:hAnsiTheme="minorEastAsia" w:hint="eastAsia"/>
          <w:bCs/>
          <w:sz w:val="24"/>
          <w:highlight w:val="white"/>
          <w:lang w:eastAsia="zh-CN"/>
        </w:rPr>
        <w:t>媒介</w:t>
      </w:r>
      <w:r w:rsidRPr="00256C1C">
        <w:rPr>
          <w:rFonts w:asciiTheme="minorEastAsia" w:eastAsiaTheme="minorEastAsia" w:hAnsiTheme="minorEastAsia"/>
          <w:bCs/>
          <w:sz w:val="24"/>
          <w:highlight w:val="white"/>
          <w:lang w:eastAsia="zh-CN"/>
        </w:rPr>
        <w:t>不得早于规定媒介披露信息，并且在不同媒介上披露同一信息的内容应当一致。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bCs/>
          <w:sz w:val="24"/>
          <w:highlight w:val="white"/>
          <w:lang w:eastAsia="zh-CN"/>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bookmarkEnd w:id="418"/>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七、信息披露文件的存放与查阅</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依法必须披露的信息发布后，基金管理人、基金托管人应当按照相关法律法规规定将信息置备于公司办公场所</w:t>
      </w:r>
      <w:r w:rsidRPr="00256C1C">
        <w:rPr>
          <w:rFonts w:asciiTheme="minorEastAsia" w:eastAsiaTheme="minorEastAsia" w:hAnsiTheme="minorEastAsia"/>
          <w:bCs/>
          <w:sz w:val="24"/>
          <w:highlight w:val="white"/>
          <w:lang w:eastAsia="zh-CN"/>
        </w:rPr>
        <w:t>、基金上市交易的证券交易所</w:t>
      </w:r>
      <w:r w:rsidRPr="00256C1C">
        <w:rPr>
          <w:rFonts w:asciiTheme="minorEastAsia" w:eastAsiaTheme="minorEastAsia" w:hAnsiTheme="minorEastAsia" w:cs="宋体" w:hint="eastAsia"/>
          <w:sz w:val="24"/>
          <w:szCs w:val="24"/>
          <w:highlight w:val="white"/>
          <w:lang w:eastAsia="zh-CN"/>
        </w:rPr>
        <w:t>，供社会公众查阅、复制。</w:t>
      </w: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bCs/>
          <w:color w:val="auto"/>
          <w:sz w:val="21"/>
          <w:highlight w:val="white"/>
          <w:lang w:eastAsia="zh-CN"/>
        </w:rPr>
        <w:br w:type="page"/>
      </w:r>
      <w:bookmarkStart w:id="419" w:name="_Toc123051465"/>
      <w:bookmarkStart w:id="420" w:name="_Toc22978"/>
      <w:bookmarkStart w:id="421" w:name="_Toc7170"/>
      <w:bookmarkStart w:id="422" w:name="_Toc8049"/>
      <w:bookmarkStart w:id="423" w:name="_Toc27464"/>
      <w:bookmarkStart w:id="424" w:name="_Toc10006"/>
      <w:bookmarkStart w:id="425" w:name="_Toc8059"/>
      <w:bookmarkStart w:id="426" w:name="_Toc29891"/>
      <w:bookmarkStart w:id="427" w:name="_Toc123102466"/>
      <w:bookmarkStart w:id="428" w:name="_Toc6237"/>
      <w:bookmarkStart w:id="429" w:name="_Toc9005"/>
      <w:bookmarkStart w:id="430" w:name="_Toc141703899"/>
      <w:bookmarkStart w:id="431" w:name="_Toc139991749"/>
      <w:bookmarkStart w:id="432" w:name="_Toc123112247"/>
      <w:bookmarkStart w:id="433" w:name="_Toc11113"/>
      <w:bookmarkStart w:id="434" w:name="_Toc446339257"/>
      <w:bookmarkStart w:id="435" w:name="_Toc98560364"/>
      <w:bookmarkStart w:id="436" w:name="_Toc25647"/>
      <w:bookmarkStart w:id="437" w:name="_Toc129511055"/>
      <w:r w:rsidRPr="00256C1C">
        <w:rPr>
          <w:rFonts w:asciiTheme="minorEastAsia" w:eastAsiaTheme="minorEastAsia" w:hAnsiTheme="minorEastAsia" w:cs="宋体" w:hint="eastAsia"/>
          <w:color w:val="auto"/>
          <w:sz w:val="30"/>
          <w:highlight w:val="white"/>
          <w:lang w:eastAsia="zh-CN"/>
        </w:rPr>
        <w:t>第二十一部分</w:t>
      </w:r>
      <w:bookmarkStart w:id="438" w:name="_Hlt88828593"/>
      <w:r w:rsidRPr="00256C1C">
        <w:rPr>
          <w:rFonts w:asciiTheme="minorEastAsia" w:eastAsiaTheme="minorEastAsia" w:hAnsiTheme="minorEastAsia" w:cs="宋体" w:hint="eastAsia"/>
          <w:color w:val="auto"/>
          <w:sz w:val="30"/>
          <w:highlight w:val="white"/>
          <w:lang w:eastAsia="zh-CN"/>
        </w:rPr>
        <w:t xml:space="preserve"> 基金合同</w:t>
      </w:r>
      <w:bookmarkEnd w:id="438"/>
      <w:r w:rsidRPr="00256C1C">
        <w:rPr>
          <w:rFonts w:asciiTheme="minorEastAsia" w:eastAsiaTheme="minorEastAsia" w:hAnsiTheme="minorEastAsia" w:cs="宋体" w:hint="eastAsia"/>
          <w:color w:val="auto"/>
          <w:sz w:val="30"/>
          <w:highlight w:val="white"/>
          <w:lang w:eastAsia="zh-CN"/>
        </w:rPr>
        <w:t>的变更、终止与基金财产的清算</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rsidR="00C57945" w:rsidRPr="00256C1C">
      <w:pPr>
        <w:spacing w:line="360" w:lineRule="auto"/>
        <w:ind w:firstLine="482"/>
        <w:rPr>
          <w:rFonts w:asciiTheme="minorEastAsia" w:eastAsiaTheme="minorEastAsia" w:hAnsiTheme="minorEastAsia" w:cs="宋体"/>
          <w:sz w:val="24"/>
          <w:szCs w:val="24"/>
          <w:lang w:eastAsia="zh-CN"/>
        </w:rPr>
      </w:pPr>
    </w:p>
    <w:p w:rsidR="00C57945" w:rsidRPr="00256C1C">
      <w:pPr>
        <w:spacing w:line="360" w:lineRule="auto"/>
        <w:ind w:firstLine="482"/>
        <w:rPr>
          <w:rFonts w:asciiTheme="minorEastAsia" w:eastAsiaTheme="minorEastAsia" w:hAnsiTheme="minorEastAsia" w:cs="宋体"/>
          <w:sz w:val="24"/>
          <w:szCs w:val="24"/>
          <w:lang w:eastAsia="zh-CN"/>
        </w:rPr>
      </w:pPr>
      <w:bookmarkStart w:id="439" w:name="_Toc79392639"/>
      <w:r w:rsidRPr="00256C1C">
        <w:rPr>
          <w:rFonts w:asciiTheme="minorEastAsia" w:eastAsiaTheme="minorEastAsia" w:hAnsiTheme="minorEastAsia" w:cs="宋体" w:hint="eastAsia"/>
          <w:sz w:val="24"/>
          <w:szCs w:val="24"/>
          <w:highlight w:val="white"/>
          <w:lang w:eastAsia="zh-CN"/>
        </w:rPr>
        <w:t>一、《基金合同》的变更</w:t>
      </w:r>
      <w:bookmarkEnd w:id="439"/>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2、关于《基金合同》变更的基金份额持有人大会决议</w:t>
      </w:r>
      <w:r w:rsidRPr="00256C1C">
        <w:rPr>
          <w:rFonts w:asciiTheme="minorEastAsia" w:eastAsiaTheme="minorEastAsia" w:hAnsiTheme="minorEastAsia" w:cs="宋体" w:hint="eastAsia"/>
          <w:sz w:val="24"/>
          <w:szCs w:val="24"/>
          <w:highlight w:val="white"/>
          <w:lang w:eastAsia="zh-CN"/>
        </w:rPr>
        <w:t>自</w:t>
      </w:r>
      <w:r w:rsidRPr="00256C1C">
        <w:rPr>
          <w:rFonts w:asciiTheme="minorEastAsia" w:eastAsiaTheme="minorEastAsia" w:hAnsiTheme="minorEastAsia" w:cs="宋体"/>
          <w:sz w:val="24"/>
          <w:szCs w:val="24"/>
          <w:highlight w:val="white"/>
          <w:lang w:eastAsia="zh-CN"/>
        </w:rPr>
        <w:t>生效后方可执行，</w:t>
      </w:r>
      <w:r w:rsidRPr="00256C1C">
        <w:rPr>
          <w:rFonts w:asciiTheme="minorEastAsia" w:eastAsiaTheme="minorEastAsia" w:hAnsiTheme="minorEastAsia" w:cs="宋体" w:hint="eastAsia"/>
          <w:sz w:val="24"/>
          <w:szCs w:val="24"/>
          <w:highlight w:val="white"/>
          <w:lang w:eastAsia="zh-CN"/>
        </w:rPr>
        <w:t>自决议生效后两日内在规定媒介公告。</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二、《基金合同》的终止事由</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有下列情形之一的，经履行相关程序后，《基金合同》应当终止：</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基金份额持有人大会决定终止</w:t>
      </w:r>
      <w:r w:rsidRPr="00256C1C">
        <w:rPr>
          <w:rFonts w:asciiTheme="minorEastAsia" w:eastAsiaTheme="minorEastAsia" w:hAnsiTheme="minorEastAsia" w:cs="宋体" w:hint="eastAsia"/>
          <w:bCs/>
          <w:sz w:val="24"/>
          <w:szCs w:val="24"/>
          <w:highlight w:val="white"/>
          <w:lang w:eastAsia="zh-CN"/>
        </w:rPr>
        <w:t>的</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、基金管理人、基金托管人职责终止，在</w:t>
      </w: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个月内没有新基金管理人、新基金托管人承接</w:t>
      </w:r>
      <w:r w:rsidRPr="00256C1C">
        <w:rPr>
          <w:rFonts w:asciiTheme="minorEastAsia" w:eastAsiaTheme="minorEastAsia" w:hAnsiTheme="minorEastAsia" w:cs="宋体" w:hint="eastAsia"/>
          <w:bCs/>
          <w:sz w:val="24"/>
          <w:szCs w:val="24"/>
          <w:highlight w:val="white"/>
          <w:lang w:eastAsia="zh-CN"/>
        </w:rPr>
        <w:t>的</w:t>
      </w:r>
      <w:r w:rsidRPr="00256C1C">
        <w:rPr>
          <w:rFonts w:asciiTheme="minorEastAsia" w:eastAsiaTheme="minorEastAsia" w:hAnsiTheme="minorEastAsia" w:cs="宋体" w:hint="eastAsia"/>
          <w:sz w:val="24"/>
          <w:szCs w:val="24"/>
          <w:highlight w:val="white"/>
          <w:lang w:eastAsia="zh-CN"/>
        </w:rPr>
        <w:t>；</w:t>
      </w:r>
    </w:p>
    <w:p w:rsidR="00C57945" w:rsidRPr="00256C1C">
      <w:pPr>
        <w:pBdr>
          <w:top w:val="nil"/>
          <w:left w:val="nil"/>
          <w:bottom w:val="nil"/>
          <w:right w:val="nil"/>
        </w:pBd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3、出现标的指数不符合</w:t>
      </w:r>
      <w:r w:rsidRPr="00256C1C">
        <w:rPr>
          <w:rFonts w:asciiTheme="minorEastAsia" w:eastAsiaTheme="minorEastAsia" w:hAnsiTheme="minorEastAsia" w:cs="宋体"/>
          <w:sz w:val="24"/>
          <w:szCs w:val="24"/>
          <w:highlight w:val="white"/>
          <w:lang w:eastAsia="zh-CN"/>
        </w:rPr>
        <w:t>法律法规及监管</w:t>
      </w:r>
      <w:r w:rsidRPr="00256C1C">
        <w:rPr>
          <w:rFonts w:asciiTheme="minorEastAsia" w:eastAsiaTheme="minorEastAsia" w:hAnsiTheme="minorEastAsia" w:cs="宋体"/>
          <w:bCs/>
          <w:sz w:val="24"/>
          <w:szCs w:val="24"/>
          <w:highlight w:val="white"/>
          <w:lang w:eastAsia="zh-CN"/>
        </w:rPr>
        <w:t>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4</w:t>
      </w:r>
      <w:r w:rsidRPr="00256C1C">
        <w:rPr>
          <w:rFonts w:asciiTheme="minorEastAsia" w:eastAsiaTheme="minorEastAsia" w:hAnsiTheme="minorEastAsia" w:cs="宋体"/>
          <w:sz w:val="24"/>
          <w:szCs w:val="24"/>
          <w:highlight w:val="white"/>
          <w:lang w:eastAsia="zh-CN"/>
        </w:rPr>
        <w:t>、《基金合同》约定的其他情形；</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bCs/>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、相关法律法规和中国证监会规定的其他情况。</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三、基金财产的清算</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、基金财产清算小组：自出现《基金合同》终止事由之日起</w:t>
      </w:r>
      <w:r w:rsidRPr="00256C1C">
        <w:rPr>
          <w:rFonts w:asciiTheme="minorEastAsia" w:eastAsiaTheme="minorEastAsia" w:hAnsiTheme="minorEastAsia" w:cs="宋体"/>
          <w:sz w:val="24"/>
          <w:szCs w:val="24"/>
          <w:highlight w:val="white"/>
          <w:lang w:eastAsia="zh-CN"/>
        </w:rPr>
        <w:t>30</w:t>
      </w:r>
      <w:r w:rsidRPr="00256C1C">
        <w:rPr>
          <w:rFonts w:asciiTheme="minorEastAsia" w:eastAsiaTheme="minorEastAsia" w:hAnsiTheme="minorEastAsia" w:cs="宋体" w:hint="eastAsia"/>
          <w:sz w:val="24"/>
          <w:szCs w:val="24"/>
          <w:highlight w:val="white"/>
          <w:lang w:eastAsia="zh-CN"/>
        </w:rPr>
        <w:t>个工作日内成立清算小组，基金管理人组织基金财产清算小组并在中国证监会的监督下进行基金清算。</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、基金财产清算小组组成：基金财产清算小组成员由基金管理人、基金托管人、注册会计师、律师以及中国证监会指定的人员组成。基金财产清算小组可以聘用必要的工作人员。</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、基金财产清算小组职责：基金财产清算小组负责基金财产的保管、清理、估价、变现和分配。基金财产清算小组可以依法进行必要的民事活动。</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、基金财产清算程序：</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）《基金合同》终止情形出现时，由基金财产清算小组统一接管基金；</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）对基金财产和债权债务进行清理和确认；</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）对基金财产进行估值和变现；</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）制作清算报告；</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）聘请会计师事务所对清算报告进行外部审计，聘请律师事务所对清算报告出具法律意见书；</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6</w:t>
      </w:r>
      <w:r w:rsidRPr="00256C1C">
        <w:rPr>
          <w:rFonts w:asciiTheme="minorEastAsia" w:eastAsiaTheme="minorEastAsia" w:hAnsiTheme="minorEastAsia" w:cs="宋体" w:hint="eastAsia"/>
          <w:sz w:val="24"/>
          <w:szCs w:val="24"/>
          <w:highlight w:val="white"/>
          <w:lang w:eastAsia="zh-CN"/>
        </w:rPr>
        <w:t>）将清算报告报中国证监会备案并公告；</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w:t>
      </w:r>
      <w:r w:rsidRPr="00256C1C">
        <w:rPr>
          <w:rFonts w:asciiTheme="minorEastAsia" w:eastAsiaTheme="minorEastAsia" w:hAnsiTheme="minorEastAsia" w:cs="宋体"/>
          <w:sz w:val="24"/>
          <w:szCs w:val="24"/>
          <w:highlight w:val="white"/>
          <w:lang w:eastAsia="zh-CN"/>
        </w:rPr>
        <w:t>7</w:t>
      </w:r>
      <w:r w:rsidRPr="00256C1C">
        <w:rPr>
          <w:rFonts w:asciiTheme="minorEastAsia" w:eastAsiaTheme="minorEastAsia" w:hAnsiTheme="minorEastAsia" w:cs="宋体" w:hint="eastAsia"/>
          <w:sz w:val="24"/>
          <w:szCs w:val="24"/>
          <w:highlight w:val="white"/>
          <w:lang w:eastAsia="zh-CN"/>
        </w:rPr>
        <w:t>）对基金剩余财产进行分配。</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、基金财产清算的期限为6个月</w:t>
      </w:r>
      <w:r w:rsidRPr="00256C1C">
        <w:rPr>
          <w:rFonts w:asciiTheme="minorEastAsia" w:eastAsiaTheme="minorEastAsia" w:hAnsiTheme="minorEastAsia" w:cs="宋体" w:hint="eastAsia"/>
          <w:bCs/>
          <w:sz w:val="24"/>
          <w:szCs w:val="24"/>
          <w:highlight w:val="white"/>
          <w:lang w:eastAsia="zh-CN"/>
        </w:rPr>
        <w:t>，但因本基金所持证券的流动性受到限制而不能及时变现的，清算期限相应顺延</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四、清算费用</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清算费用是指基金财产清算小组在进行基金清算过程中发生的所有合理费用，清算费用由基金财产清算小组优先从基金财产中支付。</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五、基金财产清算剩余资产的分配</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依据基金财产清算的分配方案，将基金财产清算后的全部剩余资产扣除基金财产清算费用、交纳所欠税款并清偿基金债务后，按基金份额持有人持有的基金份额比例进行分配。</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六、基金财产清算的公告</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w:t>
      </w: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个工作日内由基金财产清算小组进行公告。</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七、基金财产清算账册及文件的保存</w:t>
      </w:r>
    </w:p>
    <w:p w:rsidR="00C57945" w:rsidRPr="00256C1C">
      <w:pPr>
        <w:spacing w:line="360" w:lineRule="auto"/>
        <w:ind w:firstLine="482"/>
        <w:rPr>
          <w:rFonts w:asciiTheme="minorEastAsia" w:eastAsiaTheme="minorEastAsia" w:hAnsiTheme="minorEastAsia" w:cs="宋体"/>
          <w:bCs/>
          <w:sz w:val="24"/>
          <w:szCs w:val="24"/>
          <w:lang w:eastAsia="zh-CN"/>
        </w:rPr>
      </w:pPr>
      <w:r w:rsidRPr="00256C1C">
        <w:rPr>
          <w:rFonts w:asciiTheme="minorEastAsia" w:eastAsiaTheme="minorEastAsia" w:hAnsiTheme="minorEastAsia" w:cs="宋体"/>
          <w:color w:val="000000"/>
          <w:sz w:val="24"/>
          <w:highlight w:val="white"/>
          <w:lang w:eastAsia="zh-CN"/>
        </w:rPr>
        <w:t>基金财产清算账册及有关文件由基金托管人保存，保存期限按照法律法规的规定执行</w:t>
      </w:r>
      <w:r w:rsidRPr="00256C1C">
        <w:rPr>
          <w:rFonts w:asciiTheme="minorEastAsia" w:eastAsiaTheme="minorEastAsia" w:hAnsiTheme="minorEastAsia" w:cs="宋体" w:hint="eastAsia"/>
          <w:sz w:val="24"/>
          <w:szCs w:val="24"/>
          <w:highlight w:val="white"/>
          <w:lang w:eastAsia="zh-CN"/>
        </w:rPr>
        <w:t>。</w:t>
      </w:r>
    </w:p>
    <w:p w:rsidR="00C57945" w:rsidRPr="00256C1C">
      <w:pPr>
        <w:pStyle w:val="Heading1"/>
        <w:spacing w:before="0" w:after="0"/>
        <w:jc w:val="center"/>
        <w:rPr>
          <w:rFonts w:asciiTheme="minorEastAsia" w:eastAsiaTheme="minorEastAsia" w:hAnsiTheme="minorEastAsia" w:cs="宋体"/>
          <w:color w:val="auto"/>
          <w:sz w:val="30"/>
          <w:lang w:eastAsia="zh-CN"/>
        </w:rPr>
      </w:pPr>
      <w:bookmarkStart w:id="440" w:name="_Toc98560365"/>
      <w:bookmarkStart w:id="441" w:name="_Toc79392641"/>
      <w:bookmarkStart w:id="442" w:name="_Toc48649720"/>
      <w:bookmarkStart w:id="443" w:name="_Toc123051466"/>
      <w:bookmarkStart w:id="444" w:name="_Toc123102467"/>
      <w:bookmarkStart w:id="445" w:name="_Toc123112248"/>
      <w:r w:rsidRPr="00256C1C">
        <w:rPr>
          <w:rFonts w:asciiTheme="minorEastAsia" w:eastAsiaTheme="minorEastAsia" w:hAnsiTheme="minorEastAsia" w:cs="宋体"/>
          <w:b w:val="0"/>
          <w:bCs/>
          <w:color w:val="auto"/>
          <w:highlight w:val="white"/>
          <w:lang w:eastAsia="zh-CN"/>
        </w:rPr>
        <w:br w:type="page"/>
      </w:r>
      <w:bookmarkStart w:id="446" w:name="_Toc27058"/>
      <w:bookmarkStart w:id="447" w:name="_Toc23166"/>
      <w:bookmarkStart w:id="448" w:name="_Toc446339258"/>
      <w:bookmarkStart w:id="449" w:name="_Toc141703901"/>
      <w:bookmarkStart w:id="450" w:name="_Toc30645"/>
      <w:bookmarkStart w:id="451" w:name="_Toc28549"/>
      <w:bookmarkStart w:id="452" w:name="_Toc12191"/>
      <w:bookmarkStart w:id="453" w:name="_Toc9708"/>
      <w:bookmarkStart w:id="454" w:name="_Toc21240"/>
      <w:bookmarkStart w:id="455" w:name="_Toc8710"/>
      <w:bookmarkStart w:id="456" w:name="_Toc7367"/>
      <w:bookmarkStart w:id="457" w:name="_Toc23022"/>
      <w:bookmarkStart w:id="458" w:name="_Toc13398"/>
      <w:bookmarkStart w:id="459" w:name="_Toc139991750"/>
      <w:bookmarkStart w:id="460" w:name="_Toc129511056"/>
      <w:r w:rsidRPr="00256C1C">
        <w:rPr>
          <w:rFonts w:asciiTheme="minorEastAsia" w:eastAsiaTheme="minorEastAsia" w:hAnsiTheme="minorEastAsia" w:cs="宋体" w:hint="eastAsia"/>
          <w:color w:val="auto"/>
          <w:sz w:val="30"/>
          <w:highlight w:val="white"/>
          <w:lang w:eastAsia="zh-CN"/>
        </w:rPr>
        <w:t>第二十二部分 违约责任</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但如发生下列情况，当事人免责：</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1、不可抗力；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2、基金管理人和/或基金托管人按照当时有效的法律法规或中国证监会的规定作为或不作为而造成的损失等；</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3、</w:t>
      </w:r>
      <w:r w:rsidRPr="00256C1C">
        <w:rPr>
          <w:rFonts w:asciiTheme="minorEastAsia" w:eastAsiaTheme="minorEastAsia" w:hAnsiTheme="minorEastAsia" w:cs="宋体"/>
          <w:color w:val="000000"/>
          <w:sz w:val="24"/>
          <w:highlight w:val="white"/>
          <w:lang w:eastAsia="zh-CN"/>
        </w:rPr>
        <w:t>在没有过错的情况下，基金管理人由于按照基金合同规定的投资原则投资或不投资造成的直接损失或潜在损失等</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2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二、</w:t>
      </w:r>
      <w:r w:rsidRPr="00256C1C">
        <w:rPr>
          <w:rFonts w:asciiTheme="minorEastAsia" w:eastAsiaTheme="minorEastAsia" w:hAnsiTheme="minorEastAsia" w:cs="宋体" w:hint="eastAsia"/>
          <w:sz w:val="24"/>
          <w:szCs w:val="24"/>
          <w:highlight w:val="white"/>
          <w:lang w:eastAsia="zh-CN"/>
        </w:rPr>
        <w:t>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bCs/>
          <w:sz w:val="24"/>
          <w:szCs w:val="24"/>
          <w:highlight w:val="white"/>
          <w:lang w:eastAsia="zh-CN"/>
        </w:rPr>
        <w:t>三</w:t>
      </w:r>
      <w:r w:rsidRPr="00256C1C">
        <w:rPr>
          <w:rFonts w:asciiTheme="minorEastAsia" w:eastAsiaTheme="minorEastAsia" w:hAnsiTheme="minorEastAsia" w:cs="宋体" w:hint="eastAsia"/>
          <w:sz w:val="24"/>
          <w:szCs w:val="24"/>
          <w:highlight w:val="white"/>
          <w:lang w:eastAsia="zh-CN"/>
        </w:rPr>
        <w:t>、由于</w:t>
      </w:r>
      <w:r w:rsidRPr="00256C1C">
        <w:rPr>
          <w:rFonts w:asciiTheme="minorEastAsia" w:eastAsiaTheme="minorEastAsia" w:hAnsiTheme="minorEastAsia" w:cs="宋体"/>
          <w:color w:val="000000"/>
          <w:sz w:val="24"/>
          <w:highlight w:val="white"/>
          <w:lang w:eastAsia="zh-CN"/>
        </w:rPr>
        <w:t>基金管理人、基金托管人不可控制的因素导致业务出现差错，基金管理人和基金托管人虽然已经采取必要、适当、合理的措施进行检查，但是未能发现错误或因上述原因未能及时更正的，由此造成基金财产或投资人损失，基金管理人和基金托管人免除赔偿责任。但是基金管理人和基金托管人应积极采取必要的措施减轻或消除由此造成的影响</w:t>
      </w:r>
      <w:r w:rsidRPr="00256C1C">
        <w:rPr>
          <w:rFonts w:asciiTheme="minorEastAsia" w:eastAsiaTheme="minorEastAsia" w:hAnsiTheme="minorEastAsia" w:cs="宋体" w:hint="eastAsia"/>
          <w:sz w:val="24"/>
          <w:szCs w:val="24"/>
          <w:highlight w:val="white"/>
          <w:lang w:eastAsia="zh-CN"/>
        </w:rPr>
        <w:t>。</w:t>
      </w:r>
    </w:p>
    <w:p w:rsidR="00C57945" w:rsidRPr="00256C1C">
      <w:pPr>
        <w:spacing w:line="360" w:lineRule="auto"/>
        <w:ind w:firstLine="480"/>
        <w:rPr>
          <w:rFonts w:asciiTheme="minorEastAsia" w:eastAsiaTheme="minorEastAsia" w:hAnsiTheme="minorEastAsia" w:cs="宋体"/>
          <w:bCs/>
          <w:sz w:val="24"/>
          <w:szCs w:val="24"/>
          <w:lang w:eastAsia="zh-CN"/>
        </w:rPr>
      </w:pP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bCs/>
          <w:color w:val="auto"/>
          <w:highlight w:val="white"/>
          <w:lang w:eastAsia="zh-CN"/>
        </w:rPr>
        <w:br w:type="page"/>
      </w:r>
      <w:bookmarkStart w:id="461" w:name="_Toc30350"/>
      <w:bookmarkStart w:id="462" w:name="_Toc23999"/>
      <w:bookmarkStart w:id="463" w:name="_Toc21983"/>
      <w:bookmarkStart w:id="464" w:name="_Toc7288"/>
      <w:bookmarkStart w:id="465" w:name="_Toc24923"/>
      <w:bookmarkStart w:id="466" w:name="_Toc123112249"/>
      <w:bookmarkStart w:id="467" w:name="_Toc141703902"/>
      <w:bookmarkStart w:id="468" w:name="_Toc139991751"/>
      <w:bookmarkStart w:id="469" w:name="_Toc123102468"/>
      <w:bookmarkStart w:id="470" w:name="_Toc98560366"/>
      <w:bookmarkStart w:id="471" w:name="_Toc123051467"/>
      <w:bookmarkStart w:id="472" w:name="_Toc1790"/>
      <w:bookmarkStart w:id="473" w:name="_Toc6110"/>
      <w:bookmarkStart w:id="474" w:name="_Toc25651"/>
      <w:bookmarkStart w:id="475" w:name="_Toc6202"/>
      <w:bookmarkStart w:id="476" w:name="_Toc8636"/>
      <w:bookmarkStart w:id="477" w:name="_Toc3319"/>
      <w:bookmarkStart w:id="478" w:name="_Toc446339259"/>
      <w:bookmarkStart w:id="479" w:name="_Toc129511057"/>
      <w:r w:rsidRPr="00256C1C">
        <w:rPr>
          <w:rFonts w:asciiTheme="minorEastAsia" w:eastAsiaTheme="minorEastAsia" w:hAnsiTheme="minorEastAsia" w:cs="宋体" w:hint="eastAsia"/>
          <w:color w:val="auto"/>
          <w:sz w:val="30"/>
          <w:highlight w:val="white"/>
          <w:lang w:eastAsia="zh-CN"/>
        </w:rPr>
        <w:t>第二十三部分 争议的处理和适用的法律</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rsidR="00C57945" w:rsidRPr="00256C1C">
      <w:pPr>
        <w:spacing w:line="360" w:lineRule="auto"/>
        <w:ind w:firstLine="482"/>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b/>
          <w:sz w:val="24"/>
          <w:szCs w:val="24"/>
          <w:lang w:eastAsia="zh-CN"/>
        </w:rPr>
      </w:pPr>
      <w:r w:rsidRPr="00256C1C">
        <w:rPr>
          <w:rFonts w:asciiTheme="minorEastAsia" w:eastAsiaTheme="minorEastAsia" w:hAnsiTheme="minorEastAsia" w:cs="宋体"/>
          <w:b/>
          <w:sz w:val="24"/>
          <w:szCs w:val="24"/>
          <w:highlight w:val="white"/>
          <w:lang w:eastAsia="zh-CN"/>
        </w:rPr>
        <w:t>各方当事人同意，因《基金合同》而产生的或与《基金合同》有关的一切争议，</w:t>
      </w:r>
      <w:r w:rsidRPr="00256C1C">
        <w:rPr>
          <w:rFonts w:asciiTheme="minorEastAsia" w:eastAsiaTheme="minorEastAsia" w:hAnsiTheme="minorEastAsia" w:cs="宋体" w:hint="eastAsia"/>
          <w:b/>
          <w:sz w:val="24"/>
          <w:szCs w:val="24"/>
          <w:highlight w:val="white"/>
          <w:lang w:eastAsia="zh-CN"/>
        </w:rPr>
        <w:t>基金合同当事人应尽量通过协商、调解途径解决，</w:t>
      </w:r>
      <w:r w:rsidRPr="00256C1C">
        <w:rPr>
          <w:rFonts w:asciiTheme="minorEastAsia" w:eastAsiaTheme="minorEastAsia" w:hAnsiTheme="minorEastAsia" w:cs="宋体"/>
          <w:b/>
          <w:sz w:val="24"/>
          <w:szCs w:val="24"/>
          <w:highlight w:val="white"/>
          <w:lang w:eastAsia="zh-CN"/>
        </w:rPr>
        <w:t>如经友好协商未能解决的，</w:t>
      </w:r>
      <w:r w:rsidRPr="00256C1C">
        <w:rPr>
          <w:rFonts w:asciiTheme="minorEastAsia" w:eastAsiaTheme="minorEastAsia" w:hAnsiTheme="minorEastAsia" w:cs="宋体" w:hint="eastAsia"/>
          <w:b/>
          <w:sz w:val="24"/>
          <w:szCs w:val="24"/>
          <w:highlight w:val="white"/>
          <w:lang w:eastAsia="zh-CN"/>
        </w:rPr>
        <w:t>任何一方均有权将争议提交中国国际经济贸易仲裁委员会，按照中国国际经济贸易仲裁委员会届时有效的仲裁规则进行仲裁。仲裁地点为北京市。仲裁裁决是终局的，对当事人均有约束力，除非仲裁裁决另有决定，仲裁费用由败诉方承担。</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争议处理期间，</w:t>
      </w:r>
      <w:r w:rsidRPr="00256C1C">
        <w:rPr>
          <w:rFonts w:asciiTheme="minorEastAsia" w:eastAsiaTheme="minorEastAsia" w:hAnsiTheme="minorEastAsia" w:cs="宋体" w:hint="eastAsia"/>
          <w:bCs/>
          <w:sz w:val="24"/>
          <w:szCs w:val="24"/>
          <w:highlight w:val="white"/>
          <w:lang w:eastAsia="zh-CN"/>
        </w:rPr>
        <w:t>基金合同</w:t>
      </w:r>
      <w:r w:rsidRPr="00256C1C">
        <w:rPr>
          <w:rFonts w:asciiTheme="minorEastAsia" w:eastAsiaTheme="minorEastAsia" w:hAnsiTheme="minorEastAsia" w:cs="宋体" w:hint="eastAsia"/>
          <w:sz w:val="24"/>
          <w:szCs w:val="24"/>
          <w:highlight w:val="white"/>
          <w:lang w:eastAsia="zh-CN"/>
        </w:rPr>
        <w:t>当事人应恪守各自的职责，继续忠实、勤勉、尽责地履行</w:t>
      </w:r>
      <w:r w:rsidRPr="00256C1C">
        <w:rPr>
          <w:rFonts w:asciiTheme="minorEastAsia" w:eastAsiaTheme="minorEastAsia" w:hAnsiTheme="minorEastAsia" w:cs="宋体" w:hint="eastAsia"/>
          <w:bCs/>
          <w:sz w:val="24"/>
          <w:szCs w:val="24"/>
          <w:highlight w:val="white"/>
          <w:lang w:eastAsia="zh-CN"/>
        </w:rPr>
        <w:t>基金合同</w:t>
      </w:r>
      <w:r w:rsidRPr="00256C1C">
        <w:rPr>
          <w:rFonts w:asciiTheme="minorEastAsia" w:eastAsiaTheme="minorEastAsia" w:hAnsiTheme="minorEastAsia" w:cs="宋体" w:hint="eastAsia"/>
          <w:sz w:val="24"/>
          <w:szCs w:val="24"/>
          <w:highlight w:val="white"/>
          <w:lang w:eastAsia="zh-CN"/>
        </w:rPr>
        <w:t>规定的义务，维护基金份额持有人的合法权益。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《基金合同》受中国法律管辖。</w:t>
      </w:r>
    </w:p>
    <w:p w:rsidR="00C57945" w:rsidRPr="00256C1C">
      <w:pPr>
        <w:spacing w:line="360" w:lineRule="auto"/>
        <w:ind w:firstLine="480"/>
        <w:rPr>
          <w:rFonts w:asciiTheme="minorEastAsia" w:eastAsiaTheme="minorEastAsia" w:hAnsiTheme="minorEastAsia" w:cs="宋体"/>
          <w:bCs/>
          <w:sz w:val="24"/>
          <w:szCs w:val="24"/>
          <w:lang w:eastAsia="zh-CN"/>
        </w:rPr>
      </w:pPr>
    </w:p>
    <w:p w:rsidR="00C57945" w:rsidRPr="00256C1C">
      <w:pPr>
        <w:widowControl/>
        <w:jc w:val="left"/>
        <w:rPr>
          <w:rFonts w:asciiTheme="minorEastAsia" w:eastAsiaTheme="minorEastAsia" w:hAnsiTheme="minorEastAsia" w:cs="宋体"/>
          <w:b/>
          <w:sz w:val="30"/>
          <w:lang w:eastAsia="zh-CN"/>
        </w:rPr>
      </w:pPr>
      <w:bookmarkStart w:id="480" w:name="_Toc23991"/>
      <w:bookmarkStart w:id="481" w:name="_Toc139991752"/>
      <w:bookmarkStart w:id="482" w:name="_Toc11618"/>
      <w:bookmarkStart w:id="483" w:name="_Toc123112250"/>
      <w:bookmarkStart w:id="484" w:name="_Toc8454"/>
      <w:bookmarkStart w:id="485" w:name="_Toc20350"/>
      <w:bookmarkStart w:id="486" w:name="_Toc484"/>
      <w:bookmarkStart w:id="487" w:name="_Toc26461"/>
      <w:bookmarkStart w:id="488" w:name="_Toc29505"/>
      <w:bookmarkStart w:id="489" w:name="_Toc123051468"/>
      <w:bookmarkStart w:id="490" w:name="_Toc123102469"/>
      <w:bookmarkStart w:id="491" w:name="_Toc141703903"/>
      <w:bookmarkStart w:id="492" w:name="_Toc8703"/>
      <w:bookmarkStart w:id="493" w:name="_Toc31966"/>
      <w:bookmarkStart w:id="494" w:name="_Toc2532"/>
      <w:r w:rsidRPr="00256C1C">
        <w:rPr>
          <w:rFonts w:asciiTheme="minorEastAsia" w:eastAsiaTheme="minorEastAsia" w:hAnsiTheme="minorEastAsia" w:cs="宋体"/>
          <w:sz w:val="30"/>
          <w:highlight w:val="white"/>
          <w:lang w:eastAsia="zh-CN"/>
        </w:rPr>
        <w:br w:type="page"/>
      </w:r>
    </w:p>
    <w:p w:rsidR="00C57945" w:rsidRPr="00256C1C">
      <w:pPr>
        <w:pStyle w:val="Heading1"/>
        <w:spacing w:before="0" w:after="0"/>
        <w:jc w:val="center"/>
        <w:rPr>
          <w:rFonts w:asciiTheme="minorEastAsia" w:eastAsiaTheme="minorEastAsia" w:hAnsiTheme="minorEastAsia" w:cs="宋体"/>
          <w:color w:val="auto"/>
          <w:sz w:val="30"/>
        </w:rPr>
      </w:pPr>
      <w:bookmarkStart w:id="495" w:name="_Toc446339260"/>
      <w:bookmarkStart w:id="496" w:name="_Toc28690"/>
      <w:bookmarkStart w:id="497" w:name="_Toc129511058"/>
      <w:r w:rsidRPr="00256C1C">
        <w:rPr>
          <w:rFonts w:asciiTheme="minorEastAsia" w:eastAsiaTheme="minorEastAsia" w:hAnsiTheme="minorEastAsia" w:cs="宋体" w:hint="eastAsia"/>
          <w:color w:val="auto"/>
          <w:sz w:val="30"/>
          <w:highlight w:val="white"/>
        </w:rPr>
        <w:t>第二十四部分 基金合同的效力</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rsidR="00C57945" w:rsidRPr="00256C1C">
      <w:pPr>
        <w:spacing w:line="360" w:lineRule="auto"/>
        <w:ind w:firstLine="482"/>
        <w:rPr>
          <w:rFonts w:asciiTheme="minorEastAsia" w:eastAsiaTheme="minorEastAsia" w:hAnsiTheme="minorEastAsia" w:cs="宋体"/>
          <w:bCs/>
          <w:sz w:val="24"/>
          <w:szCs w:val="24"/>
        </w:rPr>
      </w:pP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《基金合同》是约定基金</w:t>
      </w:r>
      <w:r w:rsidRPr="00256C1C">
        <w:rPr>
          <w:rFonts w:asciiTheme="minorEastAsia" w:eastAsiaTheme="minorEastAsia" w:hAnsiTheme="minorEastAsia" w:cs="宋体" w:hint="eastAsia"/>
          <w:bCs/>
          <w:color w:val="000000"/>
          <w:sz w:val="24"/>
          <w:szCs w:val="24"/>
          <w:highlight w:val="white"/>
          <w:lang w:eastAsia="zh-CN"/>
        </w:rPr>
        <w:t>合同</w:t>
      </w:r>
      <w:r w:rsidRPr="00256C1C">
        <w:rPr>
          <w:rFonts w:asciiTheme="minorEastAsia" w:eastAsiaTheme="minorEastAsia" w:hAnsiTheme="minorEastAsia" w:cs="宋体" w:hint="eastAsia"/>
          <w:bCs/>
          <w:sz w:val="24"/>
          <w:szCs w:val="24"/>
          <w:highlight w:val="white"/>
          <w:lang w:eastAsia="zh-CN"/>
        </w:rPr>
        <w:t>当事人之间、基金与基金合同当事人</w:t>
      </w:r>
      <w:r w:rsidRPr="00256C1C">
        <w:rPr>
          <w:rFonts w:asciiTheme="minorEastAsia" w:eastAsiaTheme="minorEastAsia" w:hAnsiTheme="minorEastAsia" w:cs="宋体" w:hint="eastAsia"/>
          <w:sz w:val="24"/>
          <w:szCs w:val="24"/>
          <w:highlight w:val="white"/>
          <w:lang w:eastAsia="zh-CN"/>
        </w:rPr>
        <w:t>之间权利义务关系的法律文件。</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w:t>
      </w:r>
      <w:r w:rsidRPr="00256C1C">
        <w:rPr>
          <w:rFonts w:asciiTheme="minorEastAsia" w:eastAsiaTheme="minorEastAsia" w:hAnsiTheme="minorEastAsia" w:cs="宋体" w:hint="eastAsia"/>
          <w:sz w:val="24"/>
          <w:szCs w:val="24"/>
          <w:highlight w:val="white"/>
          <w:lang w:eastAsia="zh-CN"/>
        </w:rPr>
        <w:t>、《基金合同》经基金管理人、基金托管人双方盖章以及双方法定代表人或授权代表签字或签章并在募集结束后经基金管理人向中国证监会办理基金备案手续，并经中国证监会书面确认后生效。</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w:t>
      </w:r>
      <w:r w:rsidRPr="00256C1C">
        <w:rPr>
          <w:rFonts w:asciiTheme="minorEastAsia" w:eastAsiaTheme="minorEastAsia" w:hAnsiTheme="minorEastAsia" w:cs="宋体" w:hint="eastAsia"/>
          <w:sz w:val="24"/>
          <w:szCs w:val="24"/>
          <w:highlight w:val="white"/>
          <w:lang w:eastAsia="zh-CN"/>
        </w:rPr>
        <w:t>、《基金合同》的有效期自其生效之日起至基金财产清算结果报中国证监会备案并公告之日止。</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w:t>
      </w:r>
      <w:r w:rsidRPr="00256C1C">
        <w:rPr>
          <w:rFonts w:asciiTheme="minorEastAsia" w:eastAsiaTheme="minorEastAsia" w:hAnsiTheme="minorEastAsia" w:cs="宋体" w:hint="eastAsia"/>
          <w:sz w:val="24"/>
          <w:szCs w:val="24"/>
          <w:highlight w:val="white"/>
          <w:lang w:eastAsia="zh-CN"/>
        </w:rPr>
        <w:t>、《基金合同》自生效之日起对包括基金管理人、基金托管人和基金份额持有人在内的《基金合同》各方当事人具有同等的法律约束力。</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w:t>
      </w:r>
      <w:r w:rsidRPr="00256C1C">
        <w:rPr>
          <w:rFonts w:asciiTheme="minorEastAsia" w:eastAsiaTheme="minorEastAsia" w:hAnsiTheme="minorEastAsia" w:cs="宋体" w:hint="eastAsia"/>
          <w:sz w:val="24"/>
          <w:szCs w:val="24"/>
          <w:highlight w:val="white"/>
          <w:lang w:eastAsia="zh-CN"/>
        </w:rPr>
        <w:t>、《基金合同》</w:t>
      </w:r>
      <w:r w:rsidRPr="00256C1C">
        <w:rPr>
          <w:rFonts w:asciiTheme="minorEastAsia" w:eastAsiaTheme="minorEastAsia" w:hAnsiTheme="minorEastAsia" w:cs="宋体"/>
          <w:bCs/>
          <w:sz w:val="24"/>
          <w:szCs w:val="24"/>
          <w:highlight w:val="white"/>
          <w:lang w:eastAsia="zh-CN"/>
        </w:rPr>
        <w:t>正本一式三份，除上报有关监管机构一份外，基金管理人、基金托管人各持有一份，每份具有同等的法律效力。</w:t>
      </w:r>
    </w:p>
    <w:p w:rsidR="00C57945" w:rsidRPr="00256C1C">
      <w:pPr>
        <w:spacing w:line="360" w:lineRule="auto"/>
        <w:ind w:firstLine="482"/>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w:t>
      </w:r>
      <w:r w:rsidRPr="00256C1C">
        <w:rPr>
          <w:rFonts w:asciiTheme="minorEastAsia" w:eastAsiaTheme="minorEastAsia" w:hAnsiTheme="minorEastAsia" w:cs="宋体" w:hint="eastAsia"/>
          <w:sz w:val="24"/>
          <w:szCs w:val="24"/>
          <w:highlight w:val="white"/>
          <w:lang w:eastAsia="zh-CN"/>
        </w:rPr>
        <w:t>、《基金合同》可印制成册，供投资者在基金管理人、基金托管人、销售机构的办公场所和营业场所查阅。</w:t>
      </w:r>
    </w:p>
    <w:p w:rsidR="00C57945" w:rsidRPr="00256C1C">
      <w:pPr>
        <w:pStyle w:val="Heading1"/>
        <w:spacing w:before="0" w:after="0"/>
        <w:jc w:val="center"/>
        <w:rPr>
          <w:rFonts w:asciiTheme="minorEastAsia" w:eastAsiaTheme="minorEastAsia" w:hAnsiTheme="minorEastAsia" w:cs="宋体"/>
          <w:color w:val="auto"/>
          <w:sz w:val="30"/>
          <w:lang w:eastAsia="zh-CN"/>
        </w:rPr>
      </w:pPr>
      <w:r w:rsidRPr="00256C1C">
        <w:rPr>
          <w:rFonts w:asciiTheme="minorEastAsia" w:eastAsiaTheme="minorEastAsia" w:hAnsiTheme="minorEastAsia" w:cs="宋体"/>
          <w:b w:val="0"/>
          <w:color w:val="auto"/>
          <w:highlight w:val="white"/>
          <w:lang w:eastAsia="zh-CN"/>
        </w:rPr>
        <w:br w:type="page"/>
      </w:r>
      <w:bookmarkStart w:id="498" w:name="_Toc446339261"/>
      <w:bookmarkStart w:id="499" w:name="_Toc21726"/>
      <w:bookmarkStart w:id="500" w:name="_Toc9704"/>
      <w:bookmarkStart w:id="501" w:name="_Toc129511059"/>
      <w:r w:rsidRPr="00256C1C">
        <w:rPr>
          <w:rFonts w:asciiTheme="minorEastAsia" w:eastAsiaTheme="minorEastAsia" w:hAnsiTheme="minorEastAsia" w:cs="宋体" w:hint="eastAsia"/>
          <w:color w:val="auto"/>
          <w:sz w:val="30"/>
          <w:highlight w:val="white"/>
          <w:lang w:eastAsia="zh-CN"/>
        </w:rPr>
        <w:t>第二十五部分 其他事项</w:t>
      </w:r>
      <w:bookmarkEnd w:id="498"/>
      <w:bookmarkEnd w:id="499"/>
      <w:bookmarkEnd w:id="500"/>
      <w:bookmarkEnd w:id="501"/>
    </w:p>
    <w:p w:rsidR="00C57945" w:rsidRPr="00256C1C">
      <w:pPr>
        <w:spacing w:line="360" w:lineRule="auto"/>
        <w:ind w:firstLine="480"/>
        <w:rPr>
          <w:rFonts w:asciiTheme="minorEastAsia" w:eastAsiaTheme="minorEastAsia" w:hAnsiTheme="minorEastAsia" w:cs="宋体"/>
          <w:sz w:val="24"/>
          <w:lang w:eastAsia="zh-CN"/>
        </w:rPr>
      </w:pPr>
    </w:p>
    <w:p w:rsidR="00C57945" w:rsidRPr="00256C1C">
      <w:pPr>
        <w:spacing w:line="360" w:lineRule="auto"/>
        <w:ind w:firstLine="480"/>
        <w:rPr>
          <w:rFonts w:asciiTheme="minorEastAsia" w:eastAsiaTheme="minorEastAsia" w:hAnsiTheme="minorEastAsia" w:cs="宋体"/>
          <w:sz w:val="24"/>
          <w:lang w:eastAsia="zh-CN"/>
        </w:rPr>
      </w:pPr>
      <w:r w:rsidRPr="00256C1C">
        <w:rPr>
          <w:rFonts w:asciiTheme="minorEastAsia" w:eastAsiaTheme="minorEastAsia" w:hAnsiTheme="minorEastAsia" w:cs="宋体" w:hint="eastAsia"/>
          <w:sz w:val="24"/>
          <w:highlight w:val="white"/>
          <w:lang w:eastAsia="zh-CN"/>
        </w:rPr>
        <w:t>《基金合同》如有未尽事宜，由《基金合同》当事人各方按有关法律法规协商解决。</w:t>
      </w:r>
    </w:p>
    <w:p w:rsidR="00C57945" w:rsidRPr="00256C1C">
      <w:pPr>
        <w:spacing w:line="360" w:lineRule="auto"/>
        <w:ind w:firstLine="480"/>
        <w:rPr>
          <w:rFonts w:asciiTheme="minorEastAsia" w:eastAsiaTheme="minorEastAsia" w:hAnsiTheme="minorEastAsia" w:cs="宋体"/>
          <w:sz w:val="24"/>
          <w:lang w:eastAsia="zh-CN"/>
        </w:rPr>
      </w:pPr>
    </w:p>
    <w:p w:rsidR="00C57945" w:rsidRPr="00256C1C">
      <w:pPr>
        <w:widowControl/>
        <w:jc w:val="left"/>
        <w:rPr>
          <w:rFonts w:asciiTheme="minorEastAsia" w:eastAsiaTheme="minorEastAsia" w:hAnsiTheme="minorEastAsia" w:cs="宋体"/>
          <w:b/>
          <w:sz w:val="30"/>
          <w:lang w:eastAsia="zh-CN"/>
        </w:rPr>
      </w:pPr>
      <w:bookmarkStart w:id="502" w:name="_Toc141703905"/>
      <w:bookmarkStart w:id="503" w:name="_Toc9054"/>
      <w:bookmarkStart w:id="504" w:name="_Toc21122"/>
      <w:bookmarkStart w:id="505" w:name="_Toc17263"/>
      <w:bookmarkStart w:id="506" w:name="_Toc5108"/>
      <w:bookmarkStart w:id="507" w:name="_Toc32355"/>
      <w:bookmarkStart w:id="508" w:name="_Toc7437"/>
      <w:bookmarkStart w:id="509" w:name="_Toc20098"/>
      <w:bookmarkStart w:id="510" w:name="_Toc15045"/>
      <w:bookmarkStart w:id="511" w:name="_Toc1360"/>
      <w:bookmarkStart w:id="512" w:name="_Toc15664"/>
      <w:bookmarkStart w:id="513" w:name="_Toc12499"/>
      <w:r w:rsidRPr="00256C1C">
        <w:rPr>
          <w:rFonts w:asciiTheme="minorEastAsia" w:eastAsiaTheme="minorEastAsia" w:hAnsiTheme="minorEastAsia" w:cs="宋体"/>
          <w:sz w:val="30"/>
          <w:highlight w:val="white"/>
          <w:lang w:eastAsia="zh-CN"/>
        </w:rPr>
        <w:br w:type="page"/>
      </w:r>
    </w:p>
    <w:p w:rsidR="00C57945" w:rsidRPr="00256C1C">
      <w:pPr>
        <w:pStyle w:val="Heading1"/>
        <w:spacing w:before="0" w:after="0"/>
        <w:jc w:val="center"/>
        <w:rPr>
          <w:rFonts w:asciiTheme="minorEastAsia" w:eastAsiaTheme="minorEastAsia" w:hAnsiTheme="minorEastAsia" w:cs="宋体"/>
          <w:color w:val="auto"/>
          <w:sz w:val="30"/>
          <w:lang w:eastAsia="zh-CN"/>
        </w:rPr>
      </w:pPr>
      <w:bookmarkStart w:id="514" w:name="_Toc129511060"/>
      <w:r w:rsidRPr="00256C1C">
        <w:rPr>
          <w:rFonts w:asciiTheme="minorEastAsia" w:eastAsiaTheme="minorEastAsia" w:hAnsiTheme="minorEastAsia" w:cs="宋体"/>
          <w:color w:val="auto"/>
          <w:sz w:val="30"/>
          <w:highlight w:val="white"/>
          <w:lang w:eastAsia="zh-CN"/>
        </w:rPr>
        <w:t>第二十</w:t>
      </w:r>
      <w:r w:rsidRPr="00256C1C">
        <w:rPr>
          <w:rFonts w:asciiTheme="minorEastAsia" w:eastAsiaTheme="minorEastAsia" w:hAnsiTheme="minorEastAsia" w:cs="宋体" w:hint="eastAsia"/>
          <w:color w:val="auto"/>
          <w:sz w:val="30"/>
          <w:highlight w:val="white"/>
          <w:lang w:eastAsia="zh-CN"/>
        </w:rPr>
        <w:t>六</w:t>
      </w:r>
      <w:r w:rsidRPr="00256C1C">
        <w:rPr>
          <w:rFonts w:asciiTheme="minorEastAsia" w:eastAsiaTheme="minorEastAsia" w:hAnsiTheme="minorEastAsia" w:cs="宋体"/>
          <w:color w:val="auto"/>
          <w:sz w:val="30"/>
          <w:highlight w:val="white"/>
          <w:lang w:eastAsia="zh-CN"/>
        </w:rPr>
        <w:t>部分 基金合同</w:t>
      </w:r>
      <w:r w:rsidRPr="00256C1C">
        <w:rPr>
          <w:rFonts w:asciiTheme="minorEastAsia" w:eastAsiaTheme="minorEastAsia" w:hAnsiTheme="minorEastAsia" w:cs="宋体" w:hint="eastAsia"/>
          <w:color w:val="auto"/>
          <w:sz w:val="30"/>
          <w:highlight w:val="white"/>
          <w:lang w:eastAsia="zh-CN"/>
        </w:rPr>
        <w:t>内容</w:t>
      </w:r>
      <w:r w:rsidRPr="00256C1C">
        <w:rPr>
          <w:rFonts w:asciiTheme="minorEastAsia" w:eastAsiaTheme="minorEastAsia" w:hAnsiTheme="minorEastAsia" w:cs="宋体"/>
          <w:color w:val="auto"/>
          <w:sz w:val="30"/>
          <w:highlight w:val="white"/>
          <w:lang w:eastAsia="zh-CN"/>
        </w:rPr>
        <w:t>摘要</w:t>
      </w:r>
      <w:bookmarkEnd w:id="502"/>
      <w:bookmarkEnd w:id="503"/>
      <w:bookmarkEnd w:id="504"/>
      <w:bookmarkEnd w:id="505"/>
      <w:bookmarkEnd w:id="506"/>
      <w:bookmarkEnd w:id="507"/>
      <w:bookmarkEnd w:id="508"/>
      <w:bookmarkEnd w:id="509"/>
      <w:bookmarkEnd w:id="510"/>
      <w:bookmarkEnd w:id="511"/>
      <w:bookmarkEnd w:id="512"/>
      <w:bookmarkEnd w:id="513"/>
      <w:bookmarkEnd w:id="514"/>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第一节 基金份额持有人、基金管理人和基金托管人的权利、义务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一、基金份额持有人的权利与义务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1、根据《基金法》、《运作办法》及其他有关规定，基金份额持有人的权利包括但不限于：</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（1）分享基金财产收益；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（2）参与分配清算后的剩余基金财产；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（3）依法转让或者申请赎回其持有的基金份额；</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（4）按照规定要求召开基金份额持有人大会或者召集基金份额持有人大会；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（5）出席或者委派代表出席基金份额持有人大会，对基金份额持有人大会审议事项行使表决权；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（6）查阅或者复制公开披露的基金信息资料；</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（7）监督基金管理人的投资运作；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（8）对基金管理人、基金托管人、基金服务机构损害其合法权益的行为依法提起诉讼或仲裁；</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（9）法律法规及中国证监会规定的和《基金合同》约定的其他权利。</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2、根据《基金法》、《运作办法》及其他有关规定，基金份额持有人的义务包括但不限于：</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（1）认真阅读并遵守《基金合同》、招募说明书等信息披露文件；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（2）了解所投资基金产品，了解自身风险承受能力，自主判断基金的投资价值，自主做出投资决策，自行承担投资风险；</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（3）关注基金信息披露，及时行使权利和履行义务；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（4）交纳基金认购款项或认购股票、应付申购对价、现金差额及法律法规和《基金合同》所规定的费用；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（5）在其持有的基金份额范围内，承担基金亏损或者《基金合同》终止的有限责任；</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（6）不从事任何有损基金及其他《基金合同》当事人合法权益的活动；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（7）执行生效的基金份额持有人大会的决议；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（8）返还在基金交易过程中因任何原因获得的不当得利；</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（9）法律法规及中国证监会规定的和《基金合同》约定的其他义务。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二、基金管理人的权利与义务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1、根据《基金法》、《运作办法》及其他有关规定，基金管理人的权利包括但不限于：</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（1）依法募集资金；</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（2）自《基金合同》生效之日起，根据法律法规和《基金合同》独立运用并管理基金财产；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（3）依照《基金合同》收取基金管理费以及法律法规规定或中国证监会批准的其他费用；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（4）销售基金份额；</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（5）按照规定召集基金份额持有人大会；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（6）依据《基金合同》及有关法律规定监督基金托管人，如认为基金托管人违反了《基金合同》及国家有关法律规定，应呈报中国证监会和其他监管部门，并采取必要措施保护基金投资者的利益；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（7）在基金托管人更换时，提名新的基金托管人；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（8）选择、更换基金销售机构，对基金销售机构的相关行为进行监督和处理；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（9）担任或委托其他符合条件的机构担任基金登记结算机构办理基金登记结算业务并获得《基金合同》规定的费用；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（10）依据《基金合同》及有关法律规定决定基金收益的分配方案；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（11）在《基金合同》约定的范围内，拒绝或暂停受理申购与赎回申请；</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（12）依照法律法规为基金的利益对被投资公司行使股东权利，为基金的利益行使因基金财产投资于证券所产生的权利；</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（13）在法律法规允许的前提下，为基金的利益依法进行融资、融券及转融通证券出借业务；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（14）以基金管理人的名义，代表基金份额持有人的利益行使诉讼权利或者实施其他法律行为；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（15）选择、更换律师事务所、会计师事务所、证券/期货经纪商或其他为基金提供服务的外部机构；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（16）在符合有关法律、法规的前提下，制订和调整有关基金认购、申购、赎回、转换、非交易过户和收益分配等业务规则；</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（17）在不违反法律法规和监管规定且对基金份额持有人利益无实质不利影响的前提下，为支付本基金应付的赎回、交易清算等款项，基金管理人有权代表基金份额持有人以基金资产作为质押进行融资；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（18）委托第三方机构办理本基金的交易、清算、估值、结算等业务；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（19）法律法规及中国证监会规定的和《基金合同》约定的其他权利。</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2、根据《基金法》、《运作办法》及其他有关规定，基金管理人的义务包括但不限于：</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（1）依法募集资金，办理或者委托经中国证监会认定的其他机构办理基金份额的发售、申购、赎回和登记结算事宜；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（2）办理基金备案手续；</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（3）自《基金合同》生效之日起，以诚实信用、谨慎勤勉的原则管理和运用基金财产；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（4）配备足够的具有专业资格的人员进行基金投资分析、决策，以专业化的经营方式管理和运作基金财产；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（5）建立健全内部风险控制、监察与稽核、财务管理及人事管理等制度，保证所管理的基金财产和基金管理人的财产相互独立，对所管理的不同基金分别管理，分别记账，进行证券投资；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（6）除依据《基金法》、《基金合同》及其他有关规定外，不得利用基金财产为自己及任何第三人谋取利益，不得委托第三人运作基金财产；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（7）依法接受基金托管人的监督；</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（8）采取适当合理的措施使计算基金份额认购、申购、赎回和注销价格的方法符合《基金合同》等法律文件的规定，按有关规定计算并公告基金净值信息，确定基金份额申购、赎回的对价，编制申购赎回清单；</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（9）进行基金会计核算并编制基金财务会计报告；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（10）编制季度报告、中期报告和年度报告；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（11）严格按照《基金法》、《基金合同》及其他有关规定，履行信息披露及报告义务；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12）保守基金商业秘密，不泄露基金投资计划、投资意向等。除《基金法》、《基金合同》及其他有关规定另有规定外，在基金信息公开披露前应予保密，不向他人泄露，但应监管机构、司法机关等有权机关的要求，或因审计、法律等外部专业顾问提供服务需要而向其提供的情况除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（13）按《基金合同》的约定确定基金收益分配方案，及时向基金份额持有人分配基金收益；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（14）按规定受理申购与赎回申请，及时、足额支付赎回对价；</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（15）依据《基金法》、《基金合同》及其他有关规定召集基金份额持有人大会或配合基金托管人、基金份额持有人依法召集基金份额持有人大会；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（16）按规定保存基金财产管理业务活动的会计账册、报表、记录和其他相关资料20年以上；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（18）组织并参加基金财产清算小组，参与基金财产的保管、清理、估价、变现和分配；</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（19）面临解散、依法被撤销或者被依法宣告破产时，及时报告中国证监会并通知基金托管人；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（20）因违反《基金合同》导致基金财产的损失或损害基金份额持有人合法权益时，应当承担赔偿责任，其赔偿责任不因其退任而免除；</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（21）监督基金托管人按法律法规和《基金合同》规定履行自己的义务，基金托管人违反《基金合同》造成基金财产损失时，基金管理人应为基金份额持有人利益向基金托管人追偿；</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（22）当基金管理人将其义务委托第三方处理时，应当对第三方处理有关基金事务的行为承担责任；</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（23）以基金管理人名义，代表基金份额持有人利益行使诉讼权利或实施其他法律行为；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24）基金在募集期间未能达到基金的备案条件，《基金合同》不能生效，基金管理人承担全部募集费用，将已募集资金并加计银行同期活期存款利息在基金募集期结束后30日内退还基金认购人；募集期间网下股票认购所冻结的股票应予以解冻；</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（25）执行生效的基金份额持有人大会的决议；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（26）建立并保存基金份额持有人名册；</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（27）法律法规及中国证监会规定的和《基金合同》约定的其他义务。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三、基金托管人的权利与义务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1、根据《基金法》、《运作办法》及其他有关规定，基金托管人的权利包括但不限于：</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（1）自《基金合同》生效之日起，依法律法规和《基金合同》的规定安全保管基金财产；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（2）依《基金合同》约定获得基金托管费以及法律法规规定或监管部门批准的其他费用；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（4）根据相关市场规则，为基金开设资金账户、证券账户等投资所需账户、为基金办理证券交易资金清算；</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（5）提议召开或召集基金份额持有人大会；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（6）在基金管理人更换时，提名新的基金管理人；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（7）法律法规及中国证监会规定的和《基金合同》约定的其他权利。</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2、根据《基金法》、《运作办法》及其他有关规定，基金托管人的义务包括但不限于：</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（1）以诚实信用、勤勉尽责的原则持有并安全保管基金财产；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（2）设立专门的基金托管部门，具有符合要求的营业场所，配备足够的、合格的熟悉基金托管业务的专职人员，负责基金财产托管事宜；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（4）除依据《基金法》、《基金合同》及其他有关规定外，不得利用基金财产为自己及任何第三人谋取利益，不得委托第三人托管基金财产；</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（5）保管由基金管理人代表基金签订的与基金有关的重大合同及有关凭证；</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（6）按规定开设基金财产的资金账户和证券账户等投资所需账户，按照《基金合同》的约定，根据基金管理人的投资指令，及时办理清算、交割事宜；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保守基金商业秘密，除《基金法》、《基金合同》及其他有关规定另有规定外，在基金信息公开披露前予以保密，不得向他人泄露，但应监管机构、司法机关等有权机关的要求，或因审计、法律等外部专业顾问提供服务需要而向其提供的情况除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（8）复核、审查基金管理人计算的基金资产净值、基金份额净值；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（9）办理与基金托管业务活动有关的信息披露事项；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（11）保存基金托管业务活动的记录、账册、报表和其他相关资料，保存期限按照法律法规的规定执行；</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（12）从基金管理人或其委托的登记结算机构处接收并保存基金份额持有人名册；</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（13）按规定制作相关账册并与基金管理人核对；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（14）依据基金管理人的指令或有关规定向基金份额持有人支付基金收益和赎回对价；</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（15）依据《基金法》、《基金合同》及其他有关规定，召集基金份额持有人大会或配合基金管理人、基金份额持有人依法召集基金份额持有人大会；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（16）按照法律法规和《基金合同》的规定监督基金管理人的投资运作；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（17）参加基金财产清算小组，参与基金财产的保管、清理、估价、变现和分配；</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（18）面临解散、依法被撤销或者被依法宣告破产时，及时报告中国证监会和银行业监督管理机构，并通知基金管理人；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（19）因违反《基金合同》导致基金财产损失时，应承担赔偿责任，其赔偿责任不因其退任而免除；</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（20）按规定监督基金管理人按法律法规和《基金合同》规定履行自己的义务，基金管理人因违反《基金合同》造成基金财产损失时，应为基金份额持有人利益向基金管理人追偿；</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（21）执行生效的基金份额持有人大会的决议；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（22）法律法规及中国证监会规定的和《基金合同》约定的其他义务。</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第二节 基金份额持有人大会召集、议事及表决的程序和规则</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基金份额持有人大会由基金份额持有人组成，基金份额持有人的合法授权代表有权代表基金份额持有人出席会议并表决。基金份额持有人持有的每一基金份额拥有平等的投票权。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鉴于本基金和本基金的联接基金的相关性，联接基金的基金份额持有人可以凭所持有的联接基金的份额直接参加或者委派代表参加本基金的基金份额持有人大会表决。在计算参会份额和计票时，联接基金基金份额持有人持有的享有表决权的基金份额数和表决票数为：在本基金基金份额持有人大会的权益登记日，联接基金持有本基金份额的总数乘以该基金份额持有人所持有的联接基金份额占联接基金总份额的比例，计算结果按照四舍五入的方法，保留到整数位。联接基金折算为本基金后的每一参会份额和本基金的每一参会份额拥有平等的投票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联接基金的基金管理人不应以联接基金的名义代表联接基金的全体基金份额持有人以本基金的基金份额持有人的身份行使表决权，但可接受联接基金的特定基金份额持有人的委托以联接基金的基金份额持有人代理人的身份出席本基金的基金份额持有人大会并参与表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联接基金的基金管理人代表联接基金的基金份额持有人提议召开或召集本基金份额持有人大会的，须先遵照联接基金基金合同的约定召开联接基金的基金份额持有人大会，联接基金的基金份额持有人大会决定提议召开或召集本基金份额持有人大会的，由联接基金的基金管理人代表联接基金的基金份额持有人提议召开或召集本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本基金份额持有人大会暂不设日常机构。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一、召开事由</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1、除法律法规、中国证监会和基金合同另有规定外，当出现或需要决定下列事由之一的，应当召开基金份额持有人大会：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（1）终止《基金合同》；</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（2）更换基金管理人；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（3）更换基金托管人；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（4）转换基金运作方式；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（5）调整基金管理人、基金托管人的报酬标准；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（6）变更基金类别；</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（7）本基金与其他基金的合并；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（8）变更基金投资目标、范围或策略；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（9）变更基金份额持有人大会程序；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（10）基金管理人或基金托管人要求召开基金份额持有人大会；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（11）单独或合计持有本基金总份额10%以上（含10%）基金份额的基金份额持有人（以基金管理人收到提议当日的基金份额计算，下同）就同一事项书面要求召开基金份额持有人大会；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（12）对基金合同当事人权利和义务产生重大影响的其他事项；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（13）法律法规、《基金合同》或中国证监会规定的其他应当召开基金份额持有人大会的事项。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2、在法律法规规定和《基金合同》约定的范围内且对基金份额持有人利益无实质性不利影响的前提下，以下情况可由基金管理人和基金托管人协商后修改，不需召开基金份额持有人大会：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（1）法律法规要求增加的基金费用的收取；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（2）调整本基金的申购费率或变更收费方式；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（3）因相应的法律法规、上海证券交易所或者登记结算机构的相关业务规则发生变动而应当对《基金合同》进行修改；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（4）对《基金合同》的修改对基金份额持有人利益无实质性不利影响或修改不涉及《基金合同》当事人权利义务关系发生重大变化；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（5）调整有关认购、申购、赎回、交易、非交易过户、质押等业务规则（包括申购赎回清单的调整、开放时间的调整等），或证券交易所和登记结算机构调整上述业务规则；</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（6）调整基金的申购赎回方式；调整申购对价、赎回对价组成，调整申购赎回清单的内容，调整申购赎回清单计算和公告时间或频率；</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（7）推出新业务或服务；</w:t>
      </w:r>
    </w:p>
    <w:p w:rsidR="00C57945" w:rsidRPr="00256C1C" w:rsidP="005D0D88">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w:t>
      </w:r>
      <w:r w:rsidRPr="00256C1C">
        <w:rPr>
          <w:rFonts w:asciiTheme="minorEastAsia" w:eastAsiaTheme="minorEastAsia" w:hAnsiTheme="minorEastAsia" w:cs="宋体"/>
          <w:sz w:val="24"/>
          <w:szCs w:val="24"/>
          <w:highlight w:val="white"/>
          <w:lang w:eastAsia="zh-CN"/>
        </w:rPr>
        <w:t>本基金的联接基金采取特殊申购或其他方式参与本基金的申购赎回；</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w:t>
      </w:r>
      <w:r w:rsidRPr="00256C1C" w:rsidR="005D0D88">
        <w:rPr>
          <w:rFonts w:asciiTheme="minorEastAsia" w:eastAsiaTheme="minorEastAsia" w:hAnsiTheme="minorEastAsia" w:cs="宋体"/>
          <w:sz w:val="24"/>
          <w:szCs w:val="24"/>
          <w:highlight w:val="white"/>
          <w:lang w:eastAsia="zh-CN"/>
        </w:rPr>
        <w:t>9</w:t>
      </w:r>
      <w:r w:rsidRPr="00256C1C">
        <w:rPr>
          <w:rFonts w:asciiTheme="minorEastAsia" w:eastAsiaTheme="minorEastAsia" w:hAnsiTheme="minorEastAsia" w:cs="宋体"/>
          <w:sz w:val="24"/>
          <w:szCs w:val="24"/>
          <w:highlight w:val="white"/>
          <w:lang w:eastAsia="zh-CN"/>
        </w:rPr>
        <w:t>）按照法律法规和《基金合同》规定不需召开基金份额持有人大会的其他情形。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二、会议召集人及召集方式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1、除法律法规规定或《基金合同》另有约定外，基金份额持有人大会由基金管理人召集。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2、基金管理人未按规定召集或不能召开时，由基金托管人召集。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6、基金份额持有人会议的召集人负责选择确定开会时间、地点、方式和权益登记日。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三、召开基金份额持有人大会的通知时间、通知内容、通知方式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1、召开基金份额持有人大会，召集人应于会议召开前30日，在规定媒介公告。基金份额持有人大会通知应至少载明以下内容：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（1）会议召开的时间、地点和会议形式；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（2）会议拟审议的事项、议事程序和表决方式；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（3）有权出席基金份额持有人大会的基金份额持有人的权益登记日；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（4）授权委托证明的内容要求（包括但不限于代理人身份，代理权限和代理有效期限等）、送达时间和地点；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（5）会务常设联系人姓名及联系电话；</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（6）出席会议者必须准备的文件和必须履行的手续；</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（7）召集人需要通知的其他事项。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书面表决意见的计票进行监督的，不影响表决意见的计票效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四、基金份额持有人出席会议的方式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基金份额持有人大会可通过现场开会方式、通讯开会方式或法律法规、监管机构允许的其他方式召开，会议的召开方式由会议召集人确定。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（1）亲自出席会议者持有的有关证明文件、受托出席会议者出示的委托人的代理投票授权委托证明及有关证明文件符合法律法规、《基金合同》和会议通知的规定；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经核对，到会者在权益登记日代表的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通讯开会。通讯开会系指基金份额持有人将其对表决事项的投票以书面形式或基金合同约定的其他方式在表决截止日以前送达至召集人指定的地址。通讯开会应以书面方式或基金合同约定的其他方式进行表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在同时符合以下条件时，通讯开会的方式视为有效：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（1）会议召集人按《基金合同》约定公布会议通知后，在2个工作日内连续公布相关提示性公告；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上述第（3）项中直接出具书面意见的基金份额持有人或受托代表他人出具书面意见的代理人，同时提交的有关证明文件、受托出具书面意见的代理人出示的委托人的代理投票授权委托证明及有关证明文件符合法律法规、《基金合同》和会议通知的规定，并与基金登记结算机构记录相符。</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在不与法律法规冲突的前提下，基金份额持有人大会可通过网络、电话或其他方式召开，基金份额持有人可以采用书面、网络、电话、短信或其他方式进行表决，具体方式由会议召集人确定并在会议通知中列明。</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4、基金份额持有人授权他人代为出席会议并表决的，授权方式可以采用书面、网络、电话、短信或其他方式，具体方式由会议召集人确定并在会议通知中列明。</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五、议事内容与程序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1、议事内容及提案权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基金份额持有人大会的召集人发出召集会议的通知后，对原有提案的修改应当在基金份额持有人大会召开前及时公告。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基金份额持有人大会不得对未事先公告的议事内容进行表决。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2、议事程序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（1）现场开会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会议召集人应当制作出席会议人员的签名册。签名册载明参加会议人员姓名（或单位名称）、身份证明文件号码、持有或代表有表决权的基金份额、委托人姓名（或单位名称）和联系方式等事项。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（2）通讯开会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在通讯开会的情况下，首先由召集人提前30日公布提案，在所通知的表决截止日期后2个工作日内在公证机关监督下由召集人统计全部有效表决，在公证机关监督下形成决议。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六、表决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基金份额持有人所持每份基金份额有一票表决权。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基金份额持有人大会决议分为一般决议和特别决议：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基金份额持有人大会采取记名方式进行投票表决。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基金份额持有人大会的各项提案或同一项提案内并列的各项议题应当分开审议、逐项表决。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七、计票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1、现场开会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（2）监票人应当在基金份额持有人表决后立即进行清点并由大会主持人当场公布计票结果。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（4）计票过程应由公证机关予以公证，基金管理人或基金托管人拒不出席大会的，不影响计票的效力。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2、通讯开会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八、生效与公告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基金份额持有人大会的决议，召集人应当自通过之日起5日内报中国证监会备案。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基金份额持有人大会的决议自表决通过之日起生效。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基金份额持有人大会决议自生效之日起2日内在规定媒介上公告。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基金管理人、基金托管人和基金份额持有人应当执行生效的基金份额持有人大会的决议。生效的基金份额持有人大会决议对全体基金份额持有人、基金管理人、基金托管人均有约束力。</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九、本部分关于基金份额持有人大会召开事由、召开条件、议事程序、表决条件等规定，凡是直接引用法律法规或监管规则的部分，如将来法律法规修改导致相关内容被取消或变更的，基金管理人经与基金托管人协商一致并提前公告后，可直接对本部分内容进行修改和调整，无需召开基金份额持有人大会审议。</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第三节 基金收益分配原则、执行方式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一、基金利润的构成</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基金利润指基金利息收入、投资收益、公允价值变动收益和其他收入扣除相关费用后的余额，基金已实现收益指基金利润减去公允价值变动收益后的余额。</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二、基金可供分配利润</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基金可供分配利润指截至收益分配基准日基金未分配利润与未分配利润中已实现收益的孰低数。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三、基金收益分配原则</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1、本基金收益分配方式采用现金分红；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2、每一基金份额享有同等分配权；</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3、在符合以下有关基金分红条件的情形下，基金管理人可以根据实际情况进行收益分配，具体分配方案以届时的公告为准：</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本基金收益评价日核定的基金累计报酬率超过业绩比较基准同期累计报酬率或者基金可供分配利润金额大于0元时，基金管理人可进行收益分配，累计报酬率计算方式详见招募说明书；若《基金合同》生效不满3个月可不进行收益分配；</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4、在对基金份额持有人利益无实质不利影响的前提下，基金管理人经与基金托管人协商一致并履行适当程序后，可调整基金收益的分配原则；</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5、法律法规或监管机关另有规定的，从其规定。证券交易所或基金登记结算机构对收益分配另有规定的，从其规定。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四、收益分配方案</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基金收益分配方案中应载明基金收益分配对象、分配时间、分配数额、分配方式等内容。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五、收益分配方案的确定、公告与实施</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本基金收益分配方案由基金管理人拟定，并由基金托管人复核，在2日内在规定媒介公告。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法律法规或监管机关另有规定的，从其规定。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六、基金收益分配中发生的费用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基金收益分配时所发生的银行转账或其他手续费用由投资者自行承担。</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第四节 与基金财产管理、运用有关费用的提取、支付方式与比例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一、基金费用的种类</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1、基金管理人的管理费；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2、基金托管人的托管费；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3、《基金合同》生效后与基金相关的信息披露费用，但法律法规、中国证监会另有规定的除外；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4、《基金合同》生效后与基金相关的会计师费、律师费、诉讼费和仲裁费；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5、基金份额持有人大会费用；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6、基金的证券/期货交易费用；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7、基金的银行汇划费用；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8、证券账户开户费用、银行账户维护费用；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9、基金上市初费及年费、登记结算费用、IOPV计算与发布费用；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10、收益分配中发生的费用；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11、按照国家有关规定和《基金合同》约定，可以在基金财产中列支的其他费用。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二、基金费用计提方法、计提标准和支付方式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1、基金管理人的管理费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本基金的管理费按前一日基金资产净值的0.15%年费率计提。管理费的计算方法如下：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H＝E×0.15%÷当年天数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H为每日应计提的基金管理费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E为前一日的基金资产净值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管理费每日计提，逐日累计至每月月末，按月支付，由基金托管人根据与基金管理人核对一致的财务数据，自动在次月前5个工作日内、按照指定的账户路径进行资金支付，基金管理人无需再出具资金划拨指令。若遇法定节假日、公休日等，支付日期顺延。费用自动扣划后，基金管理人应进行核对，如发现数据不符，及时联系基金托管人协商解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2、基金托管人的托管费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本基金的托管费按前一日基金资产净值的0.05%年费率计提。托管费的计算方法如下：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H＝E×0.05%÷当年天数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H为每日应计提的基金托管费</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E为前一日的基金资产净值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托管费每日计提，逐日累计至每月月末，按月支付，由基金托管人根据与基金管理人核对一致的财务数据，自动在次月前5个工作日内、按照指定的账户路径进行资金支付，基金管理人无需再出具资金划拨指令。若遇法定节假日、公休日等，支付日期顺延。费用自动扣划后，基金管理人应进行核对，如发现数据不符，及时联系基金托管人协商解决。</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上述“一、基金费用的种类”中第3－11项费用，根据有关法规及相应协议规定，按费用实际支出金额列入当期费用，由基金托管人从基金财产中支付。</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三、不列入基金费用的项目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下列费用不列入基金费用：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1、基金管理人和基金托管人因未履行或未完全履行义务导致的费用支出或基金财产的损失；</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2、基金管理人和基金托管人处理与基金运作无关的事项发生的费用；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3、《基金合同》生效前的相关费用；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4、标的指数许可使用费。标的指数许可使用费由基金管理人承担，不得从基金财产中列支；</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5、其他根据相关法律法规及中国证监会的有关规定不得列入基金费用的项目。</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四、基金税收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本基金运作过程中涉及的各纳税主体，其纳税义务按国家税收法律、法规执行。基金财产投资的相关税收，由基金份额持有人承担，基金管理人或者其他扣缴义务人按照国家有关税收征收的规定代扣代缴。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本基金在投资和运作过程中如发生增值税等应税行为，相应的增值税、附加税费以及可能涉及的税收滞纳金等由基金财产承担，届时基金管理人可通过本基金托管账户直接缴付，或划付至基金管理人账户并由基金管理人按照相关规定申报缴纳。如果基金管理人先行垫付上述增值税等税费的，基金管理人有权从基金财产中划扣抵偿。本基金清算后若基金管理人被税务机关要求补缴上述税费及可能涉及的滞纳金等，基金管理人有权向投资人就相关金额进行追偿。</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第五节 基金财产的投资方向和投资限制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一、投资范围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本基金的投资范围包括标的指数成份股及备选成份股（含存托凭证）、除标的指数成份股及备选成份股以外的其他股票（包括创业板、科创板及其他依法发行上市的股票、存托凭证）、债券（包括国债、央行票据、地方政府债、金融债、企业债、公司债、次级债、中期票据、短期融资券、超短期融资券、政府支持机构债券、可转换债券、可交换债券等）、债券回购、资产支持证券、银行存款、同业存单、货币市场工具、金融衍生工具（包括股指期货、国债期货、股票期权等）以及法律法规或中国证监会允许基金投资的其他金融工具。</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如法律法规或监管机构以后允许基金投资其他品种，基金管理人在履行适当程序后，本基金可以将其纳入投资范围。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本基金将根据法律法规的规定参与转融通证券出借及融资业务。</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本基金投资于标的指数成份股及备选成份股的资产不低于非现金基金资产的80%且不低于基金资产净值的90%，法律法规另有规定的除外。</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二、投资限制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1、组合限制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基金的投资组合应遵循以下限制：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（1）本基金投资于标的指数成份股及备选成份股的资产不低于非现金基金资产的80%且不低于基金资产净值的90%；</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（2）本基金投资于同一原始权益人的各类资产支持证券的比例，不得超过基金资产净值的10%；</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（3）本基金持有的全部资产支持证券，其市值不得超过基金资产净值的20%；</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（4）本基金持有的同一（指同一信用级别）资产支持证券的比例，不得超过该资产支持证券规模的10%；</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（5）本基金管理人管理的全部基金投资于同一原始权益人的各类资产支持证券，不得超过其各类资产支持证券合计规模的10%；</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（6）本基金应投资于信用级别评级为BBB以上（含BBB）的资产支持证券。基金持有资产支持证券期间，如果其信用等级下降、不再符合投资标准，应在评级报告发布之日起3个月内予以全部卖出；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（7）基金财产参与股票发行申购，本基金所申报的金额不超过本基金的总资产，本基金所申报的股票数量不超过拟发行股票公司本次发行股票的总量；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8）本基金参与股指期货交易的，应当符合下列要求：在任何交易日日终，持有的买入股指期货合约价值，不得超过基金资产净值的10%；在任何交易日日终，持有的买入国债期货和股指期货合约价值与有价证券市值之和，不得超过基金资产净值的100%，其中，有价证券指股票、债券（不含到期日在一年以内的政府债券）、资产支持证券、买入返售金融资产（不含质押式回购）等；在任何交易日日终，持有的卖出股指期货合约价值不得超过基金持有的股票总市值的20%；持有的股票市值和买入、卖出股指期货合约价值，合计（轧差计算）应当符合基金合同关于股票投资比例的有关约定；在任何交易日内交易（不包括平仓）的股指期货合约的成交金额不得超过上一交易日基金资产净值的20%；每个交易日日终在扣除股指期货、国债期货合约需缴纳的交易保证金后，应当保持不低于交易保证金一倍的现金；</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9）本基金参与国债期货交易的，应当符合下列要求：在任何交易日日终，本基金持有的买入国债期货合约价值，不得超过基金资产净值的15%；本基金在任何交易日日终，持有的卖出国债期货合约价值不得超过基金持有的债券总市值的30%；本基金在任何交易日内交易（不包括平仓）的国债期货合约的成交金额不得超过上一交易日基金资产净值的30%；本基金所持有的债券（不含到期日在一年以内的政府债券）市值和买入、卖出国债期货合约价值，合计（轧差计算）应当符合基金合同关于债券投资比例的有关约定；</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10）本基金参与股票期权交易的，应当符合下列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11）本基金参与转融通证券出借业务的，应当符合下列要求：出借证券资产不得超过基金资产净值的30%，出借期限在10个交易日以上的出借证券应纳入《流动性风险管理规定》所述流动性受限证券的范围；参与出借业务的单只证券不得超过基金持有该证券总量的30%；最近6个月内日均基金资产净值不得低于2亿元；证券出借的平均剩余期限不得超过30天，平均剩余期限按照市值加权平均计算；</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（12）基金参与融资业务后，在任何交易日日终，持有的融资买入股票与其他有价证券市值之和，不得超过基金资产净值的95%；</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13）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（14）本基金与私募类证券资管产品及中国证监会认定的其他主体为交易对手开展逆回购交易的，可接受质押品的资质要求应当与本基金合同约定的投资范围保持一致；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（15）本基金资产总值不超过基金资产净值的140%；</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（16）本基金投资存托凭证的比例限制依照境内上市交易的股票执行，与境内上市交易的股票合并计算；</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（17）法律法规及中国证监会规定的和《基金合同》约定的其他投资限制。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除上述（6）、（7）、（11）、（13）、（14）情形之外，因证券/期货市场波动、证券发行人合并、基金规模变动、标的指数成份股调整、流动性限制或成份股市场价格变化等基金管理人之外的因素致使基金投资比例不符合上述规定投资比例的，基金管理人应当在10个交易日内进行调整，但中国证监会规定的特殊情形除外。因证券/期货市场波动、证券发行人合并、基金规模变动等基金管理人之外的因素致使基金投资不符合第（11）项规定的，基金管理人不得新增出借业务。法律法规或监管部门另有规定的，届时按最新规定执行。</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基金管理人应当自基金合同生效之日起6个月内使基金的投资组合比例符合基金合同的有关约定。在上述期间内，本基金的投资范围、投资策略应当符合基金合同的约定。基金托管人对基金的投资的监督与检查自本基金合同生效之日起开始。</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2、禁止行为</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为维护基金份额持有人的合法权益，基金财产不得用于下列投资或者活动：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（1）承销证券；</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（2）违反规定向他人贷款或者提供担保；</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（3）从事承担无限责任的投资；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（4）向其基金管理人、基金托管人出资；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（5）从事内幕交易、操纵证券交易价格及其他不正当的证券交易活动；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（6）法律、行政法规和中国证监会规定禁止的其他活动。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3、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4、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并履行适当程序后，基金管理人可依据法律法规或监管部门规定对基金合同进行变更。</w:t>
      </w:r>
    </w:p>
    <w:p w:rsidR="00C57945" w:rsidRPr="00256C1C">
      <w:pPr>
        <w:spacing w:line="360" w:lineRule="auto"/>
        <w:ind w:firstLine="480"/>
        <w:rPr>
          <w:rFonts w:asciiTheme="minorEastAsia" w:eastAsiaTheme="minorEastAsia" w:hAnsiTheme="minorEastAsia" w:cs="宋体"/>
          <w:bCs/>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第六节 基金资产净值的计算方法和公告方式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一、基金资产总值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基金资产总值是指购买的各类证券及票据价值、银行存款本息和基金应收的申购基金款以及其他投资所形成的价值总和。</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二、基金资产净值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基金资产净值是指基金资产总值减去基金负债后的价值。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三、基金净值信息的公告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《基金合同》生效后，在开始办理基金份额申购或者赎回前，基金管理人应当至少每周在规定网站披露一次基金份额净值和基金份额累计净值。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在开始办理基金份额申购或者赎回后，基金管理人应当在不晚于每个开放日的次日，通过规定网站、基金销售机构网站或者营业网点披露开放日的基金份额净值和基金份额累计净值。</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基金管理人应当在不晚于半年度和年度最后一日的次日，在规定网站披露半年度和年度最后一日的基金份额净值和基金份额累计净值。</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第七节 基金合同解除和终止的事由、程序以及基金财产清算方式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一、《基金合同》的变更</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2、关于《基金合同》变更的基金份额持有人大会决议自生效后方可执行，自决议生效后两日内在规定媒介公告。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二、《基金合同》的终止事由</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有下列情形之一的，经履行相关程序后，《基金合同》应当终止：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1、基金份额持有人大会决定终止的；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2、基金管理人、基金托管人职责终止，在6个月内没有新基金管理人、新基金托管人承接的；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出现标的指数不符合法律法规及监管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4、《基金合同》约定的其他情形；</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5、相关法律法规和中国证监会规定的其他情况。</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三、基金财产的清算</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1、基金财产清算小组：自出现《基金合同》终止事由之日起30个工作日内成立清算小组，基金管理人组织基金财产清算小组并在中国证监会的监督下进行基金清算。</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2、基金财产清算小组组成：基金财产清算小组成员由基金管理人、基金托管人、注册会计师、律师以及中国证监会指定的人员组成。基金财产清算小组可以聘用必要的工作人员。</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3、基金财产清算小组职责：基金财产清算小组负责基金财产的保管、清理、估价、变现和分配。基金财产清算小组可以依法进行必要的民事活动。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4、基金财产清算程序：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（1）《基金合同》终止情形出现时，由基金财产清算小组统一接管基金；</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（2）对基金财产和债权债务进行清理和确认；</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（3）对基金财产进行估值和变现；</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（4）制作清算报告；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（5）聘请会计师事务所对清算报告进行外部审计，聘请律师事务所对清算报告出具法律意见书；</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（6）将清算报告报中国证监会备案并公告；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（7）对基金剩余财产进行分配。</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5、基金财产清算的期限为6个月，但因本基金所持证券的流动性受到限制而不能及时变现的，清算期限相应顺延。</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四、清算费用</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清算费用是指基金财产清算小组在进行基金清算过程中发生的所有合理费用，清算费用由基金财产清算小组优先从基金财产中支付。</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五、基金财产清算剩余资产的分配</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依据基金财产清算的分配方案，将基金财产清算后的全部剩余资产扣除基金财产清算费用、交纳所欠税款并清偿基金债务后，按基金份额持有人持有的基金份额比例进行分配。</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六、基金财产清算的公告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七、基金财产清算账册及文件的保存</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基金财产清算账册及有关文件由基金托管人保存，保存期限按照法律法规的规定执行。</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第八节 争议解决方式</w:t>
      </w:r>
    </w:p>
    <w:p w:rsidR="00C57945" w:rsidRPr="00256C1C">
      <w:pPr>
        <w:spacing w:line="360" w:lineRule="auto"/>
        <w:ind w:firstLine="480"/>
        <w:rPr>
          <w:rFonts w:asciiTheme="minorEastAsia" w:eastAsiaTheme="minorEastAsia" w:hAnsiTheme="minorEastAsia"/>
          <w:b/>
          <w:sz w:val="24"/>
          <w:szCs w:val="24"/>
          <w:lang w:eastAsia="zh-CN"/>
        </w:rPr>
      </w:pPr>
      <w:r w:rsidRPr="00256C1C">
        <w:rPr>
          <w:rFonts w:asciiTheme="minorEastAsia" w:eastAsiaTheme="minorEastAsia" w:hAnsiTheme="minorEastAsia" w:hint="eastAsia"/>
          <w:b/>
          <w:sz w:val="24"/>
          <w:szCs w:val="24"/>
          <w:highlight w:val="white"/>
          <w:lang w:eastAsia="zh-CN"/>
        </w:rPr>
        <w:t>各方当事人同意，因《基金合同》而产生的或与《基金合同》有关的一切争议，基金合同当事人应尽量通过协商、调解途径解决，如经友好协商未能解决的，任何一方均有权将争议提交中国国际经济贸易仲裁委员会，按照中国国际经济贸易仲裁委员会届时有效的仲裁规则进行仲裁。仲裁地点为北京市。仲裁裁决是终局的，对当事人均有约束力，除非仲裁裁决另有决定，仲裁费用由败诉方承担。</w:t>
      </w:r>
    </w:p>
    <w:p w:rsidR="00C57945" w:rsidRPr="00256C1C">
      <w:pPr>
        <w:spacing w:line="360" w:lineRule="auto"/>
        <w:ind w:firstLine="480"/>
        <w:rPr>
          <w:rFonts w:asciiTheme="minorEastAsia" w:eastAsiaTheme="minorEastAsia" w:hAnsiTheme="minorEastAsia"/>
          <w:sz w:val="24"/>
          <w:szCs w:val="24"/>
          <w:lang w:eastAsia="zh-CN"/>
        </w:rPr>
      </w:pPr>
      <w:r w:rsidRPr="00256C1C">
        <w:rPr>
          <w:rFonts w:asciiTheme="minorEastAsia" w:eastAsiaTheme="minorEastAsia" w:hAnsiTheme="minorEastAsia" w:hint="eastAsia"/>
          <w:sz w:val="24"/>
          <w:szCs w:val="24"/>
          <w:highlight w:val="white"/>
          <w:lang w:eastAsia="zh-CN"/>
        </w:rPr>
        <w:t>争议处理期间，基金合同当事人应恪守各自的职责，继续忠实、勤勉、尽责地履行基金合同规定的义务，维护基金份额持有人的合法权益。</w:t>
      </w:r>
    </w:p>
    <w:p w:rsidR="00C57945" w:rsidRPr="00256C1C">
      <w:pPr>
        <w:spacing w:line="360" w:lineRule="auto"/>
        <w:ind w:firstLine="480"/>
        <w:rPr>
          <w:rFonts w:asciiTheme="minorEastAsia" w:eastAsiaTheme="minorEastAsia" w:hAnsiTheme="minorEastAsia"/>
          <w:sz w:val="24"/>
          <w:szCs w:val="24"/>
          <w:lang w:eastAsia="zh-CN"/>
        </w:rPr>
      </w:pPr>
      <w:r w:rsidRPr="00256C1C">
        <w:rPr>
          <w:rFonts w:asciiTheme="minorEastAsia" w:eastAsiaTheme="minorEastAsia" w:hAnsiTheme="minorEastAsia" w:hint="eastAsia"/>
          <w:sz w:val="24"/>
          <w:szCs w:val="24"/>
          <w:highlight w:val="white"/>
          <w:lang w:eastAsia="zh-CN"/>
        </w:rPr>
        <w:t>《基金合同》受中国法律管辖。</w:t>
      </w:r>
    </w:p>
    <w:p w:rsidR="00C57945" w:rsidRPr="00256C1C">
      <w:pPr>
        <w:spacing w:line="360" w:lineRule="auto"/>
        <w:ind w:firstLine="480"/>
        <w:rPr>
          <w:rFonts w:asciiTheme="minorEastAsia" w:eastAsiaTheme="minorEastAsia" w:hAnsiTheme="minorEastAsia" w:cs="宋体"/>
          <w:sz w:val="24"/>
          <w:szCs w:val="24"/>
          <w:lang w:eastAsia="zh-CN"/>
        </w:rPr>
      </w:pP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hint="eastAsia"/>
          <w:sz w:val="24"/>
          <w:szCs w:val="24"/>
          <w:highlight w:val="white"/>
          <w:lang w:eastAsia="zh-CN"/>
        </w:rPr>
        <w:t>第九节 基金合同存放地和投资者取得基金合同的方式</w:t>
      </w:r>
    </w:p>
    <w:p w:rsidR="00C57945" w:rsidRPr="00256C1C">
      <w:pPr>
        <w:spacing w:line="360" w:lineRule="auto"/>
        <w:ind w:firstLine="480"/>
        <w:rPr>
          <w:rFonts w:asciiTheme="minorEastAsia" w:eastAsiaTheme="minorEastAsia" w:hAnsiTheme="minorEastAsia" w:cs="宋体"/>
          <w:sz w:val="24"/>
          <w:szCs w:val="24"/>
          <w:lang w:eastAsia="zh-CN"/>
        </w:rPr>
      </w:pPr>
      <w:r w:rsidRPr="00256C1C">
        <w:rPr>
          <w:rFonts w:asciiTheme="minorEastAsia" w:eastAsiaTheme="minorEastAsia" w:hAnsiTheme="minorEastAsia" w:cs="宋体"/>
          <w:sz w:val="24"/>
          <w:szCs w:val="24"/>
          <w:highlight w:val="white"/>
          <w:lang w:eastAsia="zh-CN"/>
        </w:rPr>
        <w:t>《基金合同》可印制成册，供投资者在基金管理人、基金托管人、销售机构的办公场所和营业场所查阅。</w:t>
      </w:r>
    </w:p>
    <w:p w:rsidR="00C57945" w:rsidRPr="00256C1C">
      <w:pPr>
        <w:spacing w:line="360" w:lineRule="auto"/>
        <w:ind w:firstLine="480"/>
        <w:rPr>
          <w:rFonts w:asciiTheme="minorEastAsia" w:eastAsiaTheme="minorEastAsia" w:hAnsiTheme="minorEastAsia" w:cs="宋体"/>
          <w:sz w:val="24"/>
          <w:szCs w:val="24"/>
          <w:lang w:eastAsia="zh-CN"/>
        </w:rPr>
        <w:sectPr>
          <w:footerReference w:type="default" r:id="rId9"/>
          <w:pgSz w:w="11906" w:h="16838"/>
          <w:pgMar w:top="1440" w:right="1800" w:bottom="1440" w:left="1800" w:header="851" w:footer="992" w:gutter="0"/>
          <w:pgNumType w:start="1"/>
          <w:cols w:space="720"/>
          <w:docGrid w:type="lines" w:linePitch="312"/>
        </w:sectPr>
      </w:pPr>
    </w:p>
    <w:p w:rsidR="00C57945" w:rsidRPr="00256C1C">
      <w:pPr>
        <w:spacing w:line="360" w:lineRule="auto"/>
        <w:rPr>
          <w:rFonts w:asciiTheme="minorEastAsia" w:eastAsiaTheme="minorEastAsia" w:hAnsiTheme="minorEastAsia" w:cs="宋体"/>
          <w:sz w:val="24"/>
          <w:lang w:eastAsia="zh-CN"/>
        </w:rPr>
      </w:pPr>
      <w:bookmarkStart w:id="515" w:name="_Hlt88901010"/>
      <w:bookmarkStart w:id="516" w:name="_Hlt88901000"/>
      <w:bookmarkEnd w:id="515"/>
      <w:bookmarkEnd w:id="516"/>
      <w:r w:rsidRPr="00256C1C">
        <w:rPr>
          <w:rFonts w:asciiTheme="minorEastAsia" w:eastAsiaTheme="minorEastAsia" w:hAnsiTheme="minorEastAsia" w:cs="宋体" w:hint="eastAsia"/>
          <w:sz w:val="24"/>
          <w:highlight w:val="white"/>
          <w:lang w:eastAsia="zh-CN"/>
        </w:rPr>
        <w:t>本页无正文，为《</w:t>
      </w:r>
      <w:r w:rsidRPr="00256C1C">
        <w:rPr>
          <w:rFonts w:asciiTheme="minorEastAsia" w:eastAsiaTheme="minorEastAsia" w:hAnsiTheme="minorEastAsia" w:cs="宋体" w:hint="eastAsia"/>
          <w:sz w:val="24"/>
          <w:szCs w:val="21"/>
          <w:lang w:eastAsia="zh-CN"/>
        </w:rPr>
        <w:t>易方达中证全指通信设备交易型开放式指数证券投资基金</w:t>
      </w:r>
      <w:r w:rsidRPr="00256C1C">
        <w:rPr>
          <w:rFonts w:asciiTheme="minorEastAsia" w:eastAsiaTheme="minorEastAsia" w:hAnsiTheme="minorEastAsia" w:cs="宋体" w:hint="eastAsia"/>
          <w:sz w:val="24"/>
          <w:highlight w:val="white"/>
          <w:lang w:eastAsia="zh-CN"/>
        </w:rPr>
        <w:t>基金合同</w:t>
      </w:r>
      <w:r w:rsidRPr="00256C1C">
        <w:rPr>
          <w:rFonts w:asciiTheme="minorEastAsia" w:eastAsiaTheme="minorEastAsia" w:hAnsiTheme="minorEastAsia" w:cs="宋体" w:hint="eastAsia"/>
          <w:sz w:val="24"/>
          <w:highlight w:val="white"/>
          <w:lang w:eastAsia="zh-CN"/>
        </w:rPr>
        <w:t>》的签字盖章页。</w:t>
      </w:r>
    </w:p>
    <w:p w:rsidR="00C57945" w:rsidRPr="00256C1C">
      <w:pPr>
        <w:spacing w:line="360" w:lineRule="auto"/>
        <w:rPr>
          <w:rFonts w:asciiTheme="minorEastAsia" w:eastAsiaTheme="minorEastAsia" w:hAnsiTheme="minorEastAsia" w:cs="宋体"/>
          <w:sz w:val="24"/>
          <w:lang w:eastAsia="zh-CN"/>
        </w:rPr>
      </w:pPr>
    </w:p>
    <w:p w:rsidR="00C57945" w:rsidRPr="00256C1C">
      <w:pPr>
        <w:spacing w:line="360" w:lineRule="auto"/>
        <w:ind w:right="26"/>
        <w:rPr>
          <w:rFonts w:asciiTheme="minorEastAsia" w:eastAsiaTheme="minorEastAsia" w:hAnsiTheme="minorEastAsia" w:cs="宋体"/>
          <w:b/>
          <w:bCs/>
          <w:sz w:val="24"/>
          <w:szCs w:val="21"/>
          <w:lang w:eastAsia="zh-CN"/>
        </w:rPr>
      </w:pPr>
      <w:r w:rsidRPr="00256C1C">
        <w:rPr>
          <w:rFonts w:asciiTheme="minorEastAsia" w:eastAsiaTheme="minorEastAsia" w:hAnsiTheme="minorEastAsia" w:cs="宋体" w:hint="eastAsia"/>
          <w:b/>
          <w:bCs/>
          <w:sz w:val="24"/>
          <w:szCs w:val="21"/>
          <w:highlight w:val="white"/>
          <w:lang w:eastAsia="zh-CN"/>
        </w:rPr>
        <w:t>《基金合同》当事人盖章及法定代表人或授权代表签字</w:t>
      </w:r>
      <w:r w:rsidRPr="00256C1C">
        <w:rPr>
          <w:rFonts w:asciiTheme="minorEastAsia" w:eastAsiaTheme="minorEastAsia" w:hAnsiTheme="minorEastAsia" w:cs="宋体"/>
          <w:b/>
          <w:sz w:val="24"/>
          <w:highlight w:val="white"/>
          <w:lang w:eastAsia="zh-CN"/>
        </w:rPr>
        <w:t>/</w:t>
      </w:r>
      <w:r w:rsidRPr="00256C1C">
        <w:rPr>
          <w:rFonts w:asciiTheme="minorEastAsia" w:eastAsiaTheme="minorEastAsia" w:hAnsiTheme="minorEastAsia" w:cs="宋体" w:hint="eastAsia"/>
          <w:b/>
          <w:sz w:val="24"/>
          <w:highlight w:val="white"/>
          <w:lang w:eastAsia="zh-CN"/>
        </w:rPr>
        <w:t>签章</w:t>
      </w:r>
      <w:r w:rsidRPr="00256C1C">
        <w:rPr>
          <w:rFonts w:asciiTheme="minorEastAsia" w:eastAsiaTheme="minorEastAsia" w:hAnsiTheme="minorEastAsia" w:cs="宋体" w:hint="eastAsia"/>
          <w:b/>
          <w:bCs/>
          <w:sz w:val="24"/>
          <w:szCs w:val="21"/>
          <w:highlight w:val="white"/>
          <w:lang w:eastAsia="zh-CN"/>
        </w:rPr>
        <w:t>、签订地、签订日</w:t>
      </w: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right="26"/>
        <w:rPr>
          <w:rFonts w:asciiTheme="minorEastAsia" w:eastAsiaTheme="minorEastAsia" w:hAnsiTheme="minorEastAsia" w:cs="宋体"/>
          <w:b/>
          <w:sz w:val="24"/>
          <w:lang w:eastAsia="zh-CN"/>
        </w:rPr>
      </w:pPr>
      <w:r w:rsidRPr="00256C1C">
        <w:rPr>
          <w:rFonts w:asciiTheme="minorEastAsia" w:eastAsiaTheme="minorEastAsia" w:hAnsiTheme="minorEastAsia" w:cs="宋体" w:hint="eastAsia"/>
          <w:b/>
          <w:sz w:val="24"/>
          <w:highlight w:val="white"/>
          <w:lang w:eastAsia="zh-CN"/>
        </w:rPr>
        <w:t>基金管理人：易方达基金管理有限公司（章）</w:t>
      </w: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right="26"/>
        <w:rPr>
          <w:rFonts w:asciiTheme="minorEastAsia" w:eastAsiaTheme="minorEastAsia" w:hAnsiTheme="minorEastAsia" w:cs="宋体"/>
          <w:b/>
          <w:sz w:val="24"/>
          <w:lang w:eastAsia="zh-CN"/>
        </w:rPr>
      </w:pPr>
      <w:r w:rsidRPr="00256C1C">
        <w:rPr>
          <w:rFonts w:asciiTheme="minorEastAsia" w:eastAsiaTheme="minorEastAsia" w:hAnsiTheme="minorEastAsia" w:cs="宋体" w:hint="eastAsia"/>
          <w:b/>
          <w:sz w:val="24"/>
          <w:highlight w:val="white"/>
          <w:lang w:eastAsia="zh-CN"/>
        </w:rPr>
        <w:t>法定代表人或授权代表（签字</w:t>
      </w:r>
      <w:r w:rsidRPr="00256C1C">
        <w:rPr>
          <w:rFonts w:asciiTheme="minorEastAsia" w:eastAsiaTheme="minorEastAsia" w:hAnsiTheme="minorEastAsia" w:cs="宋体"/>
          <w:b/>
          <w:sz w:val="24"/>
          <w:highlight w:val="white"/>
          <w:lang w:eastAsia="zh-CN"/>
        </w:rPr>
        <w:t>/</w:t>
      </w:r>
      <w:r w:rsidRPr="00256C1C">
        <w:rPr>
          <w:rFonts w:asciiTheme="minorEastAsia" w:eastAsiaTheme="minorEastAsia" w:hAnsiTheme="minorEastAsia" w:cs="宋体" w:hint="eastAsia"/>
          <w:b/>
          <w:sz w:val="24"/>
          <w:highlight w:val="white"/>
          <w:lang w:eastAsia="zh-CN"/>
        </w:rPr>
        <w:t>签章）：</w:t>
      </w: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right="26"/>
        <w:rPr>
          <w:rFonts w:asciiTheme="minorEastAsia" w:eastAsiaTheme="minorEastAsia" w:hAnsiTheme="minorEastAsia" w:cs="宋体"/>
          <w:b/>
          <w:sz w:val="24"/>
          <w:lang w:eastAsia="zh-CN"/>
        </w:rPr>
      </w:pPr>
      <w:r w:rsidRPr="00256C1C">
        <w:rPr>
          <w:rFonts w:asciiTheme="minorEastAsia" w:eastAsiaTheme="minorEastAsia" w:hAnsiTheme="minorEastAsia" w:cs="宋体" w:hint="eastAsia"/>
          <w:b/>
          <w:sz w:val="24"/>
          <w:highlight w:val="white"/>
          <w:lang w:eastAsia="zh-CN"/>
        </w:rPr>
        <w:t>基金托管人：</w:t>
      </w:r>
      <w:r w:rsidRPr="00256C1C">
        <w:rPr>
          <w:rFonts w:asciiTheme="minorEastAsia" w:eastAsiaTheme="minorEastAsia" w:hAnsiTheme="minorEastAsia" w:cs="宋体" w:hint="eastAsia"/>
          <w:b/>
          <w:sz w:val="24"/>
          <w:szCs w:val="21"/>
          <w:lang w:eastAsia="zh-CN"/>
        </w:rPr>
        <w:t>中国建设银行股份有限公司</w:t>
      </w:r>
      <w:r w:rsidRPr="00256C1C">
        <w:rPr>
          <w:rFonts w:asciiTheme="minorEastAsia" w:eastAsiaTheme="minorEastAsia" w:hAnsiTheme="minorEastAsia" w:cs="宋体" w:hint="eastAsia"/>
          <w:b/>
          <w:sz w:val="24"/>
          <w:szCs w:val="21"/>
          <w:highlight w:val="white"/>
          <w:lang w:eastAsia="zh-CN"/>
        </w:rPr>
        <w:t xml:space="preserve"> </w:t>
      </w:r>
      <w:r w:rsidRPr="00256C1C">
        <w:rPr>
          <w:rFonts w:asciiTheme="minorEastAsia" w:eastAsiaTheme="minorEastAsia" w:hAnsiTheme="minorEastAsia" w:cs="宋体" w:hint="eastAsia"/>
          <w:b/>
          <w:sz w:val="24"/>
          <w:highlight w:val="white"/>
          <w:lang w:eastAsia="zh-CN"/>
        </w:rPr>
        <w:t>（章）</w:t>
      </w: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right="26"/>
        <w:rPr>
          <w:rFonts w:asciiTheme="minorEastAsia" w:eastAsiaTheme="minorEastAsia" w:hAnsiTheme="minorEastAsia" w:cs="宋体"/>
          <w:b/>
          <w:sz w:val="24"/>
          <w:lang w:eastAsia="zh-CN"/>
        </w:rPr>
      </w:pPr>
      <w:r w:rsidRPr="00256C1C">
        <w:rPr>
          <w:rFonts w:asciiTheme="minorEastAsia" w:eastAsiaTheme="minorEastAsia" w:hAnsiTheme="minorEastAsia" w:cs="宋体" w:hint="eastAsia"/>
          <w:b/>
          <w:sz w:val="24"/>
          <w:highlight w:val="white"/>
          <w:lang w:eastAsia="zh-CN"/>
        </w:rPr>
        <w:t>法定代表人或授权代表（签字</w:t>
      </w:r>
      <w:r w:rsidRPr="00256C1C">
        <w:rPr>
          <w:rFonts w:asciiTheme="minorEastAsia" w:eastAsiaTheme="minorEastAsia" w:hAnsiTheme="minorEastAsia" w:cs="宋体"/>
          <w:b/>
          <w:sz w:val="24"/>
          <w:highlight w:val="white"/>
          <w:lang w:eastAsia="zh-CN"/>
        </w:rPr>
        <w:t>/</w:t>
      </w:r>
      <w:r w:rsidRPr="00256C1C">
        <w:rPr>
          <w:rFonts w:asciiTheme="minorEastAsia" w:eastAsiaTheme="minorEastAsia" w:hAnsiTheme="minorEastAsia" w:cs="宋体" w:hint="eastAsia"/>
          <w:b/>
          <w:sz w:val="24"/>
          <w:highlight w:val="white"/>
          <w:lang w:eastAsia="zh-CN"/>
        </w:rPr>
        <w:t>签章）：</w:t>
      </w: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firstLine="482"/>
        <w:rPr>
          <w:rFonts w:asciiTheme="minorEastAsia" w:eastAsiaTheme="minorEastAsia" w:hAnsiTheme="minorEastAsia" w:cs="宋体"/>
          <w:b/>
          <w:sz w:val="24"/>
          <w:lang w:eastAsia="zh-CN"/>
        </w:rPr>
      </w:pPr>
    </w:p>
    <w:p w:rsidR="00C57945" w:rsidRPr="00256C1C">
      <w:pPr>
        <w:spacing w:line="360" w:lineRule="auto"/>
        <w:ind w:right="26"/>
        <w:rPr>
          <w:rFonts w:asciiTheme="minorEastAsia" w:eastAsiaTheme="minorEastAsia" w:hAnsiTheme="minorEastAsia" w:cs="宋体"/>
          <w:b/>
          <w:sz w:val="24"/>
          <w:lang w:eastAsia="zh-CN"/>
        </w:rPr>
      </w:pPr>
      <w:r w:rsidRPr="00256C1C">
        <w:rPr>
          <w:rFonts w:asciiTheme="minorEastAsia" w:eastAsiaTheme="minorEastAsia" w:hAnsiTheme="minorEastAsia" w:cs="宋体" w:hint="eastAsia"/>
          <w:b/>
          <w:sz w:val="24"/>
          <w:highlight w:val="white"/>
          <w:lang w:eastAsia="zh-CN"/>
        </w:rPr>
        <w:t>签订地点：</w:t>
      </w:r>
    </w:p>
    <w:p w:rsidR="00C57945" w:rsidRPr="00256C1C">
      <w:pPr>
        <w:spacing w:line="360" w:lineRule="auto"/>
        <w:ind w:right="26"/>
        <w:rPr>
          <w:rFonts w:asciiTheme="minorEastAsia" w:eastAsiaTheme="minorEastAsia" w:hAnsiTheme="minorEastAsia" w:cs="宋体"/>
          <w:b/>
          <w:sz w:val="24"/>
          <w:lang w:eastAsia="zh-CN"/>
        </w:rPr>
      </w:pPr>
      <w:r w:rsidRPr="00256C1C">
        <w:rPr>
          <w:rFonts w:asciiTheme="minorEastAsia" w:eastAsiaTheme="minorEastAsia" w:hAnsiTheme="minorEastAsia" w:cs="宋体" w:hint="eastAsia"/>
          <w:b/>
          <w:sz w:val="24"/>
          <w:highlight w:val="white"/>
          <w:lang w:eastAsia="zh-CN"/>
        </w:rPr>
        <w:t>签订日：</w:t>
      </w:r>
      <w:r w:rsidRPr="00256C1C">
        <w:rPr>
          <w:rFonts w:asciiTheme="minorEastAsia" w:eastAsiaTheme="minorEastAsia" w:hAnsiTheme="minorEastAsia" w:cs="宋体"/>
          <w:b/>
          <w:sz w:val="24"/>
          <w:highlight w:val="white"/>
          <w:lang w:eastAsia="zh-CN"/>
        </w:rPr>
        <w:t xml:space="preserve">    </w:t>
      </w:r>
      <w:r w:rsidRPr="00256C1C">
        <w:rPr>
          <w:rFonts w:asciiTheme="minorEastAsia" w:eastAsiaTheme="minorEastAsia" w:hAnsiTheme="minorEastAsia" w:cs="宋体" w:hint="eastAsia"/>
          <w:b/>
          <w:sz w:val="24"/>
          <w:highlight w:val="white"/>
          <w:lang w:eastAsia="zh-CN"/>
        </w:rPr>
        <w:t>年</w:t>
      </w:r>
      <w:r w:rsidRPr="00256C1C">
        <w:rPr>
          <w:rFonts w:asciiTheme="minorEastAsia" w:eastAsiaTheme="minorEastAsia" w:hAnsiTheme="minorEastAsia" w:cs="宋体"/>
          <w:b/>
          <w:sz w:val="24"/>
          <w:highlight w:val="white"/>
          <w:lang w:eastAsia="zh-CN"/>
        </w:rPr>
        <w:t xml:space="preserve">   </w:t>
      </w:r>
      <w:r w:rsidRPr="00256C1C">
        <w:rPr>
          <w:rFonts w:asciiTheme="minorEastAsia" w:eastAsiaTheme="minorEastAsia" w:hAnsiTheme="minorEastAsia" w:cs="宋体" w:hint="eastAsia"/>
          <w:b/>
          <w:sz w:val="24"/>
          <w:highlight w:val="white"/>
          <w:lang w:eastAsia="zh-CN"/>
        </w:rPr>
        <w:t>月</w:t>
      </w:r>
      <w:r w:rsidRPr="00256C1C">
        <w:rPr>
          <w:rFonts w:asciiTheme="minorEastAsia" w:eastAsiaTheme="minorEastAsia" w:hAnsiTheme="minorEastAsia" w:cs="宋体"/>
          <w:b/>
          <w:sz w:val="24"/>
          <w:highlight w:val="white"/>
          <w:lang w:eastAsia="zh-CN"/>
        </w:rPr>
        <w:t xml:space="preserve">   </w:t>
      </w:r>
      <w:r w:rsidRPr="00256C1C">
        <w:rPr>
          <w:rFonts w:asciiTheme="minorEastAsia" w:eastAsiaTheme="minorEastAsia" w:hAnsiTheme="minorEastAsia" w:cs="宋体" w:hint="eastAsia"/>
          <w:b/>
          <w:sz w:val="24"/>
          <w:highlight w:val="white"/>
          <w:lang w:eastAsia="zh-CN"/>
        </w:rPr>
        <w:t>日</w:t>
      </w:r>
      <w:bookmarkEnd w:id="45"/>
    </w:p>
    <w:p w:rsidR="00C57945" w:rsidRPr="00256C1C">
      <w:pPr>
        <w:spacing w:line="360" w:lineRule="auto"/>
        <w:ind w:firstLine="420"/>
        <w:jc w:val="left"/>
        <w:rPr>
          <w:rFonts w:asciiTheme="minorEastAsia" w:eastAsiaTheme="minorEastAsia" w:hAnsiTheme="minorEastAsia" w:cs="宋体"/>
          <w:lang w:eastAsia="zh-CN"/>
        </w:rPr>
      </w:pPr>
    </w:p>
    <w:sectPr>
      <w:footerReference w:type="default" r:id="rId10"/>
      <w:pgSz w:w="11906" w:h="16838"/>
      <w:pgMar w:top="1440" w:right="1800" w:bottom="1440" w:left="1800" w:header="851" w:footer="992" w:gutter="0"/>
      <w:pgNumType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945">
    <w:pPr>
      <w:pStyle w:val="Footer"/>
      <w:snapToGrid/>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945">
    <w:pPr>
      <w:pStyle w:val="Footer"/>
      <w:snapToGrid/>
    </w:pPr>
  </w:p>
  <w:p w:rsidR="00C57945">
    <w:pPr>
      <w:pStyle w:val="Footer"/>
      <w:snapToGrid/>
    </w:pPr>
  </w:p>
  <w:p w:rsidR="00C57945">
    <w:pPr>
      <w:pStyle w:val="Footer"/>
      <w:snapToGr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800440"/>
      <w:placeholder>
        <w:docPart w:val="85007f94b0e0461a93db5372a52915a6"/>
      </w:placeholder>
      <w:docPartObj>
        <w:docPartGallery w:val="Page Numbers (Bottom of Page)"/>
        <w:docPartUnique/>
      </w:docPartObj>
    </w:sdtPr>
    <w:sdtContent>
      <w:p w:rsidR="00C57945">
        <w:pPr>
          <w:pStyle w:val="Footer"/>
          <w:snapToGrid/>
          <w:jc w:val="center"/>
        </w:pPr>
        <w:r>
          <w:fldChar w:fldCharType="begin"/>
        </w:r>
        <w:r>
          <w:rPr>
            <w:highlight w:val="white"/>
          </w:rPr>
          <w:instrText>PAGE   \* MERGEFORMAT</w:instrText>
        </w:r>
        <w:r>
          <w:fldChar w:fldCharType="separate"/>
        </w:r>
        <w:r w:rsidRPr="00825EDF" w:rsidR="00825EDF">
          <w:rPr>
            <w:noProof/>
            <w:highlight w:val="white"/>
            <w:lang w:val="zh-CN"/>
          </w:rPr>
          <w:t>77</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945">
    <w:pPr>
      <w:pStyle w:val="Footer"/>
      <w:snapToGrid/>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945">
    <w:pPr>
      <w:pStyle w:val="Header"/>
      <w:pBdr>
        <w:bottom w:val="single" w:sz="24" w:space="10" w:color="auto"/>
      </w:pBdr>
      <w:tabs>
        <w:tab w:val="right" w:pos="8280"/>
      </w:tabs>
      <w:snapToGrid/>
      <w:jc w:val="both"/>
      <w:rPr>
        <w:lang w:eastAsia="zh-CN"/>
      </w:rPr>
    </w:pPr>
    <w:r>
      <w:rPr>
        <w:rFonts w:hint="eastAsia"/>
        <w:color w:val="000000"/>
        <w:highlight w:val="white"/>
        <w:lang w:eastAsia="zh-CN"/>
      </w:rPr>
      <w:t>XXXX</w:t>
    </w:r>
    <w:r>
      <w:rPr>
        <w:rFonts w:hint="eastAsia"/>
        <w:highlight w:val="white"/>
        <w:lang w:eastAsia="zh-CN"/>
      </w:rPr>
      <w:t>证券投资基金募集申请材料－基金合同（草案）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79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3FC2FC"/>
    <w:multiLevelType w:val="hybridMultilevel"/>
    <w:tmpl w:val="00000000"/>
    <w:lvl w:ilvl="0">
      <w:start w:val="1"/>
      <w:numFmt w:val="bullet"/>
      <w:lvlText w:val="一、"/>
      <w:lvlJc w:val="left"/>
      <w:pPr>
        <w:snapToGrid/>
        <w:ind w:left="960" w:hanging="480"/>
      </w:pPr>
      <w:rPr>
        <w:rFonts w:hint="default"/>
      </w:rPr>
    </w:lvl>
    <w:lvl w:ilvl="1">
      <w:start w:val="1"/>
      <w:numFmt w:val="lowerLetter"/>
      <w:lvlText w:val="%2)"/>
      <w:lvlJc w:val="left"/>
      <w:pPr>
        <w:snapToGrid/>
        <w:ind w:left="1320" w:hanging="420"/>
      </w:pPr>
    </w:lvl>
    <w:lvl w:ilvl="2">
      <w:start w:val="1"/>
      <w:numFmt w:val="lowerRoman"/>
      <w:lvlText w:val="%3."/>
      <w:lvlJc w:val="right"/>
      <w:pPr>
        <w:snapToGrid/>
        <w:ind w:left="1740" w:hanging="420"/>
      </w:pPr>
    </w:lvl>
    <w:lvl w:ilvl="3">
      <w:start w:val="1"/>
      <w:numFmt w:val="decimal"/>
      <w:lvlText w:val="%4."/>
      <w:lvlJc w:val="left"/>
      <w:pPr>
        <w:snapToGrid/>
        <w:ind w:left="2160" w:hanging="420"/>
      </w:pPr>
    </w:lvl>
    <w:lvl w:ilvl="4">
      <w:start w:val="1"/>
      <w:numFmt w:val="lowerLetter"/>
      <w:lvlText w:val="%5)"/>
      <w:lvlJc w:val="left"/>
      <w:pPr>
        <w:snapToGrid/>
        <w:ind w:left="2580" w:hanging="420"/>
      </w:pPr>
    </w:lvl>
    <w:lvl w:ilvl="5">
      <w:start w:val="1"/>
      <w:numFmt w:val="lowerRoman"/>
      <w:lvlText w:val="%6."/>
      <w:lvlJc w:val="right"/>
      <w:pPr>
        <w:snapToGrid/>
        <w:ind w:left="3000" w:hanging="420"/>
      </w:pPr>
    </w:lvl>
    <w:lvl w:ilvl="6">
      <w:start w:val="1"/>
      <w:numFmt w:val="decimal"/>
      <w:lvlText w:val="%7."/>
      <w:lvlJc w:val="left"/>
      <w:pPr>
        <w:snapToGrid/>
        <w:ind w:left="3420" w:hanging="420"/>
      </w:pPr>
    </w:lvl>
    <w:lvl w:ilvl="7">
      <w:start w:val="1"/>
      <w:numFmt w:val="lowerLetter"/>
      <w:lvlText w:val="%8)"/>
      <w:lvlJc w:val="left"/>
      <w:pPr>
        <w:snapToGrid/>
        <w:ind w:left="3840" w:hanging="420"/>
      </w:pPr>
    </w:lvl>
    <w:lvl w:ilvl="8">
      <w:start w:val="1"/>
      <w:numFmt w:val="lowerRoman"/>
      <w:lvlText w:val="%9."/>
      <w:lvlJc w:val="right"/>
      <w:pPr>
        <w:snapToGrid/>
        <w:ind w:left="4260" w:hanging="42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廖生暖">
    <w15:presenceInfo w15:providerId="None" w15:userId="廖生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945"/>
    <w:rsid w:val="00113A8B"/>
    <w:rsid w:val="001E1E62"/>
    <w:rsid w:val="0024116C"/>
    <w:rsid w:val="00256C1C"/>
    <w:rsid w:val="0030716D"/>
    <w:rsid w:val="00330F60"/>
    <w:rsid w:val="00402C04"/>
    <w:rsid w:val="00514297"/>
    <w:rsid w:val="005D0D88"/>
    <w:rsid w:val="00825EDF"/>
    <w:rsid w:val="00866758"/>
    <w:rsid w:val="00962870"/>
    <w:rsid w:val="00BB471B"/>
    <w:rsid w:val="00C57945"/>
    <w:rsid w:val="00D019D0"/>
    <w:rsid w:val="00D54FB9"/>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15:docId w15:val="{DD05CC32-14AD-45A3-B11D-E423E6D1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sz w:val="21"/>
      <w:szCs w:val="22"/>
    </w:rPr>
  </w:style>
  <w:style w:type="paragraph" w:styleId="Heading1">
    <w:name w:val="heading 1"/>
    <w:basedOn w:val="Normal"/>
    <w:next w:val="Normal"/>
    <w:link w:val="10"/>
    <w:qFormat/>
    <w:pPr>
      <w:keepNext/>
      <w:keepLines/>
      <w:spacing w:before="120" w:after="120" w:line="360" w:lineRule="auto"/>
      <w:outlineLvl w:val="0"/>
    </w:pPr>
    <w:rPr>
      <w:rFonts w:ascii="宋体"/>
      <w:b/>
      <w:color w:val="000000"/>
      <w:sz w:val="24"/>
    </w:rPr>
  </w:style>
  <w:style w:type="paragraph" w:styleId="Heading2">
    <w:name w:val="heading 2"/>
    <w:basedOn w:val="Normal"/>
    <w:next w:val="Normal"/>
    <w:link w:val="2"/>
    <w:qFormat/>
    <w:pPr>
      <w:keepNext/>
      <w:keepLines/>
      <w:spacing w:before="260" w:after="260" w:line="413" w:lineRule="auto"/>
      <w:outlineLvl w:val="1"/>
    </w:pPr>
    <w:rPr>
      <w:rFonts w:ascii="Arial" w:eastAsia="黑体" w:hAnsi="Arial"/>
      <w:b/>
      <w:sz w:val="32"/>
    </w:rPr>
  </w:style>
  <w:style w:type="paragraph" w:styleId="Heading3">
    <w:name w:val="heading 3"/>
    <w:basedOn w:val="Normal"/>
    <w:next w:val="Normal"/>
    <w:link w:val="3"/>
    <w:qFormat/>
    <w:pPr>
      <w:keepNext/>
      <w:keepLines/>
      <w:spacing w:before="260" w:after="260" w:line="413" w:lineRule="auto"/>
      <w:outlineLvl w:val="2"/>
    </w:pPr>
    <w:rPr>
      <w:b/>
      <w:sz w:val="32"/>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EndnoteTextChar">
    <w:name w:val="Endnote Text Char"/>
    <w:uiPriority w:val="99"/>
    <w:rPr>
      <w:sz w:val="20"/>
    </w:rPr>
  </w:style>
  <w:style w:type="paragraph" w:styleId="TOCHeading">
    <w:name w:val="TOC Heading"/>
    <w:uiPriority w:val="39"/>
    <w:unhideWhenUsed/>
  </w:style>
  <w:style w:type="paragraph" w:styleId="TOC7">
    <w:name w:val="toc 7"/>
    <w:basedOn w:val="Normal"/>
    <w:next w:val="Normal"/>
    <w:uiPriority w:val="39"/>
    <w:unhideWhenUsed/>
    <w:qFormat/>
    <w:pPr>
      <w:spacing w:after="57"/>
      <w:ind w:left="1701"/>
    </w:pPr>
  </w:style>
  <w:style w:type="paragraph" w:styleId="NormalIndent">
    <w:name w:val="Normal Indent"/>
    <w:basedOn w:val="Normal"/>
    <w:qFormat/>
    <w:pPr>
      <w:ind w:firstLine="420"/>
    </w:pPr>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styleId="DocumentMap">
    <w:name w:val="Document Map"/>
    <w:basedOn w:val="Normal"/>
    <w:link w:val="a9"/>
    <w:qFormat/>
    <w:pPr>
      <w:shd w:val="clear" w:color="000080" w:fill="000080"/>
    </w:pPr>
  </w:style>
  <w:style w:type="paragraph" w:styleId="CommentText">
    <w:name w:val="annotation text"/>
    <w:basedOn w:val="Normal"/>
    <w:link w:val="a8"/>
    <w:qFormat/>
    <w:pPr>
      <w:jc w:val="left"/>
    </w:pPr>
  </w:style>
  <w:style w:type="paragraph" w:styleId="BodyText">
    <w:name w:val="Body Text"/>
    <w:basedOn w:val="Normal"/>
    <w:link w:val="a3"/>
    <w:qFormat/>
    <w:pPr>
      <w:spacing w:line="360" w:lineRule="auto"/>
      <w:jc w:val="left"/>
    </w:pPr>
    <w:rPr>
      <w:rFonts w:ascii="宋体"/>
    </w:rPr>
  </w:style>
  <w:style w:type="paragraph" w:styleId="TOC5">
    <w:name w:val="toc 5"/>
    <w:basedOn w:val="Normal"/>
    <w:next w:val="Normal"/>
    <w:uiPriority w:val="39"/>
    <w:unhideWhenUsed/>
    <w:qFormat/>
    <w:pPr>
      <w:spacing w:after="57"/>
      <w:ind w:left="1134"/>
    </w:pPr>
  </w:style>
  <w:style w:type="paragraph" w:styleId="TOC3">
    <w:name w:val="toc 3"/>
    <w:basedOn w:val="Normal"/>
    <w:next w:val="Normal"/>
    <w:qFormat/>
    <w:pPr>
      <w:ind w:left="840"/>
    </w:pPr>
  </w:style>
  <w:style w:type="paragraph" w:styleId="PlainText">
    <w:name w:val="Plain Text"/>
    <w:basedOn w:val="Normal"/>
    <w:link w:val="a10"/>
    <w:qFormat/>
    <w:pPr>
      <w:spacing w:line="312" w:lineRule="atLeast"/>
    </w:pPr>
    <w:rPr>
      <w:rFonts w:ascii="宋体" w:hAnsi="Courier New"/>
    </w:rPr>
  </w:style>
  <w:style w:type="paragraph" w:styleId="TOC8">
    <w:name w:val="toc 8"/>
    <w:basedOn w:val="Normal"/>
    <w:next w:val="Normal"/>
    <w:uiPriority w:val="39"/>
    <w:unhideWhenUsed/>
    <w:qFormat/>
    <w:pPr>
      <w:spacing w:after="57"/>
      <w:ind w:left="1984"/>
    </w:pPr>
  </w:style>
  <w:style w:type="paragraph" w:styleId="BodyTextIndent2">
    <w:name w:val="Body Text Indent 2"/>
    <w:basedOn w:val="Normal"/>
    <w:link w:val="20"/>
    <w:qFormat/>
    <w:pPr>
      <w:spacing w:line="360" w:lineRule="auto"/>
      <w:ind w:firstLine="425"/>
    </w:pPr>
    <w:rPr>
      <w:rFonts w:ascii="仿宋_GB2312" w:eastAsia="仿宋_GB2312"/>
      <w:sz w:val="28"/>
    </w:rPr>
  </w:style>
  <w:style w:type="paragraph" w:styleId="EndnoteText">
    <w:name w:val="endnote text"/>
    <w:basedOn w:val="Normal"/>
    <w:link w:val="a"/>
    <w:uiPriority w:val="99"/>
    <w:semiHidden/>
    <w:unhideWhenUsed/>
    <w:qFormat/>
    <w:rPr>
      <w:sz w:val="20"/>
    </w:rPr>
  </w:style>
  <w:style w:type="paragraph" w:styleId="BalloonText">
    <w:name w:val="Balloon Text"/>
    <w:basedOn w:val="Normal"/>
    <w:link w:val="a11"/>
    <w:qFormat/>
    <w:rPr>
      <w:sz w:val="18"/>
    </w:rPr>
  </w:style>
  <w:style w:type="paragraph" w:styleId="Footer">
    <w:name w:val="footer"/>
    <w:basedOn w:val="Normal"/>
    <w:link w:val="a12"/>
    <w:uiPriority w:val="99"/>
    <w:qFormat/>
    <w:pPr>
      <w:tabs>
        <w:tab w:val="center" w:pos="4153"/>
        <w:tab w:val="right" w:pos="8306"/>
      </w:tabs>
      <w:snapToGrid w:val="0"/>
      <w:jc w:val="left"/>
    </w:pPr>
    <w:rPr>
      <w:sz w:val="18"/>
    </w:rPr>
  </w:style>
  <w:style w:type="paragraph" w:styleId="Header">
    <w:name w:val="header"/>
    <w:basedOn w:val="Normal"/>
    <w:link w:val="a5"/>
    <w:qFormat/>
    <w:pPr>
      <w:pBdr>
        <w:bottom w:val="single" w:sz="6" w:space="1" w:color="auto"/>
      </w:pBdr>
      <w:tabs>
        <w:tab w:val="center" w:pos="4153"/>
        <w:tab w:val="right" w:pos="8306"/>
      </w:tabs>
      <w:snapToGrid w:val="0"/>
      <w:jc w:val="center"/>
    </w:pPr>
    <w:rPr>
      <w:sz w:val="18"/>
    </w:rPr>
  </w:style>
  <w:style w:type="paragraph" w:styleId="TOC1">
    <w:name w:val="toc 1"/>
    <w:basedOn w:val="Normal"/>
    <w:next w:val="Normal"/>
    <w:uiPriority w:val="39"/>
    <w:qFormat/>
    <w:pPr>
      <w:tabs>
        <w:tab w:val="right" w:leader="dot" w:pos="8296"/>
      </w:tabs>
      <w:spacing w:line="360" w:lineRule="auto"/>
    </w:pPr>
  </w:style>
  <w:style w:type="paragraph" w:styleId="TOC4">
    <w:name w:val="toc 4"/>
    <w:basedOn w:val="Normal"/>
    <w:next w:val="Normal"/>
    <w:uiPriority w:val="39"/>
    <w:unhideWhenUsed/>
    <w:qFormat/>
    <w:pPr>
      <w:spacing w:after="57"/>
      <w:ind w:left="850"/>
    </w:pPr>
  </w:style>
  <w:style w:type="paragraph" w:styleId="Subtitle">
    <w:name w:val="Subtitle"/>
    <w:basedOn w:val="Normal"/>
    <w:next w:val="Normal"/>
    <w:link w:val="a0"/>
    <w:uiPriority w:val="11"/>
    <w:qFormat/>
    <w:pPr>
      <w:spacing w:before="200" w:after="200"/>
    </w:pPr>
    <w:rPr>
      <w:sz w:val="24"/>
      <w:szCs w:val="24"/>
    </w:rPr>
  </w:style>
  <w:style w:type="paragraph" w:styleId="FootnoteText">
    <w:name w:val="footnote text"/>
    <w:basedOn w:val="Normal"/>
    <w:link w:val="a13"/>
    <w:qFormat/>
    <w:pPr>
      <w:snapToGrid w:val="0"/>
      <w:jc w:val="left"/>
    </w:pPr>
    <w:rPr>
      <w:sz w:val="18"/>
    </w:rPr>
  </w:style>
  <w:style w:type="paragraph" w:styleId="TOC6">
    <w:name w:val="toc 6"/>
    <w:basedOn w:val="Normal"/>
    <w:next w:val="Normal"/>
    <w:uiPriority w:val="39"/>
    <w:unhideWhenUsed/>
    <w:qFormat/>
    <w:pPr>
      <w:spacing w:after="57"/>
      <w:ind w:left="1417"/>
    </w:pPr>
  </w:style>
  <w:style w:type="paragraph" w:styleId="BodyTextIndent3">
    <w:name w:val="Body Text Indent 3"/>
    <w:basedOn w:val="Normal"/>
    <w:link w:val="30"/>
    <w:qFormat/>
    <w:pPr>
      <w:spacing w:line="360" w:lineRule="auto"/>
      <w:ind w:left="420" w:firstLine="435"/>
    </w:pPr>
    <w:rPr>
      <w:color w:val="0000FF"/>
    </w:rPr>
  </w:style>
  <w:style w:type="paragraph" w:styleId="TableofFigures">
    <w:name w:val="table of figures"/>
    <w:basedOn w:val="Normal"/>
    <w:next w:val="Normal"/>
    <w:uiPriority w:val="99"/>
    <w:unhideWhenUsed/>
    <w:qFormat/>
  </w:style>
  <w:style w:type="paragraph" w:styleId="TOC2">
    <w:name w:val="toc 2"/>
    <w:basedOn w:val="Normal"/>
    <w:next w:val="Normal"/>
    <w:uiPriority w:val="39"/>
    <w:unhideWhenUsed/>
    <w:qFormat/>
    <w:pPr>
      <w:spacing w:after="57"/>
      <w:ind w:left="283"/>
    </w:pPr>
  </w:style>
  <w:style w:type="paragraph" w:styleId="TOC9">
    <w:name w:val="toc 9"/>
    <w:basedOn w:val="Normal"/>
    <w:next w:val="Normal"/>
    <w:uiPriority w:val="39"/>
    <w:semiHidden/>
    <w:unhideWhenUsed/>
    <w:qFormat/>
    <w:pPr>
      <w:ind w:left="3360"/>
    </w:pPr>
  </w:style>
  <w:style w:type="paragraph" w:styleId="HTMLPreformatted">
    <w:name w:val="HTML Preformatted"/>
    <w:basedOn w:val="Normal"/>
    <w:link w:val="HTML"/>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sz w:val="24"/>
    </w:r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sz w:val="24"/>
      <w:szCs w:val="24"/>
    </w:rPr>
  </w:style>
  <w:style w:type="paragraph" w:styleId="Title">
    <w:name w:val="Title"/>
    <w:basedOn w:val="Normal"/>
    <w:next w:val="Normal"/>
    <w:link w:val="a4"/>
    <w:qFormat/>
    <w:pPr>
      <w:spacing w:before="240" w:after="60"/>
      <w:jc w:val="center"/>
      <w:outlineLvl w:val="0"/>
    </w:pPr>
    <w:rPr>
      <w:rFonts w:ascii="Cambria" w:hAnsi="Cambria"/>
      <w:b/>
      <w:sz w:val="32"/>
    </w:rPr>
  </w:style>
  <w:style w:type="paragraph" w:styleId="CommentSubject">
    <w:name w:val="annotation subject"/>
    <w:basedOn w:val="CommentText"/>
    <w:next w:val="CommentText"/>
    <w:link w:val="a14"/>
    <w:qFormat/>
    <w:rPr>
      <w:b/>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EndnoteReference">
    <w:name w:val="endnote reference"/>
    <w:basedOn w:val="DefaultParagraphFont"/>
    <w:uiPriority w:val="99"/>
    <w:semiHidden/>
    <w:unhideWhenUsed/>
    <w:qFormat/>
    <w:rPr>
      <w:vertAlign w:val="superscript"/>
    </w:rPr>
  </w:style>
  <w:style w:type="character" w:styleId="PageNumber">
    <w:name w:val="page number"/>
    <w:basedOn w:val="DefaultParagraphFont"/>
    <w:qFormat/>
  </w:style>
  <w:style w:type="character" w:styleId="FollowedHyperlink">
    <w:name w:val="FollowedHyperlink"/>
    <w:uiPriority w:val="99"/>
    <w:semiHidden/>
    <w:unhideWhenUsed/>
    <w:qFormat/>
    <w:rPr>
      <w:color w:val="954F72"/>
      <w:u w:val="single"/>
    </w:rPr>
  </w:style>
  <w:style w:type="character" w:styleId="Hyperlink">
    <w:name w:val="Hyperlink"/>
    <w:uiPriority w:val="99"/>
    <w:qFormat/>
    <w:rPr>
      <w:color w:val="0000FF"/>
      <w:u w:val="single"/>
    </w:rPr>
  </w:style>
  <w:style w:type="character" w:styleId="CommentReference">
    <w:name w:val="annotation reference"/>
    <w:uiPriority w:val="99"/>
    <w:qFormat/>
    <w:rPr>
      <w:sz w:val="21"/>
    </w:rPr>
  </w:style>
  <w:style w:type="character" w:styleId="FootnoteReference">
    <w:name w:val="footnote reference"/>
    <w:qFormat/>
    <w:rPr>
      <w:vertAlign w:val="superscript"/>
    </w:rPr>
  </w:style>
  <w:style w:type="character" w:customStyle="1" w:styleId="CaptionChar">
    <w:name w:val="Caption Char"/>
    <w:uiPriority w:val="99"/>
    <w:qFormat/>
  </w:style>
  <w:style w:type="character" w:customStyle="1" w:styleId="a">
    <w:name w:val="尾注文本 字符"/>
    <w:link w:val="EndnoteText"/>
    <w:uiPriority w:val="99"/>
    <w:qFormat/>
    <w:rPr>
      <w:sz w:val="20"/>
    </w:rPr>
  </w:style>
  <w:style w:type="character" w:customStyle="1" w:styleId="Heading4Char">
    <w:name w:val="Heading 4 Char"/>
    <w:basedOn w:val="DefaultParagraphFont"/>
    <w:uiPriority w:val="9"/>
    <w:qFormat/>
    <w:rPr>
      <w:rFonts w:ascii="Arial" w:hAnsi="Arial" w:cs="Arial"/>
      <w:b/>
      <w:bCs/>
      <w:sz w:val="26"/>
      <w:szCs w:val="26"/>
    </w:rPr>
  </w:style>
  <w:style w:type="character" w:customStyle="1" w:styleId="Heading5Char">
    <w:name w:val="Heading 5 Char"/>
    <w:basedOn w:val="DefaultParagraphFont"/>
    <w:uiPriority w:val="9"/>
    <w:qFormat/>
    <w:rPr>
      <w:rFonts w:ascii="Arial" w:hAnsi="Arial" w:cs="Arial"/>
      <w:b/>
      <w:bCs/>
      <w:sz w:val="24"/>
      <w:szCs w:val="24"/>
    </w:rPr>
  </w:style>
  <w:style w:type="character" w:customStyle="1" w:styleId="Heading6Char">
    <w:name w:val="Heading 6 Char"/>
    <w:basedOn w:val="DefaultParagraphFont"/>
    <w:uiPriority w:val="9"/>
    <w:qFormat/>
    <w:rPr>
      <w:rFonts w:ascii="Arial" w:hAnsi="Arial" w:cs="Arial"/>
      <w:b/>
      <w:bCs/>
      <w:sz w:val="22"/>
      <w:szCs w:val="22"/>
    </w:rPr>
  </w:style>
  <w:style w:type="character" w:customStyle="1" w:styleId="Heading7Char">
    <w:name w:val="Heading 7 Char"/>
    <w:basedOn w:val="DefaultParagraphFont"/>
    <w:uiPriority w:val="9"/>
    <w:qFormat/>
    <w:rPr>
      <w:rFonts w:ascii="Arial" w:hAnsi="Arial" w:cs="Arial"/>
      <w:b/>
      <w:bCs/>
      <w:i/>
      <w:iCs/>
      <w:sz w:val="22"/>
      <w:szCs w:val="22"/>
    </w:rPr>
  </w:style>
  <w:style w:type="character" w:customStyle="1" w:styleId="Heading8Char">
    <w:name w:val="Heading 8 Char"/>
    <w:basedOn w:val="DefaultParagraphFont"/>
    <w:uiPriority w:val="9"/>
    <w:qFormat/>
    <w:rPr>
      <w:rFonts w:ascii="Arial" w:hAnsi="Arial" w:cs="Arial"/>
      <w:i/>
      <w:iCs/>
      <w:sz w:val="22"/>
      <w:szCs w:val="22"/>
    </w:rPr>
  </w:style>
  <w:style w:type="character" w:customStyle="1" w:styleId="Heading9Char">
    <w:name w:val="Heading 9 Char"/>
    <w:basedOn w:val="DefaultParagraphFont"/>
    <w:uiPriority w:val="9"/>
    <w:qFormat/>
    <w:rPr>
      <w:rFonts w:ascii="Arial" w:hAnsi="Arial" w:cs="Arial"/>
      <w:i/>
      <w:iCs/>
      <w:sz w:val="21"/>
      <w:szCs w:val="21"/>
    </w:rPr>
  </w:style>
  <w:style w:type="character" w:customStyle="1" w:styleId="SubtitleChar">
    <w:name w:val="Subtitle Char"/>
    <w:basedOn w:val="DefaultParagraphFont"/>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ing1Char">
    <w:name w:val="Heading 1 Char"/>
    <w:basedOn w:val="DefaultParagraphFont"/>
    <w:uiPriority w:val="9"/>
    <w:qFormat/>
    <w:rPr>
      <w:rFonts w:ascii="Arial" w:hAnsi="Arial" w:cs="Arial"/>
      <w:sz w:val="40"/>
      <w:szCs w:val="40"/>
    </w:rPr>
  </w:style>
  <w:style w:type="character" w:customStyle="1" w:styleId="Heading2Char">
    <w:name w:val="Heading 2 Char"/>
    <w:basedOn w:val="DefaultParagraphFont"/>
    <w:uiPriority w:val="9"/>
    <w:qFormat/>
    <w:rPr>
      <w:rFonts w:ascii="Arial" w:hAnsi="Arial" w:cs="Arial"/>
      <w:sz w:val="34"/>
    </w:rPr>
  </w:style>
  <w:style w:type="character" w:customStyle="1" w:styleId="Heading3Char">
    <w:name w:val="Heading 3 Char"/>
    <w:basedOn w:val="DefaultParagraphFont"/>
    <w:uiPriority w:val="9"/>
    <w:qFormat/>
    <w:rPr>
      <w:rFonts w:ascii="Arial" w:hAnsi="Arial" w:cs="Arial"/>
      <w:sz w:val="30"/>
      <w:szCs w:val="3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qFormat/>
    <w:rPr>
      <w:rFonts w:ascii="Arial" w:hAnsi="Arial" w:cs="Arial"/>
      <w:b/>
      <w:bCs/>
      <w:sz w:val="22"/>
      <w:szCs w:val="22"/>
    </w:rPr>
  </w:style>
  <w:style w:type="character" w:customStyle="1" w:styleId="7">
    <w:name w:val="标题 7 字符"/>
    <w:basedOn w:val="DefaultParagraphFont"/>
    <w:link w:val="Heading7"/>
    <w:uiPriority w:val="9"/>
    <w:qFormat/>
    <w:rPr>
      <w:rFonts w:ascii="Arial" w:hAnsi="Arial" w:cs="Arial"/>
      <w:b/>
      <w:bCs/>
      <w:i/>
      <w:iCs/>
      <w:sz w:val="22"/>
      <w:szCs w:val="22"/>
    </w:rPr>
  </w:style>
  <w:style w:type="character" w:customStyle="1" w:styleId="8">
    <w:name w:val="标题 8 字符"/>
    <w:basedOn w:val="DefaultParagraphFont"/>
    <w:link w:val="Heading8"/>
    <w:uiPriority w:val="9"/>
    <w:qFormat/>
    <w:rPr>
      <w:rFonts w:ascii="Arial" w:hAnsi="Arial" w:cs="Arial"/>
      <w:i/>
      <w:iCs/>
      <w:sz w:val="22"/>
      <w:szCs w:val="22"/>
    </w:rPr>
  </w:style>
  <w:style w:type="character" w:customStyle="1" w:styleId="9">
    <w:name w:val="标题 9 字符"/>
    <w:basedOn w:val="DefaultParagraphFont"/>
    <w:link w:val="Heading9"/>
    <w:uiPriority w:val="9"/>
    <w:qFormat/>
    <w:rPr>
      <w:rFonts w:ascii="Arial" w:hAnsi="Arial" w:cs="Arial"/>
      <w:i/>
      <w:iCs/>
      <w:sz w:val="21"/>
      <w:szCs w:val="21"/>
    </w:rPr>
  </w:style>
  <w:style w:type="paragraph" w:styleId="NoSpacing">
    <w:name w:val="No Spacing"/>
    <w:uiPriority w:val="1"/>
    <w:qFormat/>
    <w:rPr>
      <w:sz w:val="22"/>
      <w:szCs w:val="22"/>
    </w:rPr>
  </w:style>
  <w:style w:type="character" w:customStyle="1" w:styleId="a0">
    <w:name w:val="副标题 字符"/>
    <w:basedOn w:val="DefaultParagraphFont"/>
    <w:link w:val="Subtitle"/>
    <w:uiPriority w:val="11"/>
    <w:qFormat/>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qFormat/>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qFormat/>
    <w:rPr>
      <w:i/>
    </w:rPr>
  </w:style>
  <w:style w:type="character" w:customStyle="1" w:styleId="FooterChar">
    <w:name w:val="Footer Char"/>
    <w:basedOn w:val="DefaultParagraphFont"/>
    <w:uiPriority w:val="99"/>
    <w:qFormat/>
  </w:style>
  <w:style w:type="table" w:customStyle="1" w:styleId="TableGridLight">
    <w:name w:val="Table Grid Light"/>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
    <w:name w:val="无格式表格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
    <w:name w:val="无格式表格 21"/>
    <w:basedOn w:val="TableNormal"/>
    <w:uiPriority w:val="59"/>
    <w:qFormat/>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
    <w:name w:val="无格式表格 31"/>
    <w:basedOn w:val="TableNormal"/>
    <w:uiPriority w:val="99"/>
    <w:qFormat/>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
    <w:name w:val="无格式表格 41"/>
    <w:basedOn w:val="TableNormal"/>
    <w:uiPriority w:val="99"/>
    <w:qFormat/>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
    <w:name w:val="无格式表格 51"/>
    <w:basedOn w:val="TableNormal"/>
    <w:uiPriority w:val="99"/>
    <w:qFormat/>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0">
    <w:name w:val="网格表 1 浅色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b/>
        <w:color w:val="404040"/>
      </w:rPr>
      <w:tblPr/>
      <w:tcPr>
        <w:tcBorders>
          <w:bottom w:val="single" w:sz="12" w:space="0" w:color="97B4D8"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b/>
        <w:color w:val="404040"/>
      </w:rPr>
      <w:tblPr/>
      <w:tcPr>
        <w:tcBorders>
          <w:bottom w:val="single" w:sz="12" w:space="0" w:color="DA989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b/>
        <w:color w:val="404040"/>
      </w:rPr>
      <w:tblPr/>
      <w:tcPr>
        <w:tcBorders>
          <w:bottom w:val="single" w:sz="12" w:space="0" w:color="C4D79D"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b/>
        <w:color w:val="404040"/>
      </w:rPr>
      <w:tblPr/>
      <w:tcPr>
        <w:tcBorders>
          <w:bottom w:val="single" w:sz="12" w:space="0" w:color="B4A4C8"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b/>
        <w:color w:val="404040"/>
      </w:rPr>
      <w:tblPr/>
      <w:tcPr>
        <w:tcBorders>
          <w:bottom w:val="single" w:sz="12" w:space="0" w:color="95CEDD"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b/>
        <w:color w:val="404040"/>
      </w:rPr>
      <w:tblPr/>
      <w:tcPr>
        <w:tcBorders>
          <w:bottom w:val="single" w:sz="12" w:space="0" w:color="FAC192"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0">
    <w:name w:val="网格表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single" w:sz="12" w:space="0" w:color="5D8AC2" w:themeColor="accent1" w:themeTint="EA"/>
          <w:right w:val="nil"/>
        </w:tcBorders>
        <w:shd w:val="clear" w:color="FFFFFF" w:fill="FFFFFF"/>
      </w:tcPr>
    </w:tblStylePr>
    <w:tblStylePr w:type="lastRow">
      <w:pPr>
        <w:snapToGrid/>
      </w:pPr>
      <w:rPr>
        <w:b/>
        <w:color w:val="404040"/>
      </w:rPr>
      <w:tblPr/>
      <w:tcPr>
        <w:tcBorders>
          <w:top w:val="single" w:sz="4" w:space="0" w:color="5D8AC2"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DEAF6"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single" w:sz="12" w:space="0" w:color="D99695" w:themeColor="accent2" w:themeTint="97"/>
          <w:right w:val="nil"/>
        </w:tcBorders>
        <w:shd w:val="clear" w:color="FFFFFF" w:fill="FFFFFF"/>
      </w:tcPr>
    </w:tblStylePr>
    <w:tblStylePr w:type="lastRow">
      <w:pPr>
        <w:snapToGrid/>
      </w:pPr>
      <w:rPr>
        <w:b/>
        <w:color w:val="404040"/>
      </w:rPr>
      <w:tblPr/>
      <w:tcPr>
        <w:tcBorders>
          <w:top w:val="single" w:sz="4" w:space="0" w:color="D99695"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single" w:sz="12" w:space="0" w:color="9ABB59" w:themeColor="accent3" w:themeTint="FE"/>
          <w:right w:val="nil"/>
        </w:tcBorders>
        <w:shd w:val="clear" w:color="FFFFFF" w:fill="FFFFFF"/>
      </w:tcPr>
    </w:tblStylePr>
    <w:tblStylePr w:type="lastRow">
      <w:pPr>
        <w:snapToGrid/>
      </w:pPr>
      <w:rPr>
        <w:b/>
        <w:color w:val="404040"/>
      </w:rPr>
      <w:tblPr/>
      <w:tcPr>
        <w:tcBorders>
          <w:top w:val="single" w:sz="4" w:space="0" w:color="9ABB59"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single" w:sz="12" w:space="0" w:color="B2A1C6" w:themeColor="accent4" w:themeTint="9A"/>
          <w:right w:val="nil"/>
        </w:tcBorders>
        <w:shd w:val="clear" w:color="FFFFFF" w:fill="FFFFFF"/>
      </w:tcPr>
    </w:tblStylePr>
    <w:tblStylePr w:type="lastRow">
      <w:pPr>
        <w:snapToGrid/>
      </w:pPr>
      <w:rPr>
        <w:b/>
        <w:color w:val="404040"/>
      </w:rPr>
      <w:tblPr/>
      <w:tcPr>
        <w:tcBorders>
          <w:top w:val="single" w:sz="4" w:space="0" w:color="B2A1C6"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single" w:sz="12" w:space="0" w:color="4BACC6" w:themeColor="accent5"/>
          <w:right w:val="nil"/>
        </w:tcBorders>
        <w:shd w:val="clear" w:color="FFFFFF" w:fill="FFFFFF"/>
      </w:tcPr>
    </w:tblStylePr>
    <w:tblStylePr w:type="lastRow">
      <w:pPr>
        <w:snapToGrid/>
      </w:pPr>
      <w:rPr>
        <w:b/>
        <w:color w:val="404040"/>
      </w:rPr>
      <w:tblPr/>
      <w:tcPr>
        <w:tcBorders>
          <w:top w:val="single" w:sz="4" w:space="0" w:color="4BACC6"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single" w:sz="12" w:space="0" w:color="F79646" w:themeColor="accent6"/>
          <w:right w:val="nil"/>
        </w:tcBorders>
        <w:shd w:val="clear" w:color="FFFFFF" w:fill="FFFFFF"/>
      </w:tcPr>
    </w:tblStylePr>
    <w:tblStylePr w:type="lastRow">
      <w:pPr>
        <w:snapToGrid/>
      </w:pPr>
      <w:rPr>
        <w:b/>
        <w:color w:val="404040"/>
      </w:rPr>
      <w:tblPr/>
      <w:tcPr>
        <w:tcBorders>
          <w:top w:val="single" w:sz="4" w:space="0" w:color="F79646"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0">
    <w:name w:val="网格表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DEAF6" w:fill="DAE5F1" w:themeFill="accent1" w:themeFillTint="34"/>
      </w:tcPr>
    </w:tblStylePr>
    <w:tblStylePr w:type="band2Vert">
      <w:pPr>
        <w:snapToGrid/>
      </w:pPr>
    </w:tblStylePr>
    <w:tblStylePr w:type="band1Horz">
      <w:pPr>
        <w:snapToGrid/>
      </w:pPr>
      <w:rPr>
        <w:rFonts w:ascii="Arial" w:hAnsi="Arial"/>
        <w:color w:val="404040"/>
        <w:sz w:val="22"/>
      </w:rPr>
      <w:tblPr/>
      <w:tcPr>
        <w:shd w:val="clear" w:color="DDEAF6" w:fill="DAE5F1"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0">
    <w:name w:val="网格表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pPr>
        <w:snapToGrid/>
      </w:pPr>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68A2D8" w:fill="5D8AC2" w:themeFill="accent1" w:themeFillTint="EA"/>
      </w:tcPr>
    </w:tblStylePr>
    <w:tblStylePr w:type="lastRow">
      <w:pPr>
        <w:snapToGrid/>
      </w:pPr>
      <w:rPr>
        <w:b/>
        <w:color w:val="404040"/>
      </w:rPr>
      <w:tblPr/>
      <w:tcPr>
        <w:tcBorders>
          <w:top w:val="single" w:sz="4" w:space="0" w:color="5D8AC2"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EEBF6" w:fill="DCE6F2" w:themeFill="accent1" w:themeFillTint="32"/>
      </w:tcPr>
    </w:tblStylePr>
    <w:tblStylePr w:type="band2Vert">
      <w:pPr>
        <w:snapToGrid/>
      </w:pPr>
    </w:tblStylePr>
    <w:tblStylePr w:type="band1Horz">
      <w:pPr>
        <w:snapToGrid/>
      </w:pPr>
      <w:rPr>
        <w:rFonts w:ascii="Arial" w:hAnsi="Arial"/>
        <w:color w:val="404040"/>
        <w:sz w:val="22"/>
      </w:rPr>
      <w:tblPr/>
      <w:tcPr>
        <w:shd w:val="clear" w:color="DEEBF6" w:fill="DCE6F2"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pPr>
        <w:snapToGrid/>
      </w:pPr>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4B184" w:fill="D99695" w:themeFill="accent2" w:themeFillTint="97"/>
      </w:tcPr>
    </w:tblStylePr>
    <w:tblStylePr w:type="lastRow">
      <w:pPr>
        <w:snapToGrid/>
      </w:pPr>
      <w:rPr>
        <w:b/>
        <w:color w:val="404040"/>
      </w:rPr>
      <w:tblPr/>
      <w:tcPr>
        <w:tcBorders>
          <w:top w:val="single" w:sz="4" w:space="0" w:color="D99695"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BE5D6" w:fill="F2DCDC" w:themeFill="accent2" w:themeFillTint="32"/>
      </w:tcPr>
    </w:tblStylePr>
    <w:tblStylePr w:type="band2Vert">
      <w:pPr>
        <w:snapToGrid/>
      </w:pPr>
    </w:tblStylePr>
    <w:tblStylePr w:type="band1Horz">
      <w:pPr>
        <w:snapToGrid/>
      </w:pPr>
      <w:rPr>
        <w:rFonts w:ascii="Arial" w:hAnsi="Arial"/>
        <w:color w:val="404040"/>
        <w:sz w:val="22"/>
      </w:rPr>
      <w:tblPr/>
      <w:tcPr>
        <w:shd w:val="clear" w:color="FBE5D6" w:fill="F2DCDC"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pPr>
        <w:snapToGrid/>
      </w:pPr>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5A5A5" w:fill="9ABB59" w:themeFill="accent3" w:themeFillTint="FE"/>
      </w:tcPr>
    </w:tblStylePr>
    <w:tblStylePr w:type="lastRow">
      <w:pPr>
        <w:snapToGrid/>
      </w:pPr>
      <w:rPr>
        <w:b/>
        <w:color w:val="404040"/>
      </w:rPr>
      <w:tblPr/>
      <w:tcPr>
        <w:tcBorders>
          <w:top w:val="single" w:sz="4" w:space="0" w:color="9ABB59"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CECEC" w:fill="EAF1DC" w:themeFill="accent3" w:themeFillTint="34"/>
      </w:tcPr>
    </w:tblStylePr>
    <w:tblStylePr w:type="band2Vert">
      <w:pPr>
        <w:snapToGrid/>
      </w:pPr>
    </w:tblStylePr>
    <w:tblStylePr w:type="band1Horz">
      <w:pPr>
        <w:snapToGrid/>
      </w:pPr>
      <w:rPr>
        <w:rFonts w:ascii="Arial" w:hAnsi="Arial"/>
        <w:color w:val="404040"/>
        <w:sz w:val="22"/>
      </w:rPr>
      <w:tblPr/>
      <w:tcPr>
        <w:shd w:val="clear" w:color="ECECEC" w:fill="EAF1D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pPr>
        <w:snapToGrid/>
      </w:pPr>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D865" w:fill="B2A1C6" w:themeFill="accent4" w:themeFillTint="9A"/>
      </w:tcPr>
    </w:tblStylePr>
    <w:tblStylePr w:type="lastRow">
      <w:pPr>
        <w:snapToGrid/>
      </w:pPr>
      <w:rPr>
        <w:b/>
        <w:color w:val="404040"/>
      </w:rPr>
      <w:tblPr/>
      <w:tcPr>
        <w:tcBorders>
          <w:top w:val="single" w:sz="4" w:space="0" w:color="B2A1C6"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2CB" w:fill="E5DFEC" w:themeFill="accent4" w:themeFillTint="34"/>
      </w:tcPr>
    </w:tblStylePr>
    <w:tblStylePr w:type="band2Vert">
      <w:pPr>
        <w:snapToGrid/>
      </w:pPr>
    </w:tblStylePr>
    <w:tblStylePr w:type="band1Horz">
      <w:pPr>
        <w:snapToGrid/>
      </w:pPr>
      <w:rPr>
        <w:rFonts w:ascii="Arial" w:hAnsi="Arial"/>
        <w:color w:val="404040"/>
        <w:sz w:val="22"/>
      </w:rPr>
      <w:tblPr/>
      <w:tcPr>
        <w:shd w:val="clear" w:color="FFF2CB" w:fill="E5DFEC"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472C4" w:fill="4BACC6" w:themeFill="accent5"/>
      </w:tcPr>
    </w:tblStylePr>
    <w:tblStylePr w:type="lastRow">
      <w:pPr>
        <w:snapToGrid/>
      </w:pPr>
      <w:rPr>
        <w:b/>
        <w:color w:val="404040"/>
      </w:rPr>
      <w:tblPr/>
      <w:tcPr>
        <w:tcBorders>
          <w:top w:val="single" w:sz="4" w:space="0" w:color="4BACC6"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8E2F3" w:fill="DAEEF3" w:themeFill="accent5" w:themeFillTint="34"/>
      </w:tcPr>
    </w:tblStylePr>
    <w:tblStylePr w:type="band2Vert">
      <w:pPr>
        <w:snapToGrid/>
      </w:pPr>
    </w:tblStylePr>
    <w:tblStylePr w:type="band1Horz">
      <w:pPr>
        <w:snapToGrid/>
      </w:pPr>
      <w:rPr>
        <w:rFonts w:ascii="Arial" w:hAnsi="Arial"/>
        <w:color w:val="404040"/>
        <w:sz w:val="22"/>
      </w:rPr>
      <w:tblPr/>
      <w:tcPr>
        <w:shd w:val="clear" w:color="D8E2F3" w:fill="DAEE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70AD47" w:fill="F79646" w:themeFill="accent6"/>
      </w:tcPr>
    </w:tblStylePr>
    <w:tblStylePr w:type="lastRow">
      <w:pPr>
        <w:snapToGrid/>
      </w:pPr>
      <w:rPr>
        <w:b/>
        <w:color w:val="404040"/>
      </w:rPr>
      <w:tblPr/>
      <w:tcPr>
        <w:tcBorders>
          <w:top w:val="single" w:sz="4" w:space="0" w:color="F79646"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1EFD8" w:fill="FDE9D8" w:themeFill="accent6" w:themeFillTint="34"/>
      </w:tcPr>
    </w:tblStylePr>
    <w:tblStylePr w:type="band2Vert">
      <w:pPr>
        <w:snapToGrid/>
      </w:pPr>
    </w:tblStylePr>
    <w:tblStylePr w:type="band1Horz">
      <w:pPr>
        <w:snapToGrid/>
      </w:pPr>
      <w:rPr>
        <w:rFonts w:ascii="Arial" w:hAnsi="Arial"/>
        <w:color w:val="404040"/>
        <w:sz w:val="22"/>
      </w:rPr>
      <w:tblPr/>
      <w:tcPr>
        <w:shd w:val="clear" w:color="E1EFD8" w:fill="FDE9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0">
    <w:name w:val="网格表 5 深色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rFonts w:ascii="Arial" w:hAnsi="Arial"/>
        <w:b/>
        <w:color w:val="FFFFFF"/>
        <w:sz w:val="22"/>
      </w:rPr>
      <w:tblPr/>
      <w:tcPr>
        <w:tcBorders>
          <w:top w:val="single" w:sz="4" w:space="0" w:color="FFFFFF" w:themeColor="light1"/>
        </w:tcBorders>
        <w:shd w:val="clear" w:color="5B9BD5" w:fill="4F81BD" w:themeFill="accent1"/>
      </w:tcPr>
    </w:tblStylePr>
    <w:tblStylePr w:type="firstCol">
      <w:pPr>
        <w:snapToGrid/>
      </w:pPr>
      <w:rPr>
        <w:rFonts w:ascii="Arial" w:hAnsi="Arial"/>
        <w:b/>
        <w:color w:val="FFFFFF"/>
        <w:sz w:val="22"/>
      </w:rPr>
      <w:tblPr/>
      <w:tcPr>
        <w:shd w:val="clear" w:color="5B9BD5" w:fill="4F81BD" w:themeFill="accent1"/>
      </w:tcPr>
    </w:tblStylePr>
    <w:tblStylePr w:type="lastCol">
      <w:pPr>
        <w:snapToGrid/>
      </w:pPr>
      <w:rPr>
        <w:rFonts w:ascii="Arial" w:hAnsi="Arial"/>
        <w:b/>
        <w:color w:val="FFFFFF"/>
        <w:sz w:val="22"/>
      </w:rPr>
      <w:tblPr/>
      <w:tcPr>
        <w:shd w:val="clear" w:color="5B9BD5" w:fill="4F81BD" w:themeFill="accent1"/>
      </w:tcPr>
    </w:tblStylePr>
    <w:tblStylePr w:type="band1Vert">
      <w:pPr>
        <w:snapToGrid/>
      </w:pPr>
      <w:tblPr/>
      <w:tcPr>
        <w:shd w:val="clear" w:color="B3D0EB" w:fill="AEC4E0" w:themeFill="accent1" w:themeFillTint="75"/>
      </w:tcPr>
    </w:tblStylePr>
    <w:tblStylePr w:type="band2Vert">
      <w:pPr>
        <w:snapToGrid/>
      </w:pPr>
    </w:tblStylePr>
    <w:tblStylePr w:type="band1Horz">
      <w:pPr>
        <w:snapToGrid/>
      </w:pPr>
      <w:tblPr/>
      <w:tcPr>
        <w:shd w:val="clear" w:color="B3D0EB" w:fill="AEC4E0"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ED7D31" w:fill="C0504D" w:themeFill="accent2"/>
      </w:tcPr>
    </w:tblStylePr>
    <w:tblStylePr w:type="lastRow">
      <w:pPr>
        <w:snapToGrid/>
      </w:pPr>
      <w:rPr>
        <w:rFonts w:ascii="Arial" w:hAnsi="Arial"/>
        <w:b/>
        <w:color w:val="FFFFFF"/>
        <w:sz w:val="22"/>
      </w:rPr>
      <w:tblPr/>
      <w:tcPr>
        <w:tcBorders>
          <w:top w:val="single" w:sz="4" w:space="0" w:color="FFFFFF" w:themeColor="light1"/>
        </w:tcBorders>
        <w:shd w:val="clear" w:color="ED7D31" w:fill="C0504D" w:themeFill="accent2"/>
      </w:tcPr>
    </w:tblStylePr>
    <w:tblStylePr w:type="firstCol">
      <w:pPr>
        <w:snapToGrid/>
      </w:pPr>
      <w:rPr>
        <w:rFonts w:ascii="Arial" w:hAnsi="Arial"/>
        <w:b/>
        <w:color w:val="FFFFFF"/>
        <w:sz w:val="22"/>
      </w:rPr>
      <w:tblPr/>
      <w:tcPr>
        <w:shd w:val="clear" w:color="ED7D31" w:fill="C0504D" w:themeFill="accent2"/>
      </w:tcPr>
    </w:tblStylePr>
    <w:tblStylePr w:type="lastCol">
      <w:pPr>
        <w:snapToGrid/>
      </w:pPr>
      <w:rPr>
        <w:rFonts w:ascii="Arial" w:hAnsi="Arial"/>
        <w:b/>
        <w:color w:val="FFFFFF"/>
        <w:sz w:val="22"/>
      </w:rPr>
      <w:tblPr/>
      <w:tcPr>
        <w:shd w:val="clear" w:color="ED7D31" w:fill="C0504D" w:themeFill="accent2"/>
      </w:tcPr>
    </w:tblStylePr>
    <w:tblStylePr w:type="band1Vert">
      <w:pPr>
        <w:snapToGrid/>
      </w:pPr>
      <w:tblPr/>
      <w:tcPr>
        <w:shd w:val="clear" w:color="F6C3A0" w:fill="E2AEAD" w:themeFill="accent2" w:themeFillTint="75"/>
      </w:tcPr>
    </w:tblStylePr>
    <w:tblStylePr w:type="band2Vert">
      <w:pPr>
        <w:snapToGrid/>
      </w:pPr>
    </w:tblStylePr>
    <w:tblStylePr w:type="band1Horz">
      <w:pPr>
        <w:snapToGrid/>
      </w:pPr>
      <w:tblPr/>
      <w:tcPr>
        <w:shd w:val="clear" w:color="F6C3A0" w:fill="E2AEAD"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A5A5A5" w:fill="9BBB59" w:themeFill="accent3"/>
      </w:tcPr>
    </w:tblStylePr>
    <w:tblStylePr w:type="lastRow">
      <w:pPr>
        <w:snapToGrid/>
      </w:pPr>
      <w:rPr>
        <w:rFonts w:ascii="Arial" w:hAnsi="Arial"/>
        <w:b/>
        <w:color w:val="FFFFFF"/>
        <w:sz w:val="22"/>
      </w:rPr>
      <w:tblPr/>
      <w:tcPr>
        <w:tcBorders>
          <w:top w:val="single" w:sz="4" w:space="0" w:color="FFFFFF" w:themeColor="light1"/>
        </w:tcBorders>
        <w:shd w:val="clear" w:color="A5A5A5" w:fill="9BBB59" w:themeFill="accent3"/>
      </w:tcPr>
    </w:tblStylePr>
    <w:tblStylePr w:type="firstCol">
      <w:pPr>
        <w:snapToGrid/>
      </w:pPr>
      <w:rPr>
        <w:rFonts w:ascii="Arial" w:hAnsi="Arial"/>
        <w:b/>
        <w:color w:val="FFFFFF"/>
        <w:sz w:val="22"/>
      </w:rPr>
      <w:tblPr/>
      <w:tcPr>
        <w:shd w:val="clear" w:color="A5A5A5" w:fill="9BBB59" w:themeFill="accent3"/>
      </w:tcPr>
    </w:tblStylePr>
    <w:tblStylePr w:type="lastCol">
      <w:pPr>
        <w:snapToGrid/>
      </w:pPr>
      <w:rPr>
        <w:rFonts w:ascii="Arial" w:hAnsi="Arial"/>
        <w:b/>
        <w:color w:val="FFFFFF"/>
        <w:sz w:val="22"/>
      </w:rPr>
      <w:tblPr/>
      <w:tcPr>
        <w:shd w:val="clear" w:color="A5A5A5" w:fill="9BBB59" w:themeFill="accent3"/>
      </w:tcPr>
    </w:tblStylePr>
    <w:tblStylePr w:type="band1Vert">
      <w:pPr>
        <w:snapToGrid/>
      </w:pPr>
      <w:tblPr/>
      <w:tcPr>
        <w:shd w:val="clear" w:color="D5D5D5" w:fill="D0DFB2" w:themeFill="accent3" w:themeFillTint="75"/>
      </w:tcPr>
    </w:tblStylePr>
    <w:tblStylePr w:type="band2Vert">
      <w:pPr>
        <w:snapToGrid/>
      </w:pPr>
    </w:tblStylePr>
    <w:tblStylePr w:type="band1Horz">
      <w:pPr>
        <w:snapToGrid/>
      </w:pPr>
      <w:tblPr/>
      <w:tcPr>
        <w:shd w:val="clear" w:color="D5D5D5" w:fill="D0DFB2"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FFC000" w:fill="8064A2" w:themeFill="accent4"/>
      </w:tcPr>
    </w:tblStylePr>
    <w:tblStylePr w:type="lastRow">
      <w:pPr>
        <w:snapToGrid/>
      </w:pPr>
      <w:rPr>
        <w:rFonts w:ascii="Arial" w:hAnsi="Arial"/>
        <w:b/>
        <w:color w:val="FFFFFF"/>
        <w:sz w:val="22"/>
      </w:rPr>
      <w:tblPr/>
      <w:tcPr>
        <w:tcBorders>
          <w:top w:val="single" w:sz="4" w:space="0" w:color="FFFFFF" w:themeColor="light1"/>
        </w:tcBorders>
        <w:shd w:val="clear" w:color="FFC000" w:fill="8064A2" w:themeFill="accent4"/>
      </w:tcPr>
    </w:tblStylePr>
    <w:tblStylePr w:type="firstCol">
      <w:pPr>
        <w:snapToGrid/>
      </w:pPr>
      <w:rPr>
        <w:rFonts w:ascii="Arial" w:hAnsi="Arial"/>
        <w:b/>
        <w:color w:val="FFFFFF"/>
        <w:sz w:val="22"/>
      </w:rPr>
      <w:tblPr/>
      <w:tcPr>
        <w:shd w:val="clear" w:color="FFC000" w:fill="8064A2" w:themeFill="accent4"/>
      </w:tcPr>
    </w:tblStylePr>
    <w:tblStylePr w:type="lastCol">
      <w:pPr>
        <w:snapToGrid/>
      </w:pPr>
      <w:rPr>
        <w:rFonts w:ascii="Arial" w:hAnsi="Arial"/>
        <w:b/>
        <w:color w:val="FFFFFF"/>
        <w:sz w:val="22"/>
      </w:rPr>
      <w:tblPr/>
      <w:tcPr>
        <w:shd w:val="clear" w:color="FFC000" w:fill="8064A2" w:themeFill="accent4"/>
      </w:tcPr>
    </w:tblStylePr>
    <w:tblStylePr w:type="band1Vert">
      <w:pPr>
        <w:snapToGrid/>
      </w:pPr>
      <w:tblPr/>
      <w:tcPr>
        <w:shd w:val="clear" w:color="FFE28A" w:fill="C4B7D4" w:themeFill="accent4" w:themeFillTint="75"/>
      </w:tcPr>
    </w:tblStylePr>
    <w:tblStylePr w:type="band2Vert">
      <w:pPr>
        <w:snapToGrid/>
      </w:pPr>
    </w:tblStylePr>
    <w:tblStylePr w:type="band1Horz">
      <w:pPr>
        <w:snapToGrid/>
      </w:pPr>
      <w:tblPr/>
      <w:tcPr>
        <w:shd w:val="clear" w:color="FFE28A" w:fill="C4B7D4"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4472C4" w:fill="4BACC6" w:themeFill="accent5"/>
      </w:tcPr>
    </w:tblStylePr>
    <w:tblStylePr w:type="lastRow">
      <w:pPr>
        <w:snapToGrid/>
      </w:pPr>
      <w:rPr>
        <w:rFonts w:ascii="Arial" w:hAnsi="Arial"/>
        <w:b/>
        <w:color w:val="FFFFFF"/>
        <w:sz w:val="22"/>
      </w:rPr>
      <w:tblPr/>
      <w:tcPr>
        <w:tcBorders>
          <w:top w:val="single" w:sz="4" w:space="0" w:color="FFFFFF" w:themeColor="light1"/>
        </w:tcBorders>
        <w:shd w:val="clear" w:color="4472C4" w:fill="4BACC6" w:themeFill="accent5"/>
      </w:tcPr>
    </w:tblStylePr>
    <w:tblStylePr w:type="firstCol">
      <w:pPr>
        <w:snapToGrid/>
      </w:pPr>
      <w:rPr>
        <w:rFonts w:ascii="Arial" w:hAnsi="Arial"/>
        <w:b/>
        <w:color w:val="FFFFFF"/>
        <w:sz w:val="22"/>
      </w:rPr>
      <w:tblPr/>
      <w:tcPr>
        <w:shd w:val="clear" w:color="4472C4" w:fill="4BACC6" w:themeFill="accent5"/>
      </w:tcPr>
    </w:tblStylePr>
    <w:tblStylePr w:type="lastCol">
      <w:pPr>
        <w:snapToGrid/>
      </w:pPr>
      <w:rPr>
        <w:rFonts w:ascii="Arial" w:hAnsi="Arial"/>
        <w:b/>
        <w:color w:val="FFFFFF"/>
        <w:sz w:val="22"/>
      </w:rPr>
      <w:tblPr/>
      <w:tcPr>
        <w:shd w:val="clear" w:color="4472C4" w:fill="4BACC6" w:themeFill="accent5"/>
      </w:tcPr>
    </w:tblStylePr>
    <w:tblStylePr w:type="band1Vert">
      <w:pPr>
        <w:snapToGrid/>
      </w:pPr>
      <w:tblPr/>
      <w:tcPr>
        <w:shd w:val="clear" w:color="A9BEE4" w:fill="ACD8E4" w:themeFill="accent5" w:themeFillTint="75"/>
      </w:tcPr>
    </w:tblStylePr>
    <w:tblStylePr w:type="band2Vert">
      <w:pPr>
        <w:snapToGrid/>
      </w:pPr>
    </w:tblStylePr>
    <w:tblStylePr w:type="band1Horz">
      <w:pPr>
        <w:snapToGrid/>
      </w:pPr>
      <w:tblPr/>
      <w:tcPr>
        <w:shd w:val="clear" w:color="A9BEE4" w:fill="ACD8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pPr>
        <w:snapToGrid/>
      </w:pPr>
      <w:rPr>
        <w:rFonts w:ascii="Arial" w:hAnsi="Arial"/>
        <w:b/>
        <w:color w:val="FFFFFF"/>
        <w:sz w:val="22"/>
      </w:rPr>
      <w:tblPr/>
      <w:tcPr>
        <w:shd w:val="clear" w:color="70AD47" w:fill="F79646" w:themeFill="accent6"/>
      </w:tcPr>
    </w:tblStylePr>
    <w:tblStylePr w:type="lastRow">
      <w:pPr>
        <w:snapToGrid/>
      </w:pPr>
      <w:rPr>
        <w:rFonts w:ascii="Arial" w:hAnsi="Arial"/>
        <w:b/>
        <w:color w:val="FFFFFF"/>
        <w:sz w:val="22"/>
      </w:rPr>
      <w:tblPr/>
      <w:tcPr>
        <w:tcBorders>
          <w:top w:val="single" w:sz="4" w:space="0" w:color="FFFFFF" w:themeColor="light1"/>
        </w:tcBorders>
        <w:shd w:val="clear" w:color="70AD47" w:fill="F79646" w:themeFill="accent6"/>
      </w:tcPr>
    </w:tblStylePr>
    <w:tblStylePr w:type="firstCol">
      <w:pPr>
        <w:snapToGrid/>
      </w:pPr>
      <w:rPr>
        <w:rFonts w:ascii="Arial" w:hAnsi="Arial"/>
        <w:b/>
        <w:color w:val="FFFFFF"/>
        <w:sz w:val="22"/>
      </w:rPr>
      <w:tblPr/>
      <w:tcPr>
        <w:shd w:val="clear" w:color="70AD47" w:fill="F79646" w:themeFill="accent6"/>
      </w:tcPr>
    </w:tblStylePr>
    <w:tblStylePr w:type="lastCol">
      <w:pPr>
        <w:snapToGrid/>
      </w:pPr>
      <w:rPr>
        <w:rFonts w:ascii="Arial" w:hAnsi="Arial"/>
        <w:b/>
        <w:color w:val="FFFFFF"/>
        <w:sz w:val="22"/>
      </w:rPr>
      <w:tblPr/>
      <w:tcPr>
        <w:shd w:val="clear" w:color="70AD47" w:fill="F79646" w:themeFill="accent6"/>
      </w:tcPr>
    </w:tblStylePr>
    <w:tblStylePr w:type="band1Vert">
      <w:pPr>
        <w:snapToGrid/>
      </w:pPr>
      <w:tblPr/>
      <w:tcPr>
        <w:shd w:val="clear" w:color="BCDBA8" w:fill="FBCEAA" w:themeFill="accent6" w:themeFillTint="75"/>
      </w:tcPr>
    </w:tblStylePr>
    <w:tblStylePr w:type="band2Vert">
      <w:pPr>
        <w:snapToGrid/>
      </w:pPr>
    </w:tblStylePr>
    <w:tblStylePr w:type="band1Horz">
      <w:pPr>
        <w:snapToGrid/>
      </w:pPr>
      <w:tblPr/>
      <w:tcPr>
        <w:shd w:val="clear" w:color="BCDBA8" w:fill="FBCEAA"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
    <w:name w:val="网格表 6 彩色1"/>
    <w:basedOn w:val="TableNormal"/>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qFormat/>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b/>
        <w:color w:val="A6BFDD" w:themeColor="accent1" w:themeShade="95" w:themeTint="80"/>
      </w:rPr>
      <w:tblPr/>
      <w:tcPr>
        <w:tcBorders>
          <w:bottom w:val="single" w:sz="12" w:space="0" w:color="A6BFDD" w:themeColor="accent1" w:themeTint="80"/>
        </w:tcBorders>
      </w:tcPr>
    </w:tblStylePr>
    <w:tblStylePr w:type="lastRow">
      <w:pPr>
        <w:snapToGrid/>
      </w:pPr>
      <w:rPr>
        <w:b/>
        <w:color w:val="A6BFDD" w:themeColor="accent1" w:themeShade="95" w:themeTint="80"/>
      </w:rPr>
    </w:tblStylePr>
    <w:tblStylePr w:type="firstCol">
      <w:pPr>
        <w:snapToGrid/>
      </w:pPr>
      <w:rPr>
        <w:b/>
        <w:color w:val="A6BFDD" w:themeColor="accent1" w:themeShade="95" w:themeTint="80"/>
      </w:rPr>
    </w:tblStylePr>
    <w:tblStylePr w:type="lastCol">
      <w:pPr>
        <w:snapToGrid/>
      </w:pPr>
      <w:rPr>
        <w:b/>
        <w:color w:val="A6BFDD" w:themeColor="accent1" w:themeShade="95" w:themeTint="80"/>
      </w:rPr>
    </w:tblStylePr>
    <w:tblStylePr w:type="band1Vert">
      <w:pPr>
        <w:snapToGrid/>
      </w:pPr>
      <w:tblPr/>
      <w:tcPr>
        <w:shd w:val="clear" w:color="DDEAF6"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DEAF6"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b/>
        <w:color w:val="D99695" w:themeColor="accent2" w:themeShade="95" w:themeTint="97"/>
      </w:rPr>
      <w:tblPr/>
      <w:tcPr>
        <w:tcBorders>
          <w:bottom w:val="single" w:sz="12" w:space="0" w:color="D99695" w:themeColor="accent2" w:themeTint="97"/>
        </w:tcBorders>
      </w:tcPr>
    </w:tblStylePr>
    <w:tblStylePr w:type="lastRow">
      <w:pPr>
        <w:snapToGrid/>
      </w:pPr>
      <w:rPr>
        <w:b/>
        <w:color w:val="D99695" w:themeColor="accent2" w:themeShade="95" w:themeTint="97"/>
      </w:r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FBE5D6"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BE5D6"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qFormat/>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b/>
        <w:color w:val="9ABB59" w:themeColor="accent3" w:themeShade="95" w:themeTint="FE"/>
      </w:rPr>
      <w:tblPr/>
      <w:tcPr>
        <w:tcBorders>
          <w:bottom w:val="single" w:sz="12" w:space="0" w:color="9ABB59" w:themeColor="accent3" w:themeTint="FE"/>
        </w:tcBorders>
      </w:tcPr>
    </w:tblStylePr>
    <w:tblStylePr w:type="lastRow">
      <w:pPr>
        <w:snapToGrid/>
      </w:pPr>
      <w:rPr>
        <w:b/>
        <w:color w:val="9ABB59" w:themeColor="accent3" w:themeShade="95" w:themeTint="FE"/>
      </w:rPr>
    </w:tblStylePr>
    <w:tblStylePr w:type="firstCol">
      <w:pPr>
        <w:snapToGrid/>
      </w:pPr>
      <w:rPr>
        <w:b/>
        <w:color w:val="9ABB59" w:themeColor="accent3" w:themeShade="95" w:themeTint="FE"/>
      </w:rPr>
    </w:tblStylePr>
    <w:tblStylePr w:type="lastCol">
      <w:pPr>
        <w:snapToGrid/>
      </w:pPr>
      <w:rPr>
        <w:b/>
        <w:color w:val="9ABB59" w:themeColor="accent3" w:themeShade="95" w:themeTint="FE"/>
      </w:rPr>
    </w:tblStylePr>
    <w:tblStylePr w:type="band1Vert">
      <w:pPr>
        <w:snapToGrid/>
      </w:pPr>
      <w:tblPr/>
      <w:tcPr>
        <w:shd w:val="clear" w:color="ECECE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CECE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b/>
        <w:color w:val="B2A1C6" w:themeColor="accent4" w:themeShade="95" w:themeTint="9A"/>
      </w:rPr>
      <w:tblPr/>
      <w:tcPr>
        <w:tcBorders>
          <w:bottom w:val="single" w:sz="12" w:space="0" w:color="B2A1C6" w:themeColor="accent4" w:themeTint="9A"/>
        </w:tcBorders>
      </w:tcPr>
    </w:tblStylePr>
    <w:tblStylePr w:type="lastRow">
      <w:pPr>
        <w:snapToGrid/>
      </w:pPr>
      <w:rPr>
        <w:b/>
        <w:color w:val="B2A1C6" w:themeColor="accent4" w:themeShade="95" w:themeTint="9A"/>
      </w:r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FFF2CB"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F2CB"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pPr>
        <w:snapToGrid/>
      </w:pPr>
      <w:rPr>
        <w:b/>
        <w:color w:val="266779" w:themeColor="accent5" w:themeShade="95"/>
      </w:rPr>
      <w:tblPr/>
      <w:tcPr>
        <w:tcBorders>
          <w:bottom w:val="single" w:sz="12" w:space="0" w:color="4BACC6" w:themeColor="accent5"/>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D8E2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8E2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qFormat/>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pPr>
        <w:snapToGrid/>
      </w:pPr>
      <w:rPr>
        <w:b/>
        <w:color w:val="266779" w:themeColor="accent5" w:themeShade="95"/>
      </w:rPr>
      <w:tblPr/>
      <w:tcPr>
        <w:tcBorders>
          <w:bottom w:val="single" w:sz="12" w:space="0" w:color="F79646" w:themeColor="accent6"/>
        </w:tcBorders>
      </w:tcPr>
    </w:tblStylePr>
    <w:tblStylePr w:type="lastRow">
      <w:pPr>
        <w:snapToGrid/>
      </w:pPr>
      <w:rPr>
        <w:b/>
        <w:color w:val="266779" w:themeColor="accent5" w:themeShade="95"/>
      </w:rPr>
    </w:tblStylePr>
    <w:tblStylePr w:type="firstCol">
      <w:pPr>
        <w:snapToGrid/>
      </w:pPr>
      <w:rPr>
        <w:b/>
        <w:color w:val="266779" w:themeColor="accent5" w:themeShade="95"/>
      </w:rPr>
    </w:tblStylePr>
    <w:tblStylePr w:type="lastCol">
      <w:pPr>
        <w:snapToGrid/>
      </w:pPr>
      <w:rPr>
        <w:b/>
        <w:color w:val="266779" w:themeColor="accent5" w:themeShade="95"/>
      </w:rPr>
    </w:tblStylePr>
    <w:tblStylePr w:type="band1Vert">
      <w:pPr>
        <w:snapToGrid/>
      </w:pPr>
      <w:tblPr/>
      <w:tcPr>
        <w:shd w:val="clear" w:color="E1EFD8" w:fill="FDE9D8" w:themeFill="accent6"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E1EFD8" w:fill="FDE9D8" w:themeFill="accent6"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
    <w:name w:val="网格表 7 彩色1"/>
    <w:basedOn w:val="TableNormal"/>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qFormat/>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pPr>
        <w:snapToGrid/>
      </w:pPr>
      <w:rPr>
        <w:rFonts w:ascii="Arial" w:hAnsi="Arial"/>
        <w:b/>
        <w:color w:val="A6BFDD" w:themeColor="accent1" w:themeShade="95" w:themeTint="80"/>
        <w:sz w:val="22"/>
      </w:rPr>
      <w:tblPr/>
      <w:tcPr>
        <w:tcBorders>
          <w:top w:val="nil"/>
          <w:left w:val="nil"/>
          <w:bottom w:val="single" w:sz="4" w:space="0" w:color="A6BFDD" w:themeColor="accent1" w:themeTint="80"/>
          <w:right w:val="nil"/>
        </w:tcBorders>
        <w:shd w:val="clear" w:color="FFFFFF" w:fill="FFFFFF" w:themeFill="light1"/>
      </w:tcPr>
    </w:tblStylePr>
    <w:tblStylePr w:type="lastRow">
      <w:pPr>
        <w:snapToGrid/>
      </w:pPr>
      <w:rPr>
        <w:rFonts w:ascii="Arial" w:hAnsi="Arial"/>
        <w:b/>
        <w:color w:val="A6BFDD" w:themeColor="accent1" w:themeShade="95" w:themeTint="80"/>
        <w:sz w:val="22"/>
      </w:rPr>
      <w:tblPr/>
      <w:tcPr>
        <w:tcBorders>
          <w:top w:val="single" w:sz="4" w:space="0" w:color="A6BFDD" w:themeColor="accent1" w:themeTint="80"/>
          <w:left w:val="nil"/>
          <w:bottom w:val="nil"/>
          <w:right w:val="nil"/>
        </w:tcBorders>
        <w:shd w:val="clear" w:color="FFFFFF" w:fill="FFFFFF" w:themeFill="light1"/>
      </w:tcPr>
    </w:tblStylePr>
    <w:tblStylePr w:type="firstCol">
      <w:pPr>
        <w:snapToGrid/>
        <w:jc w:val="right"/>
      </w:pPr>
      <w:rPr>
        <w:rFonts w:ascii="Arial" w:hAnsi="Arial"/>
        <w:i/>
        <w:color w:val="A6BFDD" w:themeColor="accent1" w:themeShade="95" w:themeTint="80"/>
        <w:sz w:val="22"/>
      </w:rPr>
      <w:tblPr/>
      <w:tcPr>
        <w:tcBorders>
          <w:top w:val="nil"/>
          <w:left w:val="nil"/>
          <w:bottom w:val="nil"/>
          <w:right w:val="single" w:sz="4" w:space="0" w:color="A6BFDD" w:themeColor="accent1" w:themeTint="80"/>
        </w:tcBorders>
        <w:shd w:val="clear" w:color="FFFFFF" w:fill="FFFFFF"/>
      </w:tcPr>
    </w:tblStylePr>
    <w:tblStylePr w:type="lastCol">
      <w:pPr>
        <w:snapToGrid/>
      </w:pPr>
      <w:rPr>
        <w:rFonts w:ascii="Arial" w:hAnsi="Arial"/>
        <w:i/>
        <w:color w:val="A6BFDD" w:themeColor="accent1" w:themeShade="95" w:themeTint="80"/>
        <w:sz w:val="22"/>
      </w:rPr>
      <w:tblPr/>
      <w:tcPr>
        <w:tcBorders>
          <w:top w:val="nil"/>
          <w:left w:val="single" w:sz="4" w:space="0" w:color="A6BFDD" w:themeColor="accent1" w:themeTint="80"/>
          <w:bottom w:val="nil"/>
          <w:right w:val="nil"/>
        </w:tcBorders>
        <w:shd w:val="clear" w:color="FFFFFF" w:fill="FFFFFF"/>
      </w:tcPr>
    </w:tblStylePr>
    <w:tblStylePr w:type="band1Vert">
      <w:pPr>
        <w:snapToGrid/>
      </w:pPr>
      <w:tblPr/>
      <w:tcPr>
        <w:shd w:val="clear" w:color="DDEAF6" w:fill="DAE5F1" w:themeFill="accent1" w:themeFillTint="34"/>
      </w:tcPr>
    </w:tblStylePr>
    <w:tblStylePr w:type="band2Vert">
      <w:pPr>
        <w:snapToGrid/>
      </w:pPr>
    </w:tblStylePr>
    <w:tblStylePr w:type="band1Horz">
      <w:pPr>
        <w:snapToGrid/>
      </w:pPr>
      <w:rPr>
        <w:rFonts w:ascii="Arial" w:hAnsi="Arial"/>
        <w:color w:val="A6BFDD" w:themeColor="accent1" w:themeShade="95" w:themeTint="80"/>
        <w:sz w:val="22"/>
      </w:rPr>
      <w:tblPr/>
      <w:tcPr>
        <w:shd w:val="clear" w:color="DDEAF6" w:fill="DAE5F1" w:themeFill="accent1" w:themeFillTint="34"/>
      </w:tcPr>
    </w:tblStylePr>
    <w:tblStylePr w:type="band2Horz">
      <w:pPr>
        <w:snapToGrid/>
      </w:pPr>
      <w:rPr>
        <w:rFonts w:ascii="Arial" w:hAnsi="Arial"/>
        <w:color w:val="A6BFDD"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qFormat/>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pPr>
        <w:snapToGrid/>
      </w:pPr>
      <w:rPr>
        <w:rFonts w:ascii="Arial" w:hAnsi="Arial"/>
        <w:b/>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b/>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BE5D6" w:fill="F2DCDC" w:themeFill="accent2" w:themeFillTint="32"/>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BE5D6" w:fill="F2DCDC" w:themeFill="accent2" w:themeFillTint="32"/>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pPr>
        <w:snapToGrid/>
      </w:pPr>
      <w:rPr>
        <w:rFonts w:ascii="Arial" w:hAnsi="Arial"/>
        <w:b/>
        <w:color w:val="9ABB59" w:themeColor="accent3" w:themeShade="95" w:themeTint="FE"/>
        <w:sz w:val="22"/>
      </w:rPr>
      <w:tblPr/>
      <w:tcPr>
        <w:tcBorders>
          <w:top w:val="nil"/>
          <w:left w:val="nil"/>
          <w:bottom w:val="single" w:sz="4" w:space="0" w:color="9ABB59" w:themeColor="accent3" w:themeTint="FE"/>
          <w:right w:val="nil"/>
        </w:tcBorders>
        <w:shd w:val="clear" w:color="FFFFFF" w:fill="FFFFFF" w:themeFill="light1"/>
      </w:tcPr>
    </w:tblStylePr>
    <w:tblStylePr w:type="lastRow">
      <w:pPr>
        <w:snapToGrid/>
      </w:pPr>
      <w:rPr>
        <w:rFonts w:ascii="Arial" w:hAnsi="Arial"/>
        <w:b/>
        <w:color w:val="9ABB59" w:themeColor="accent3" w:themeShade="95" w:themeTint="FE"/>
        <w:sz w:val="22"/>
      </w:rPr>
      <w:tblPr/>
      <w:tcPr>
        <w:tcBorders>
          <w:top w:val="single" w:sz="4" w:space="0" w:color="9ABB59" w:themeColor="accent3" w:themeTint="FE"/>
          <w:left w:val="nil"/>
          <w:bottom w:val="nil"/>
          <w:right w:val="nil"/>
        </w:tcBorders>
        <w:shd w:val="clear" w:color="FFFFFF" w:fill="FFFFFF" w:themeFill="light1"/>
      </w:tcPr>
    </w:tblStylePr>
    <w:tblStylePr w:type="firstCol">
      <w:pPr>
        <w:snapToGrid/>
        <w:jc w:val="right"/>
      </w:pPr>
      <w:rPr>
        <w:rFonts w:ascii="Arial" w:hAnsi="Arial"/>
        <w:i/>
        <w:color w:val="9ABB59" w:themeColor="accent3" w:themeShade="95" w:themeTint="FE"/>
        <w:sz w:val="22"/>
      </w:rPr>
      <w:tblPr/>
      <w:tcPr>
        <w:tcBorders>
          <w:top w:val="nil"/>
          <w:left w:val="nil"/>
          <w:bottom w:val="nil"/>
          <w:right w:val="single" w:sz="4" w:space="0" w:color="9ABB59" w:themeColor="accent3" w:themeTint="FE"/>
        </w:tcBorders>
        <w:shd w:val="clear" w:color="FFFFFF" w:fill="FFFFFF"/>
      </w:tcPr>
    </w:tblStylePr>
    <w:tblStylePr w:type="lastCol">
      <w:pPr>
        <w:snapToGrid/>
      </w:pPr>
      <w:rPr>
        <w:rFonts w:ascii="Arial" w:hAnsi="Arial"/>
        <w:i/>
        <w:color w:val="9ABB59" w:themeColor="accent3" w:themeShade="95" w:themeTint="FE"/>
        <w:sz w:val="22"/>
      </w:rPr>
      <w:tblPr/>
      <w:tcPr>
        <w:tcBorders>
          <w:top w:val="nil"/>
          <w:left w:val="single" w:sz="4" w:space="0" w:color="9ABB59" w:themeColor="accent3" w:themeTint="FE"/>
          <w:bottom w:val="nil"/>
          <w:right w:val="nil"/>
        </w:tcBorders>
        <w:shd w:val="clear" w:color="FFFFFF" w:fill="FFFFFF"/>
      </w:tcPr>
    </w:tblStylePr>
    <w:tblStylePr w:type="band1Vert">
      <w:pPr>
        <w:snapToGrid/>
      </w:pPr>
      <w:tblPr/>
      <w:tcPr>
        <w:shd w:val="clear" w:color="ECECEC" w:fill="EAF1DC" w:themeFill="accent3" w:themeFillTint="34"/>
      </w:tcPr>
    </w:tblStylePr>
    <w:tblStylePr w:type="band2Vert">
      <w:pPr>
        <w:snapToGrid/>
      </w:pPr>
    </w:tblStylePr>
    <w:tblStylePr w:type="band1Horz">
      <w:pPr>
        <w:snapToGrid/>
      </w:pPr>
      <w:rPr>
        <w:rFonts w:ascii="Arial" w:hAnsi="Arial"/>
        <w:color w:val="9ABB59" w:themeColor="accent3" w:themeShade="95" w:themeTint="FE"/>
        <w:sz w:val="22"/>
      </w:rPr>
      <w:tblPr/>
      <w:tcPr>
        <w:shd w:val="clear" w:color="ECECEC" w:fill="EAF1DC" w:themeFill="accent3" w:themeFillTint="34"/>
      </w:tcPr>
    </w:tblStylePr>
    <w:tblStylePr w:type="band2Horz">
      <w:pPr>
        <w:snapToGrid/>
      </w:pPr>
      <w:rPr>
        <w:rFonts w:ascii="Arial" w:hAnsi="Arial"/>
        <w:color w:val="9ABB59"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pPr>
        <w:snapToGrid/>
      </w:pPr>
      <w:rPr>
        <w:rFonts w:ascii="Arial" w:hAnsi="Arial"/>
        <w:b/>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b/>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F2CB" w:fill="E5DFEC" w:themeFill="accent4" w:themeFillTint="34"/>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F2CB" w:fill="E5DFEC" w:themeFill="accent4" w:themeFillTint="34"/>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qFormat/>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pPr>
        <w:snapToGrid/>
      </w:pPr>
      <w:rPr>
        <w:rFonts w:ascii="Arial" w:hAnsi="Arial"/>
        <w:b/>
        <w:color w:val="266779" w:themeColor="accent5" w:themeShade="95"/>
        <w:sz w:val="22"/>
      </w:rPr>
      <w:tblPr/>
      <w:tcPr>
        <w:tcBorders>
          <w:top w:val="nil"/>
          <w:left w:val="nil"/>
          <w:bottom w:val="single" w:sz="4" w:space="0" w:color="99D0DE" w:themeColor="accent5" w:themeTint="90"/>
          <w:right w:val="nil"/>
        </w:tcBorders>
        <w:shd w:val="clear" w:color="FFFFFF" w:fill="FFFFFF" w:themeFill="light1"/>
      </w:tcPr>
    </w:tblStylePr>
    <w:tblStylePr w:type="lastRow">
      <w:pPr>
        <w:snapToGrid/>
      </w:pPr>
      <w:rPr>
        <w:rFonts w:ascii="Arial" w:hAnsi="Arial"/>
        <w:b/>
        <w:color w:val="266779" w:themeColor="accent5" w:themeShade="95"/>
        <w:sz w:val="22"/>
      </w:rPr>
      <w:tblPr/>
      <w:tcPr>
        <w:tcBorders>
          <w:top w:val="single" w:sz="4" w:space="0" w:color="99D0DE" w:themeColor="accent5" w:themeTint="90"/>
          <w:left w:val="nil"/>
          <w:bottom w:val="nil"/>
          <w:right w:val="nil"/>
        </w:tcBorders>
        <w:shd w:val="clear" w:color="FFFFFF" w:fill="FFFFFF" w:themeFill="light1"/>
      </w:tcPr>
    </w:tblStylePr>
    <w:tblStylePr w:type="firstCol">
      <w:pPr>
        <w:snapToGrid/>
        <w:jc w:val="right"/>
      </w:pPr>
      <w:rPr>
        <w:rFonts w:ascii="Arial" w:hAnsi="Arial"/>
        <w:i/>
        <w:color w:val="266779" w:themeColor="accent5" w:themeShade="95"/>
        <w:sz w:val="22"/>
      </w:rPr>
      <w:tblPr/>
      <w:tcPr>
        <w:tcBorders>
          <w:top w:val="nil"/>
          <w:left w:val="nil"/>
          <w:bottom w:val="nil"/>
          <w:right w:val="single" w:sz="4" w:space="0" w:color="99D0DE" w:themeColor="accent5" w:themeTint="90"/>
        </w:tcBorders>
        <w:shd w:val="clear" w:color="FFFFFF" w:fill="FFFFFF"/>
      </w:tcPr>
    </w:tblStylePr>
    <w:tblStylePr w:type="lastCol">
      <w:pPr>
        <w:snapToGrid/>
      </w:pPr>
      <w:rPr>
        <w:rFonts w:ascii="Arial" w:hAnsi="Arial"/>
        <w:i/>
        <w:color w:val="266779" w:themeColor="accent5" w:themeShade="95"/>
        <w:sz w:val="22"/>
      </w:rPr>
      <w:tblPr/>
      <w:tcPr>
        <w:tcBorders>
          <w:top w:val="nil"/>
          <w:left w:val="single" w:sz="4" w:space="0" w:color="99D0DE" w:themeColor="accent5" w:themeTint="90"/>
          <w:bottom w:val="nil"/>
          <w:right w:val="nil"/>
        </w:tcBorders>
        <w:shd w:val="clear" w:color="FFFFFF" w:fill="FFFFFF"/>
      </w:tcPr>
    </w:tblStylePr>
    <w:tblStylePr w:type="band1Vert">
      <w:pPr>
        <w:snapToGrid/>
      </w:pPr>
      <w:tblPr/>
      <w:tcPr>
        <w:shd w:val="clear" w:color="D8E2F3" w:fill="DAEEF3" w:themeFill="accent5" w:themeFillTint="34"/>
      </w:tcPr>
    </w:tblStylePr>
    <w:tblStylePr w:type="band2Vert">
      <w:pPr>
        <w:snapToGrid/>
      </w:pPr>
    </w:tblStylePr>
    <w:tblStylePr w:type="band1Horz">
      <w:pPr>
        <w:snapToGrid/>
      </w:pPr>
      <w:rPr>
        <w:rFonts w:ascii="Arial" w:hAnsi="Arial"/>
        <w:color w:val="266779" w:themeColor="accent5" w:themeShade="95"/>
        <w:sz w:val="22"/>
      </w:rPr>
      <w:tblPr/>
      <w:tcPr>
        <w:shd w:val="clear" w:color="D8E2F3" w:fill="DAEEF3" w:themeFill="accent5" w:themeFillTint="34"/>
      </w:tcPr>
    </w:tblStylePr>
    <w:tblStylePr w:type="band2Horz">
      <w:pPr>
        <w:snapToGrid/>
      </w:pPr>
      <w:rPr>
        <w:rFonts w:ascii="Arial" w:hAnsi="Arial"/>
        <w:color w:val="266779"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pPr>
        <w:snapToGrid/>
      </w:pPr>
      <w:rPr>
        <w:rFonts w:ascii="Arial" w:hAnsi="Arial"/>
        <w:b/>
        <w:color w:val="B15407" w:themeColor="accent6" w:themeShade="95"/>
        <w:sz w:val="22"/>
      </w:rPr>
      <w:tblPr/>
      <w:tcPr>
        <w:tcBorders>
          <w:top w:val="nil"/>
          <w:left w:val="nil"/>
          <w:bottom w:val="single" w:sz="4" w:space="0" w:color="FAC396" w:themeColor="accent6" w:themeTint="90"/>
          <w:right w:val="nil"/>
        </w:tcBorders>
        <w:shd w:val="clear" w:color="FFFFFF" w:fill="FFFFFF" w:themeFill="light1"/>
      </w:tcPr>
    </w:tblStylePr>
    <w:tblStylePr w:type="lastRow">
      <w:pPr>
        <w:snapToGrid/>
      </w:pPr>
      <w:rPr>
        <w:rFonts w:ascii="Arial" w:hAnsi="Arial"/>
        <w:b/>
        <w:color w:val="B15407" w:themeColor="accent6" w:themeShade="95"/>
        <w:sz w:val="22"/>
      </w:rPr>
      <w:tblPr/>
      <w:tcPr>
        <w:tcBorders>
          <w:top w:val="single" w:sz="4" w:space="0" w:color="FAC396" w:themeColor="accent6" w:themeTint="90"/>
          <w:left w:val="nil"/>
          <w:bottom w:val="nil"/>
          <w:right w:val="nil"/>
        </w:tcBorders>
        <w:shd w:val="clear" w:color="FFFFFF" w:fill="FFFFFF" w:themeFill="light1"/>
      </w:tcPr>
    </w:tblStylePr>
    <w:tblStylePr w:type="firstCol">
      <w:pPr>
        <w:snapToGrid/>
        <w:jc w:val="right"/>
      </w:pPr>
      <w:rPr>
        <w:rFonts w:ascii="Arial" w:hAnsi="Arial"/>
        <w:i/>
        <w:color w:val="B15407" w:themeColor="accent6" w:themeShade="95"/>
        <w:sz w:val="22"/>
      </w:rPr>
      <w:tblPr/>
      <w:tcPr>
        <w:tcBorders>
          <w:top w:val="nil"/>
          <w:left w:val="nil"/>
          <w:bottom w:val="nil"/>
          <w:right w:val="single" w:sz="4" w:space="0" w:color="FAC396" w:themeColor="accent6" w:themeTint="90"/>
        </w:tcBorders>
        <w:shd w:val="clear" w:color="FFFFFF" w:fill="FFFFFF"/>
      </w:tcPr>
    </w:tblStylePr>
    <w:tblStylePr w:type="lastCol">
      <w:pPr>
        <w:snapToGrid/>
      </w:pPr>
      <w:rPr>
        <w:rFonts w:ascii="Arial" w:hAnsi="Arial"/>
        <w:i/>
        <w:color w:val="B15407" w:themeColor="accent6" w:themeShade="95"/>
        <w:sz w:val="22"/>
      </w:rPr>
      <w:tblPr/>
      <w:tcPr>
        <w:tcBorders>
          <w:top w:val="nil"/>
          <w:left w:val="single" w:sz="4" w:space="0" w:color="FAC396" w:themeColor="accent6" w:themeTint="90"/>
          <w:bottom w:val="nil"/>
          <w:right w:val="nil"/>
        </w:tcBorders>
        <w:shd w:val="clear" w:color="FFFFFF" w:fill="FFFFFF"/>
      </w:tcPr>
    </w:tblStylePr>
    <w:tblStylePr w:type="band1Vert">
      <w:pPr>
        <w:snapToGrid/>
      </w:pPr>
      <w:tblPr/>
      <w:tcPr>
        <w:shd w:val="clear" w:color="E1EFD8" w:fill="FDE9D8" w:themeFill="accent6" w:themeFillTint="34"/>
      </w:tcPr>
    </w:tblStylePr>
    <w:tblStylePr w:type="band2Vert">
      <w:pPr>
        <w:snapToGrid/>
      </w:pPr>
    </w:tblStylePr>
    <w:tblStylePr w:type="band1Horz">
      <w:pPr>
        <w:snapToGrid/>
      </w:pPr>
      <w:rPr>
        <w:rFonts w:ascii="Arial" w:hAnsi="Arial"/>
        <w:color w:val="B15407" w:themeColor="accent6" w:themeShade="95"/>
        <w:sz w:val="22"/>
      </w:rPr>
      <w:tblPr/>
      <w:tcPr>
        <w:shd w:val="clear" w:color="E1EFD8" w:fill="FDE9D8" w:themeFill="accent6" w:themeFillTint="34"/>
      </w:tcPr>
    </w:tblStylePr>
    <w:tblStylePr w:type="band2Horz">
      <w:pPr>
        <w:snapToGrid/>
      </w:pPr>
      <w:rPr>
        <w:rFonts w:ascii="Arial" w:hAnsi="Arial"/>
        <w:color w:val="B15407"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111">
    <w:name w:val="清单表 1 浅色1"/>
    <w:basedOn w:val="TableNormal"/>
    <w:uiPriority w:val="99"/>
    <w:qFormat/>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qFormat/>
    <w:tblPr/>
    <w:tblStylePr w:type="firstRow">
      <w:pPr>
        <w:snapToGrid/>
      </w:pPr>
      <w:rPr>
        <w:b/>
        <w:color w:val="404040"/>
      </w:rPr>
      <w:tblPr/>
      <w:tcPr>
        <w:tcBorders>
          <w:top w:val="nil"/>
          <w:left w:val="nil"/>
          <w:bottom w:val="single" w:sz="4" w:space="0" w:color="4F81BD" w:themeColor="accent1"/>
          <w:right w:val="nil"/>
        </w:tcBorders>
      </w:tcPr>
    </w:tblStylePr>
    <w:tblStylePr w:type="lastRow">
      <w:pPr>
        <w:snapToGrid/>
      </w:pPr>
      <w:rPr>
        <w:b/>
        <w:color w:val="404040"/>
      </w:rPr>
      <w:tblPr/>
      <w:tcPr>
        <w:tcBorders>
          <w:top w:val="single" w:sz="4" w:space="0" w:color="4F81BD"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qFormat/>
    <w:tblPr/>
    <w:tblStylePr w:type="firstRow">
      <w:pPr>
        <w:snapToGrid/>
      </w:pPr>
      <w:rPr>
        <w:b/>
        <w:color w:val="404040"/>
      </w:rPr>
      <w:tblPr/>
      <w:tcPr>
        <w:tcBorders>
          <w:top w:val="nil"/>
          <w:left w:val="nil"/>
          <w:bottom w:val="single" w:sz="4" w:space="0" w:color="C0504D" w:themeColor="accent2"/>
          <w:right w:val="nil"/>
        </w:tcBorders>
      </w:tcPr>
    </w:tblStylePr>
    <w:tblStylePr w:type="lastRow">
      <w:pPr>
        <w:snapToGrid/>
      </w:pPr>
      <w:rPr>
        <w:b/>
        <w:color w:val="404040"/>
      </w:rPr>
      <w:tblPr/>
      <w:tcPr>
        <w:tcBorders>
          <w:top w:val="single" w:sz="4" w:space="0" w:color="C0504D"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qFormat/>
    <w:tblPr/>
    <w:tblStylePr w:type="firstRow">
      <w:pPr>
        <w:snapToGrid/>
      </w:pPr>
      <w:rPr>
        <w:b/>
        <w:color w:val="404040"/>
      </w:rPr>
      <w:tblPr/>
      <w:tcPr>
        <w:tcBorders>
          <w:top w:val="nil"/>
          <w:left w:val="nil"/>
          <w:bottom w:val="single" w:sz="4" w:space="0" w:color="9BBB59" w:themeColor="accent3"/>
          <w:right w:val="nil"/>
        </w:tcBorders>
      </w:tcPr>
    </w:tblStylePr>
    <w:tblStylePr w:type="lastRow">
      <w:pPr>
        <w:snapToGrid/>
      </w:pPr>
      <w:rPr>
        <w:b/>
        <w:color w:val="404040"/>
      </w:rPr>
      <w:tblPr/>
      <w:tcPr>
        <w:tcBorders>
          <w:top w:val="single" w:sz="4" w:space="0" w:color="9BBB59"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qFormat/>
    <w:tblPr/>
    <w:tblStylePr w:type="firstRow">
      <w:pPr>
        <w:snapToGrid/>
      </w:pPr>
      <w:rPr>
        <w:b/>
        <w:color w:val="404040"/>
      </w:rPr>
      <w:tblPr/>
      <w:tcPr>
        <w:tcBorders>
          <w:top w:val="nil"/>
          <w:left w:val="nil"/>
          <w:bottom w:val="single" w:sz="4" w:space="0" w:color="8064A2" w:themeColor="accent4"/>
          <w:right w:val="nil"/>
        </w:tcBorders>
      </w:tcPr>
    </w:tblStylePr>
    <w:tblStylePr w:type="lastRow">
      <w:pPr>
        <w:snapToGrid/>
      </w:pPr>
      <w:rPr>
        <w:b/>
        <w:color w:val="404040"/>
      </w:rPr>
      <w:tblPr/>
      <w:tcPr>
        <w:tcBorders>
          <w:top w:val="single" w:sz="4" w:space="0" w:color="8064A2"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qFormat/>
    <w:tblPr/>
    <w:tblStylePr w:type="firstRow">
      <w:pPr>
        <w:snapToGrid/>
      </w:pPr>
      <w:rPr>
        <w:b/>
        <w:color w:val="404040"/>
      </w:rPr>
      <w:tblPr/>
      <w:tcPr>
        <w:tcBorders>
          <w:top w:val="nil"/>
          <w:left w:val="nil"/>
          <w:bottom w:val="single" w:sz="4" w:space="0" w:color="4BACC6" w:themeColor="accent5"/>
          <w:right w:val="nil"/>
        </w:tcBorders>
      </w:tcPr>
    </w:tblStylePr>
    <w:tblStylePr w:type="lastRow">
      <w:pPr>
        <w:snapToGrid/>
      </w:pPr>
      <w:rPr>
        <w:b/>
        <w:color w:val="404040"/>
      </w:rPr>
      <w:tblPr/>
      <w:tcPr>
        <w:tcBorders>
          <w:top w:val="single" w:sz="4" w:space="0" w:color="4BACC6"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qFormat/>
    <w:tblPr/>
    <w:tblStylePr w:type="firstRow">
      <w:pPr>
        <w:snapToGrid/>
      </w:pPr>
      <w:rPr>
        <w:b/>
        <w:color w:val="404040"/>
      </w:rPr>
      <w:tblPr/>
      <w:tcPr>
        <w:tcBorders>
          <w:top w:val="nil"/>
          <w:left w:val="nil"/>
          <w:bottom w:val="single" w:sz="4" w:space="0" w:color="F79646" w:themeColor="accent6"/>
          <w:right w:val="nil"/>
        </w:tcBorders>
      </w:tcPr>
    </w:tblStylePr>
    <w:tblStylePr w:type="lastRow">
      <w:pPr>
        <w:snapToGrid/>
      </w:pPr>
      <w:rPr>
        <w:b/>
        <w:color w:val="404040"/>
      </w:rPr>
      <w:tblPr/>
      <w:tcPr>
        <w:tcBorders>
          <w:top w:val="single" w:sz="4" w:space="0" w:color="F79646"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211">
    <w:name w:val="清单表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qFormat/>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pPr>
        <w:snapToGrid/>
      </w:pPr>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5E5F4"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pPr>
        <w:snapToGrid/>
      </w:pPr>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ADECB"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pPr>
        <w:snapToGrid/>
      </w:pPr>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E8E8E8"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qFormat/>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pPr>
        <w:snapToGrid/>
      </w:pPr>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EFB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pPr>
        <w:snapToGrid/>
      </w:pPr>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CFDB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qFormat/>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pPr>
        <w:snapToGrid/>
      </w:pPr>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DAEBC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311">
    <w:name w:val="清单表 3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4F81BD" w:themeColor="accent1"/>
          <w:right w:val="single" w:sz="4" w:space="0" w:color="4F81BD"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4F81BD" w:themeColor="accent1"/>
          <w:bottom w:val="single" w:sz="4" w:space="0" w:color="4F81BD"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pPr>
        <w:snapToGrid/>
      </w:pPr>
      <w:rPr>
        <w:rFonts w:ascii="Arial" w:hAnsi="Arial"/>
        <w:b/>
        <w:color w:val="FFFFFF"/>
        <w:sz w:val="22"/>
      </w:rPr>
      <w:tblPr/>
      <w:tcPr>
        <w:shd w:val="clear" w:color="F4B184" w:fill="D99695"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D99695" w:themeColor="accent2" w:themeTint="97"/>
          <w:bottom w:val="single" w:sz="4" w:space="0" w:color="D99695"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qFormat/>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pPr>
        <w:snapToGrid/>
      </w:pPr>
      <w:rPr>
        <w:rFonts w:ascii="Arial" w:hAnsi="Arial"/>
        <w:b/>
        <w:color w:val="FFFFFF"/>
        <w:sz w:val="22"/>
      </w:rPr>
      <w:tblPr/>
      <w:tcPr>
        <w:shd w:val="clear" w:color="C9C9C9" w:fill="C3D69B"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3D69B" w:themeColor="accent3" w:themeTint="98"/>
          <w:bottom w:val="single" w:sz="4" w:space="0" w:color="C3D69B"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pPr>
        <w:snapToGrid/>
      </w:pPr>
      <w:rPr>
        <w:rFonts w:ascii="Arial" w:hAnsi="Arial"/>
        <w:b/>
        <w:color w:val="FFFFFF"/>
        <w:sz w:val="22"/>
      </w:rPr>
      <w:tblPr/>
      <w:tcPr>
        <w:shd w:val="clear" w:color="FFD865" w:fill="B2A1C6"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B2A1C6" w:themeColor="accent4" w:themeTint="9A"/>
          <w:bottom w:val="single" w:sz="4" w:space="0" w:color="B2A1C6"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pPr>
        <w:snapToGrid/>
      </w:pPr>
      <w:rPr>
        <w:rFonts w:ascii="Arial" w:hAnsi="Arial"/>
        <w:b/>
        <w:color w:val="FFFFFF"/>
        <w:sz w:val="22"/>
      </w:rPr>
      <w:tblPr/>
      <w:tcPr>
        <w:shd w:val="clear" w:color="8DA9DB" w:fill="92CCDC"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92CCDC" w:themeColor="accent5" w:themeTint="9A"/>
          <w:bottom w:val="single" w:sz="4" w:space="0" w:color="92CCDC"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pPr>
        <w:snapToGrid/>
      </w:pPr>
      <w:rPr>
        <w:rFonts w:ascii="Arial" w:hAnsi="Arial"/>
        <w:b/>
        <w:color w:val="FFFFFF"/>
        <w:sz w:val="22"/>
      </w:rPr>
      <w:tblPr/>
      <w:tcPr>
        <w:shd w:val="clear" w:color="A9D08E" w:fill="FAC090"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FAC090" w:themeColor="accent6" w:themeTint="98"/>
          <w:bottom w:val="single" w:sz="4" w:space="0" w:color="FAC090"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411">
    <w:name w:val="清单表 41"/>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pPr>
        <w:snapToGrid/>
      </w:pPr>
      <w:rPr>
        <w:rFonts w:ascii="Arial" w:hAnsi="Arial"/>
        <w:b/>
        <w:color w:val="FFFFFF"/>
        <w:sz w:val="22"/>
      </w:rPr>
      <w:tblPr/>
      <w:tcPr>
        <w:shd w:val="clear" w:color="5B9BD5" w:fill="4F81BD"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5E5F4" w:fill="D2DFEE" w:themeFill="accent1" w:themeFillTint="40"/>
      </w:tcPr>
    </w:tblStylePr>
    <w:tblStylePr w:type="band2Vert">
      <w:pPr>
        <w:snapToGrid/>
      </w:pPr>
    </w:tblStylePr>
    <w:tblStylePr w:type="band1Horz">
      <w:pPr>
        <w:snapToGrid/>
      </w:pPr>
      <w:rPr>
        <w:rFonts w:ascii="Arial" w:hAnsi="Arial"/>
        <w:color w:val="404040"/>
        <w:sz w:val="22"/>
      </w:rPr>
      <w:tblPr/>
      <w:tcPr>
        <w:shd w:val="clear" w:color="D5E5F4" w:fill="D2DFEE"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pPr>
        <w:snapToGrid/>
      </w:pPr>
      <w:rPr>
        <w:rFonts w:ascii="Arial" w:hAnsi="Arial"/>
        <w:b/>
        <w:color w:val="FFFFFF"/>
        <w:sz w:val="22"/>
      </w:rPr>
      <w:tblPr/>
      <w:tcPr>
        <w:shd w:val="clear" w:color="ED7D31" w:fill="C0504D"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ADECB" w:fill="EFD2D2" w:themeFill="accent2" w:themeFillTint="40"/>
      </w:tcPr>
    </w:tblStylePr>
    <w:tblStylePr w:type="band2Vert">
      <w:pPr>
        <w:snapToGrid/>
      </w:pPr>
    </w:tblStylePr>
    <w:tblStylePr w:type="band1Horz">
      <w:pPr>
        <w:snapToGrid/>
      </w:pPr>
      <w:rPr>
        <w:rFonts w:ascii="Arial" w:hAnsi="Arial"/>
        <w:color w:val="404040"/>
        <w:sz w:val="22"/>
      </w:rPr>
      <w:tblPr/>
      <w:tcPr>
        <w:shd w:val="clear" w:color="FADECB" w:fill="EFD2D2"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qFormat/>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pPr>
        <w:snapToGrid/>
      </w:pPr>
      <w:rPr>
        <w:rFonts w:ascii="Arial" w:hAnsi="Arial"/>
        <w:b/>
        <w:color w:val="FFFFFF"/>
        <w:sz w:val="22"/>
      </w:rPr>
      <w:tblPr/>
      <w:tcPr>
        <w:shd w:val="clear" w:color="A5A5A5" w:fill="9BBB59"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E8E8E8" w:fill="E5EED5" w:themeFill="accent3" w:themeFillTint="40"/>
      </w:tcPr>
    </w:tblStylePr>
    <w:tblStylePr w:type="band2Vert">
      <w:pPr>
        <w:snapToGrid/>
      </w:pPr>
    </w:tblStylePr>
    <w:tblStylePr w:type="band1Horz">
      <w:pPr>
        <w:snapToGrid/>
      </w:pPr>
      <w:rPr>
        <w:rFonts w:ascii="Arial" w:hAnsi="Arial"/>
        <w:color w:val="404040"/>
        <w:sz w:val="22"/>
      </w:rPr>
      <w:tblPr/>
      <w:tcPr>
        <w:shd w:val="clear" w:color="E8E8E8" w:fill="E5EED5"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pPr>
        <w:snapToGrid/>
      </w:pPr>
      <w:rPr>
        <w:rFonts w:ascii="Arial" w:hAnsi="Arial"/>
        <w:b/>
        <w:color w:val="FFFFFF"/>
        <w:sz w:val="22"/>
      </w:rPr>
      <w:tblPr/>
      <w:tcPr>
        <w:shd w:val="clear" w:color="FFC000" w:fill="8064A2"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EFBF" w:fill="DFD8E7" w:themeFill="accent4" w:themeFillTint="40"/>
      </w:tcPr>
    </w:tblStylePr>
    <w:tblStylePr w:type="band2Vert">
      <w:pPr>
        <w:snapToGrid/>
      </w:pPr>
    </w:tblStylePr>
    <w:tblStylePr w:type="band1Horz">
      <w:pPr>
        <w:snapToGrid/>
      </w:pPr>
      <w:rPr>
        <w:rFonts w:ascii="Arial" w:hAnsi="Arial"/>
        <w:color w:val="404040"/>
        <w:sz w:val="22"/>
      </w:rPr>
      <w:tblPr/>
      <w:tcPr>
        <w:shd w:val="clear" w:color="FFEFBF" w:fill="DFD8E7"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qFormat/>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pPr>
        <w:snapToGrid/>
      </w:pPr>
      <w:rPr>
        <w:rFonts w:ascii="Arial" w:hAnsi="Arial"/>
        <w:b/>
        <w:color w:val="FFFFFF"/>
        <w:sz w:val="22"/>
      </w:rPr>
      <w:tblPr/>
      <w:tcPr>
        <w:shd w:val="clear" w:color="4472C4" w:fill="4BACC6"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FDBF0" w:fill="D1EAF0" w:themeFill="accent5" w:themeFillTint="40"/>
      </w:tcPr>
    </w:tblStylePr>
    <w:tblStylePr w:type="band2Vert">
      <w:pPr>
        <w:snapToGrid/>
      </w:pPr>
    </w:tblStylePr>
    <w:tblStylePr w:type="band1Horz">
      <w:pPr>
        <w:snapToGrid/>
      </w:pPr>
      <w:rPr>
        <w:rFonts w:ascii="Arial" w:hAnsi="Arial"/>
        <w:color w:val="404040"/>
        <w:sz w:val="22"/>
      </w:rPr>
      <w:tblPr/>
      <w:tcPr>
        <w:shd w:val="clear" w:color="CFDBF0" w:fill="D1EA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pPr>
        <w:snapToGrid/>
      </w:pPr>
      <w:rPr>
        <w:rFonts w:ascii="Arial" w:hAnsi="Arial"/>
        <w:b/>
        <w:color w:val="FFFFFF"/>
        <w:sz w:val="22"/>
      </w:rPr>
      <w:tblPr/>
      <w:tcPr>
        <w:shd w:val="clear" w:color="70AD47" w:fill="F79646"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DAEBCF" w:fill="FDE4D0" w:themeFill="accent6" w:themeFillTint="40"/>
      </w:tcPr>
    </w:tblStylePr>
    <w:tblStylePr w:type="band2Vert">
      <w:pPr>
        <w:snapToGrid/>
      </w:pPr>
    </w:tblStylePr>
    <w:tblStylePr w:type="band1Horz">
      <w:pPr>
        <w:snapToGrid/>
      </w:pPr>
      <w:rPr>
        <w:rFonts w:ascii="Arial" w:hAnsi="Arial"/>
        <w:color w:val="404040"/>
        <w:sz w:val="22"/>
      </w:rPr>
      <w:tblPr/>
      <w:tcPr>
        <w:shd w:val="clear" w:color="DAEBCF" w:fill="FDE4D0"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511">
    <w:name w:val="清单表 5 深色1"/>
    <w:basedOn w:val="TableNormal"/>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qFormat/>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pPr>
        <w:snapToGrid/>
      </w:pPr>
      <w:rPr>
        <w:rFonts w:ascii="Arial" w:hAnsi="Arial"/>
        <w:b/>
        <w:color w:val="FFFFFF" w:themeColor="light1"/>
        <w:sz w:val="22"/>
      </w:rPr>
      <w:tblPr/>
      <w:tcPr>
        <w:tcBorders>
          <w:top w:val="single" w:sz="32" w:space="0" w:color="4F81BD" w:themeColor="accent1"/>
          <w:bottom w:val="single" w:sz="12" w:space="0" w:color="FFFFFF" w:themeColor="light1"/>
        </w:tcBorders>
        <w:shd w:val="clear" w:color="5B9BD5" w:fill="4F81BD"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4F81BD" w:themeColor="accent1"/>
        </w:tcBorders>
      </w:tcPr>
    </w:tblStylePr>
    <w:tblStylePr w:type="band1Vert">
      <w:pPr>
        <w:snapToGrid/>
      </w:pPr>
      <w:tblPr/>
      <w:tcPr>
        <w:tcBorders>
          <w:left w:val="single" w:sz="4" w:space="0" w:color="FFFFFF" w:themeColor="light1"/>
          <w:right w:val="single" w:sz="4" w:space="0" w:color="FFFFFF" w:themeColor="light1"/>
        </w:tcBorders>
        <w:shd w:val="clear" w:color="5B9BD5" w:fill="4F81BD"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5B9BD5" w:fill="4F81BD" w:themeFill="accent1"/>
      </w:tcPr>
    </w:tblStylePr>
    <w:tblStylePr w:type="band2Horz">
      <w:pPr>
        <w:snapToGrid/>
      </w:pPr>
      <w:tblPr/>
      <w:tcPr>
        <w:tcBorders>
          <w:top w:val="single" w:sz="4" w:space="0" w:color="FFFFFF" w:themeColor="light1"/>
          <w:bottom w:val="single" w:sz="4" w:space="0" w:color="FFFFFF" w:themeColor="light1"/>
        </w:tcBorders>
        <w:shd w:val="clear" w:color="5B9BD5" w:fill="4F81BD"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qFormat/>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pPr>
        <w:snapToGrid/>
      </w:pPr>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4B184" w:fill="D99695"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D99695"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4B184" w:fill="D99695"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4B184" w:fill="D99695"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4B184" w:fill="D99695"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qFormat/>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pPr>
        <w:snapToGrid/>
      </w:pPr>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9C9C9" w:fill="C3D69B"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3D69B"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C9C9C9" w:fill="C3D69B"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C9C9C9" w:fill="C3D69B"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C9C9C9" w:fill="C3D69B"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qFormat/>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pPr>
        <w:snapToGrid/>
      </w:pPr>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D865" w:fill="B2A1C6"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B2A1C6"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D865" w:fill="B2A1C6"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D865" w:fill="B2A1C6"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D865" w:fill="B2A1C6"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qFormat/>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pPr>
        <w:snapToGrid/>
      </w:pPr>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8DA9DB" w:fill="92CCDC"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92CCDC"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8DA9DB" w:fill="92CCDC"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8DA9DB" w:fill="92CCDC"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8DA9DB" w:fill="92CCDC"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qFormat/>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pPr>
        <w:snapToGrid/>
      </w:pPr>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9D08E" w:fill="FAC090"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FAC090"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A9D08E" w:fill="FAC090"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A9D08E" w:fill="FAC090"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A9D08E" w:fill="FAC090"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610">
    <w:name w:val="清单表 6 彩色1"/>
    <w:basedOn w:val="TableNormal"/>
    <w:uiPriority w:val="99"/>
    <w:qFormat/>
    <w:tblPr>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qFormat/>
    <w:tblPr>
      <w:tblBorders>
        <w:top w:val="single" w:sz="4" w:space="0" w:color="4F81BD" w:themeColor="accent1"/>
        <w:bottom w:val="single" w:sz="4" w:space="0" w:color="4F81BD" w:themeColor="accent1"/>
      </w:tblBorders>
    </w:tblPr>
    <w:tblStylePr w:type="firstRow">
      <w:pPr>
        <w:snapToGrid/>
      </w:pPr>
      <w:rPr>
        <w:b/>
        <w:color w:val="2A4A71" w:themeColor="accent1" w:themeShade="95"/>
      </w:rPr>
      <w:tblPr/>
      <w:tcPr>
        <w:tcBorders>
          <w:bottom w:val="single" w:sz="4" w:space="0" w:color="4F81BD" w:themeColor="accent1"/>
        </w:tcBorders>
      </w:tcPr>
    </w:tblStylePr>
    <w:tblStylePr w:type="lastRow">
      <w:pPr>
        <w:snapToGrid/>
      </w:pPr>
      <w:rPr>
        <w:b/>
        <w:color w:val="2A4A71" w:themeColor="accent1" w:themeShade="95"/>
      </w:rPr>
      <w:tblPr/>
      <w:tcPr>
        <w:tcBorders>
          <w:top w:val="single" w:sz="4" w:space="0" w:color="4F81BD" w:themeColor="accent1"/>
        </w:tcBorders>
      </w:tcPr>
    </w:tblStylePr>
    <w:tblStylePr w:type="firstCol">
      <w:pPr>
        <w:snapToGrid/>
      </w:pPr>
      <w:rPr>
        <w:b/>
        <w:color w:val="2A4A71" w:themeColor="accent1" w:themeShade="95"/>
      </w:rPr>
    </w:tblStylePr>
    <w:tblStylePr w:type="lastCol">
      <w:pPr>
        <w:snapToGrid/>
      </w:pPr>
      <w:rPr>
        <w:b/>
        <w:color w:val="2A4A71" w:themeColor="accent1" w:themeShade="95"/>
      </w:r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5E5F4"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qFormat/>
    <w:tblPr>
      <w:tblBorders>
        <w:top w:val="single" w:sz="4" w:space="0" w:color="D99695" w:themeColor="accent2" w:themeTint="97"/>
        <w:bottom w:val="single" w:sz="4" w:space="0" w:color="D99695" w:themeColor="accent2" w:themeTint="97"/>
      </w:tblBorders>
    </w:tblPr>
    <w:tblStylePr w:type="firstRow">
      <w:pPr>
        <w:snapToGrid/>
      </w:pPr>
      <w:rPr>
        <w:b/>
        <w:color w:val="D99695" w:themeColor="accent2" w:themeShade="95" w:themeTint="97"/>
      </w:rPr>
      <w:tblPr/>
      <w:tcPr>
        <w:tcBorders>
          <w:bottom w:val="single" w:sz="4" w:space="0" w:color="D99695" w:themeColor="accent2" w:themeTint="97"/>
        </w:tcBorders>
      </w:tcPr>
    </w:tblStylePr>
    <w:tblStylePr w:type="lastRow">
      <w:pPr>
        <w:snapToGrid/>
      </w:pPr>
      <w:rPr>
        <w:b/>
        <w:color w:val="D99695" w:themeColor="accent2" w:themeShade="95" w:themeTint="97"/>
      </w:rPr>
      <w:tblPr/>
      <w:tcPr>
        <w:tcBorders>
          <w:top w:val="single" w:sz="4" w:space="0" w:color="D99695" w:themeColor="accent2" w:themeTint="97"/>
        </w:tcBorders>
      </w:tcPr>
    </w:tblStylePr>
    <w:tblStylePr w:type="firstCol">
      <w:pPr>
        <w:snapToGrid/>
      </w:pPr>
      <w:rPr>
        <w:b/>
        <w:color w:val="D99695" w:themeColor="accent2" w:themeShade="95" w:themeTint="97"/>
      </w:rPr>
    </w:tblStylePr>
    <w:tblStylePr w:type="lastCol">
      <w:pPr>
        <w:snapToGrid/>
      </w:pPr>
      <w:rPr>
        <w:b/>
        <w:color w:val="D99695" w:themeColor="accent2" w:themeShade="95" w:themeTint="97"/>
      </w:r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ADECB"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qFormat/>
    <w:tblPr>
      <w:tblBorders>
        <w:top w:val="single" w:sz="4" w:space="0" w:color="C3D69B" w:themeColor="accent3" w:themeTint="98"/>
        <w:bottom w:val="single" w:sz="4" w:space="0" w:color="C3D69B" w:themeColor="accent3" w:themeTint="98"/>
      </w:tblBorders>
    </w:tblPr>
    <w:tblStylePr w:type="firstRow">
      <w:pPr>
        <w:snapToGrid/>
      </w:pPr>
      <w:rPr>
        <w:b/>
        <w:color w:val="C3D69B" w:themeColor="accent3" w:themeShade="95" w:themeTint="98"/>
      </w:rPr>
      <w:tblPr/>
      <w:tcPr>
        <w:tcBorders>
          <w:bottom w:val="single" w:sz="4" w:space="0" w:color="C3D69B" w:themeColor="accent3" w:themeTint="98"/>
        </w:tcBorders>
      </w:tcPr>
    </w:tblStylePr>
    <w:tblStylePr w:type="lastRow">
      <w:pPr>
        <w:snapToGrid/>
      </w:pPr>
      <w:rPr>
        <w:b/>
        <w:color w:val="C3D69B" w:themeColor="accent3" w:themeShade="95" w:themeTint="98"/>
      </w:rPr>
      <w:tblPr/>
      <w:tcPr>
        <w:tcBorders>
          <w:top w:val="single" w:sz="4" w:space="0" w:color="C3D69B" w:themeColor="accent3" w:themeTint="98"/>
        </w:tcBorders>
      </w:tcPr>
    </w:tblStylePr>
    <w:tblStylePr w:type="firstCol">
      <w:pPr>
        <w:snapToGrid/>
      </w:pPr>
      <w:rPr>
        <w:b/>
        <w:color w:val="C3D69B" w:themeColor="accent3" w:themeShade="95" w:themeTint="98"/>
      </w:rPr>
    </w:tblStylePr>
    <w:tblStylePr w:type="lastCol">
      <w:pPr>
        <w:snapToGrid/>
      </w:pPr>
      <w:rPr>
        <w:b/>
        <w:color w:val="C3D69B" w:themeColor="accent3" w:themeShade="95" w:themeTint="98"/>
      </w:r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8E8E8"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qFormat/>
    <w:tblPr>
      <w:tblBorders>
        <w:top w:val="single" w:sz="4" w:space="0" w:color="B2A1C6" w:themeColor="accent4" w:themeTint="9A"/>
        <w:bottom w:val="single" w:sz="4" w:space="0" w:color="B2A1C6" w:themeColor="accent4" w:themeTint="9A"/>
      </w:tblBorders>
    </w:tblPr>
    <w:tblStylePr w:type="firstRow">
      <w:pPr>
        <w:snapToGrid/>
      </w:pPr>
      <w:rPr>
        <w:b/>
        <w:color w:val="B2A1C6" w:themeColor="accent4" w:themeShade="95" w:themeTint="9A"/>
      </w:rPr>
      <w:tblPr/>
      <w:tcPr>
        <w:tcBorders>
          <w:bottom w:val="single" w:sz="4" w:space="0" w:color="B2A1C6" w:themeColor="accent4" w:themeTint="9A"/>
        </w:tcBorders>
      </w:tcPr>
    </w:tblStylePr>
    <w:tblStylePr w:type="lastRow">
      <w:pPr>
        <w:snapToGrid/>
      </w:pPr>
      <w:rPr>
        <w:b/>
        <w:color w:val="B2A1C6" w:themeColor="accent4" w:themeShade="95" w:themeTint="9A"/>
      </w:rPr>
      <w:tblPr/>
      <w:tcPr>
        <w:tcBorders>
          <w:top w:val="single" w:sz="4" w:space="0" w:color="B2A1C6" w:themeColor="accent4" w:themeTint="9A"/>
        </w:tcBorders>
      </w:tcPr>
    </w:tblStylePr>
    <w:tblStylePr w:type="firstCol">
      <w:pPr>
        <w:snapToGrid/>
      </w:pPr>
      <w:rPr>
        <w:b/>
        <w:color w:val="B2A1C6" w:themeColor="accent4" w:themeShade="95" w:themeTint="9A"/>
      </w:rPr>
    </w:tblStylePr>
    <w:tblStylePr w:type="lastCol">
      <w:pPr>
        <w:snapToGrid/>
      </w:pPr>
      <w:rPr>
        <w:b/>
        <w:color w:val="B2A1C6" w:themeColor="accent4" w:themeShade="95" w:themeTint="9A"/>
      </w:r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EFBF"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qFormat/>
    <w:tblPr>
      <w:tblBorders>
        <w:top w:val="single" w:sz="4" w:space="0" w:color="92CCDC" w:themeColor="accent5" w:themeTint="9A"/>
        <w:bottom w:val="single" w:sz="4" w:space="0" w:color="92CCDC" w:themeColor="accent5" w:themeTint="9A"/>
      </w:tblBorders>
    </w:tblPr>
    <w:tblStylePr w:type="firstRow">
      <w:pPr>
        <w:snapToGrid/>
      </w:pPr>
      <w:rPr>
        <w:b/>
        <w:color w:val="92CCDC" w:themeColor="accent5" w:themeShade="95" w:themeTint="9A"/>
      </w:rPr>
      <w:tblPr/>
      <w:tcPr>
        <w:tcBorders>
          <w:bottom w:val="single" w:sz="4" w:space="0" w:color="92CCDC" w:themeColor="accent5" w:themeTint="9A"/>
        </w:tcBorders>
      </w:tcPr>
    </w:tblStylePr>
    <w:tblStylePr w:type="lastRow">
      <w:pPr>
        <w:snapToGrid/>
      </w:pPr>
      <w:rPr>
        <w:b/>
        <w:color w:val="92CCDC" w:themeColor="accent5" w:themeShade="95" w:themeTint="9A"/>
      </w:rPr>
      <w:tblPr/>
      <w:tcPr>
        <w:tcBorders>
          <w:top w:val="single" w:sz="4" w:space="0" w:color="92CCDC" w:themeColor="accent5" w:themeTint="9A"/>
        </w:tcBorders>
      </w:tcPr>
    </w:tblStylePr>
    <w:tblStylePr w:type="firstCol">
      <w:pPr>
        <w:snapToGrid/>
      </w:pPr>
      <w:rPr>
        <w:b/>
        <w:color w:val="92CCDC" w:themeColor="accent5" w:themeShade="95" w:themeTint="9A"/>
      </w:rPr>
    </w:tblStylePr>
    <w:tblStylePr w:type="lastCol">
      <w:pPr>
        <w:snapToGrid/>
      </w:pPr>
      <w:rPr>
        <w:b/>
        <w:color w:val="92CCDC" w:themeColor="accent5" w:themeShade="95" w:themeTint="9A"/>
      </w:r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CFDB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qFormat/>
    <w:tblPr>
      <w:tblBorders>
        <w:top w:val="single" w:sz="4" w:space="0" w:color="FAC090" w:themeColor="accent6" w:themeTint="98"/>
        <w:bottom w:val="single" w:sz="4" w:space="0" w:color="FAC090" w:themeColor="accent6" w:themeTint="98"/>
      </w:tblBorders>
    </w:tblPr>
    <w:tblStylePr w:type="firstRow">
      <w:pPr>
        <w:snapToGrid/>
      </w:pPr>
      <w:rPr>
        <w:b/>
        <w:color w:val="FAC090" w:themeColor="accent6" w:themeShade="95" w:themeTint="98"/>
      </w:rPr>
      <w:tblPr/>
      <w:tcPr>
        <w:tcBorders>
          <w:bottom w:val="single" w:sz="4" w:space="0" w:color="FAC090" w:themeColor="accent6" w:themeTint="98"/>
        </w:tcBorders>
      </w:tcPr>
    </w:tblStylePr>
    <w:tblStylePr w:type="lastRow">
      <w:pPr>
        <w:snapToGrid/>
      </w:pPr>
      <w:rPr>
        <w:b/>
        <w:color w:val="FAC090" w:themeColor="accent6" w:themeShade="95" w:themeTint="98"/>
      </w:rPr>
      <w:tblPr/>
      <w:tcPr>
        <w:tcBorders>
          <w:top w:val="single" w:sz="4" w:space="0" w:color="FAC090" w:themeColor="accent6" w:themeTint="98"/>
        </w:tcBorders>
      </w:tcPr>
    </w:tblStylePr>
    <w:tblStylePr w:type="firstCol">
      <w:pPr>
        <w:snapToGrid/>
      </w:pPr>
      <w:rPr>
        <w:b/>
        <w:color w:val="FAC090" w:themeColor="accent6" w:themeShade="95" w:themeTint="98"/>
      </w:rPr>
    </w:tblStylePr>
    <w:tblStylePr w:type="lastCol">
      <w:pPr>
        <w:snapToGrid/>
      </w:pPr>
      <w:rPr>
        <w:b/>
        <w:color w:val="FAC090" w:themeColor="accent6" w:themeShade="95" w:themeTint="98"/>
      </w:r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DAEBCF"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710">
    <w:name w:val="清单表 7 彩色1"/>
    <w:basedOn w:val="TableNormal"/>
    <w:uiPriority w:val="99"/>
    <w:qFormat/>
    <w:tblPr>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qFormat/>
    <w:tblPr>
      <w:tblBorders>
        <w:right w:val="single" w:sz="4" w:space="0" w:color="4F81BD" w:themeColor="accent1"/>
      </w:tblBorders>
    </w:tblPr>
    <w:tblStylePr w:type="firstRow">
      <w:pPr>
        <w:snapToGrid/>
      </w:pPr>
      <w:rPr>
        <w:rFonts w:ascii="Arial" w:hAnsi="Arial"/>
        <w:i/>
        <w:color w:val="2A4A71" w:themeColor="accent1" w:themeShade="95"/>
        <w:sz w:val="22"/>
      </w:rPr>
      <w:tblPr/>
      <w:tcPr>
        <w:tcBorders>
          <w:top w:val="nil"/>
          <w:left w:val="nil"/>
          <w:bottom w:val="single" w:sz="4" w:space="0" w:color="4F81BD" w:themeColor="accent1"/>
          <w:right w:val="nil"/>
        </w:tcBorders>
        <w:shd w:val="clear" w:color="FFFFFF" w:fill="FFFFFF" w:themeFill="light1"/>
      </w:tcPr>
    </w:tblStylePr>
    <w:tblStylePr w:type="lastRow">
      <w:pPr>
        <w:snapToGrid/>
      </w:pPr>
      <w:rPr>
        <w:rFonts w:ascii="Arial" w:hAnsi="Arial"/>
        <w:i/>
        <w:color w:val="2A4A71" w:themeColor="accent1" w:themeShade="95"/>
        <w:sz w:val="22"/>
      </w:rPr>
      <w:tblPr/>
      <w:tcPr>
        <w:tcBorders>
          <w:top w:val="single" w:sz="4" w:space="0" w:color="4F81BD" w:themeColor="accent1"/>
          <w:left w:val="nil"/>
          <w:bottom w:val="nil"/>
          <w:right w:val="nil"/>
        </w:tcBorders>
        <w:shd w:val="clear" w:color="FFFFFF" w:fill="FFFFFF" w:themeFill="light1"/>
      </w:tcPr>
    </w:tblStylePr>
    <w:tblStylePr w:type="firstCol">
      <w:pPr>
        <w:snapToGrid/>
        <w:jc w:val="right"/>
      </w:pPr>
      <w:rPr>
        <w:rFonts w:ascii="Arial" w:hAnsi="Arial"/>
        <w:i/>
        <w:color w:val="2A4A71" w:themeColor="accent1" w:themeShade="95"/>
        <w:sz w:val="22"/>
      </w:rPr>
      <w:tblPr/>
      <w:tcPr>
        <w:tcBorders>
          <w:top w:val="nil"/>
          <w:left w:val="nil"/>
          <w:bottom w:val="nil"/>
          <w:right w:val="single" w:sz="4" w:space="0" w:color="4F81BD" w:themeColor="accent1"/>
        </w:tcBorders>
        <w:shd w:val="clear" w:color="FFFFFF" w:fill="FFFFFF"/>
      </w:tcPr>
    </w:tblStylePr>
    <w:tblStylePr w:type="lastCol">
      <w:pPr>
        <w:snapToGrid/>
      </w:pPr>
      <w:rPr>
        <w:rFonts w:ascii="Arial" w:hAnsi="Arial"/>
        <w:i/>
        <w:color w:val="2A4A71" w:themeColor="accent1" w:themeShade="95"/>
        <w:sz w:val="22"/>
      </w:rPr>
      <w:tblPr/>
      <w:tcPr>
        <w:tcBorders>
          <w:top w:val="nil"/>
          <w:left w:val="single" w:sz="4" w:space="0" w:color="4F81BD" w:themeColor="accent1"/>
          <w:bottom w:val="nil"/>
          <w:right w:val="nil"/>
        </w:tcBorders>
        <w:shd w:val="clear" w:color="FFFFFF" w:fill="FFFFFF"/>
      </w:tcPr>
    </w:tblStylePr>
    <w:tblStylePr w:type="band1Vert">
      <w:pPr>
        <w:snapToGrid/>
      </w:pPr>
      <w:tblPr/>
      <w:tcPr>
        <w:shd w:val="clear" w:color="D5E5F4" w:fill="D2DFEE" w:themeFill="accent1" w:themeFillTint="40"/>
      </w:tcPr>
    </w:tblStylePr>
    <w:tblStylePr w:type="band2Vert">
      <w:pPr>
        <w:snapToGrid/>
      </w:pPr>
    </w:tblStylePr>
    <w:tblStylePr w:type="band1Horz">
      <w:pPr>
        <w:snapToGrid/>
      </w:pPr>
      <w:rPr>
        <w:rFonts w:ascii="Arial" w:hAnsi="Arial"/>
        <w:color w:val="2A4A71" w:themeColor="accent1" w:themeShade="95"/>
        <w:sz w:val="22"/>
      </w:rPr>
      <w:tblPr/>
      <w:tcPr>
        <w:shd w:val="clear" w:color="D5E5F4" w:fill="D2DFEE" w:themeFill="accent1" w:themeFillTint="40"/>
      </w:tcPr>
    </w:tblStylePr>
    <w:tblStylePr w:type="band2Horz">
      <w:pPr>
        <w:snapToGrid/>
      </w:pPr>
      <w:rPr>
        <w:rFonts w:ascii="Arial" w:hAnsi="Arial"/>
        <w:color w:val="2A4A71"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qFormat/>
    <w:tblPr>
      <w:tblBorders>
        <w:right w:val="single" w:sz="4" w:space="0" w:color="D99695" w:themeColor="accent2" w:themeTint="97"/>
      </w:tblBorders>
    </w:tblPr>
    <w:tblStylePr w:type="firstRow">
      <w:pPr>
        <w:snapToGrid/>
      </w:pPr>
      <w:rPr>
        <w:rFonts w:ascii="Arial" w:hAnsi="Arial"/>
        <w:i/>
        <w:color w:val="D99695" w:themeColor="accent2" w:themeShade="95" w:themeTint="97"/>
        <w:sz w:val="22"/>
      </w:rPr>
      <w:tblPr/>
      <w:tcPr>
        <w:tcBorders>
          <w:top w:val="nil"/>
          <w:left w:val="nil"/>
          <w:bottom w:val="single" w:sz="4" w:space="0" w:color="D99695" w:themeColor="accent2" w:themeTint="97"/>
          <w:right w:val="nil"/>
        </w:tcBorders>
        <w:shd w:val="clear" w:color="FFFFFF" w:fill="FFFFFF" w:themeFill="light1"/>
      </w:tcPr>
    </w:tblStylePr>
    <w:tblStylePr w:type="lastRow">
      <w:pPr>
        <w:snapToGrid/>
      </w:pPr>
      <w:rPr>
        <w:rFonts w:ascii="Arial" w:hAnsi="Arial"/>
        <w:i/>
        <w:color w:val="D99695" w:themeColor="accent2" w:themeShade="95" w:themeTint="97"/>
        <w:sz w:val="22"/>
      </w:rPr>
      <w:tblPr/>
      <w:tcPr>
        <w:tcBorders>
          <w:top w:val="single" w:sz="4" w:space="0" w:color="D99695" w:themeColor="accent2" w:themeTint="97"/>
          <w:left w:val="nil"/>
          <w:bottom w:val="nil"/>
          <w:right w:val="nil"/>
        </w:tcBorders>
        <w:shd w:val="clear" w:color="FFFFFF" w:fill="FFFFFF" w:themeFill="light1"/>
      </w:tcPr>
    </w:tblStylePr>
    <w:tblStylePr w:type="firstCol">
      <w:pPr>
        <w:snapToGrid/>
        <w:jc w:val="right"/>
      </w:pPr>
      <w:rPr>
        <w:rFonts w:ascii="Arial" w:hAnsi="Arial"/>
        <w:i/>
        <w:color w:val="D99695" w:themeColor="accent2" w:themeShade="95" w:themeTint="97"/>
        <w:sz w:val="22"/>
      </w:rPr>
      <w:tblPr/>
      <w:tcPr>
        <w:tcBorders>
          <w:top w:val="nil"/>
          <w:left w:val="nil"/>
          <w:bottom w:val="nil"/>
          <w:right w:val="single" w:sz="4" w:space="0" w:color="D99695" w:themeColor="accent2" w:themeTint="97"/>
        </w:tcBorders>
        <w:shd w:val="clear" w:color="FFFFFF" w:fill="FFFFFF"/>
      </w:tcPr>
    </w:tblStylePr>
    <w:tblStylePr w:type="lastCol">
      <w:pPr>
        <w:snapToGrid/>
      </w:pPr>
      <w:rPr>
        <w:rFonts w:ascii="Arial" w:hAnsi="Arial"/>
        <w:i/>
        <w:color w:val="D99695" w:themeColor="accent2" w:themeShade="95" w:themeTint="97"/>
        <w:sz w:val="22"/>
      </w:rPr>
      <w:tblPr/>
      <w:tcPr>
        <w:tcBorders>
          <w:top w:val="nil"/>
          <w:left w:val="single" w:sz="4" w:space="0" w:color="D99695" w:themeColor="accent2" w:themeTint="97"/>
          <w:bottom w:val="nil"/>
          <w:right w:val="nil"/>
        </w:tcBorders>
        <w:shd w:val="clear" w:color="FFFFFF" w:fill="FFFFFF"/>
      </w:tcPr>
    </w:tblStylePr>
    <w:tblStylePr w:type="band1Vert">
      <w:pPr>
        <w:snapToGrid/>
      </w:pPr>
      <w:tblPr/>
      <w:tcPr>
        <w:shd w:val="clear" w:color="FADECB" w:fill="EFD2D2" w:themeFill="accent2" w:themeFillTint="40"/>
      </w:tcPr>
    </w:tblStylePr>
    <w:tblStylePr w:type="band2Vert">
      <w:pPr>
        <w:snapToGrid/>
      </w:pPr>
    </w:tblStylePr>
    <w:tblStylePr w:type="band1Horz">
      <w:pPr>
        <w:snapToGrid/>
      </w:pPr>
      <w:rPr>
        <w:rFonts w:ascii="Arial" w:hAnsi="Arial"/>
        <w:color w:val="D99695" w:themeColor="accent2" w:themeShade="95" w:themeTint="97"/>
        <w:sz w:val="22"/>
      </w:rPr>
      <w:tblPr/>
      <w:tcPr>
        <w:shd w:val="clear" w:color="FADECB" w:fill="EFD2D2" w:themeFill="accent2" w:themeFillTint="40"/>
      </w:tcPr>
    </w:tblStylePr>
    <w:tblStylePr w:type="band2Horz">
      <w:pPr>
        <w:snapToGrid/>
      </w:pPr>
      <w:rPr>
        <w:rFonts w:ascii="Arial" w:hAnsi="Arial"/>
        <w:color w:val="D99695"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qFormat/>
    <w:tblPr>
      <w:tblBorders>
        <w:right w:val="single" w:sz="4" w:space="0" w:color="C3D69B" w:themeColor="accent3" w:themeTint="98"/>
      </w:tblBorders>
    </w:tblPr>
    <w:tblStylePr w:type="firstRow">
      <w:pPr>
        <w:snapToGrid/>
      </w:pPr>
      <w:rPr>
        <w:rFonts w:ascii="Arial" w:hAnsi="Arial"/>
        <w:i/>
        <w:color w:val="C3D69B" w:themeColor="accent3" w:themeShade="95" w:themeTint="98"/>
        <w:sz w:val="22"/>
      </w:rPr>
      <w:tblPr/>
      <w:tcPr>
        <w:tcBorders>
          <w:top w:val="nil"/>
          <w:left w:val="nil"/>
          <w:bottom w:val="single" w:sz="4" w:space="0" w:color="C3D69B" w:themeColor="accent3" w:themeTint="98"/>
          <w:right w:val="nil"/>
        </w:tcBorders>
        <w:shd w:val="clear" w:color="FFFFFF" w:fill="FFFFFF" w:themeFill="light1"/>
      </w:tcPr>
    </w:tblStylePr>
    <w:tblStylePr w:type="lastRow">
      <w:pPr>
        <w:snapToGrid/>
      </w:pPr>
      <w:rPr>
        <w:rFonts w:ascii="Arial" w:hAnsi="Arial"/>
        <w:i/>
        <w:color w:val="C3D69B" w:themeColor="accent3" w:themeShade="95" w:themeTint="98"/>
        <w:sz w:val="22"/>
      </w:rPr>
      <w:tblPr/>
      <w:tcPr>
        <w:tcBorders>
          <w:top w:val="single" w:sz="4" w:space="0" w:color="C3D69B" w:themeColor="accent3" w:themeTint="98"/>
          <w:left w:val="nil"/>
          <w:bottom w:val="nil"/>
          <w:right w:val="nil"/>
        </w:tcBorders>
        <w:shd w:val="clear" w:color="FFFFFF" w:fill="FFFFFF" w:themeFill="light1"/>
      </w:tcPr>
    </w:tblStylePr>
    <w:tblStylePr w:type="firstCol">
      <w:pPr>
        <w:snapToGrid/>
        <w:jc w:val="right"/>
      </w:pPr>
      <w:rPr>
        <w:rFonts w:ascii="Arial" w:hAnsi="Arial"/>
        <w:i/>
        <w:color w:val="C3D69B" w:themeColor="accent3" w:themeShade="95" w:themeTint="98"/>
        <w:sz w:val="22"/>
      </w:rPr>
      <w:tblPr/>
      <w:tcPr>
        <w:tcBorders>
          <w:top w:val="nil"/>
          <w:left w:val="nil"/>
          <w:bottom w:val="nil"/>
          <w:right w:val="single" w:sz="4" w:space="0" w:color="C3D69B" w:themeColor="accent3" w:themeTint="98"/>
        </w:tcBorders>
        <w:shd w:val="clear" w:color="FFFFFF" w:fill="FFFFFF"/>
      </w:tcPr>
    </w:tblStylePr>
    <w:tblStylePr w:type="lastCol">
      <w:pPr>
        <w:snapToGrid/>
      </w:pPr>
      <w:rPr>
        <w:rFonts w:ascii="Arial" w:hAnsi="Arial"/>
        <w:i/>
        <w:color w:val="C3D69B" w:themeColor="accent3" w:themeShade="95" w:themeTint="98"/>
        <w:sz w:val="22"/>
      </w:rPr>
      <w:tblPr/>
      <w:tcPr>
        <w:tcBorders>
          <w:top w:val="nil"/>
          <w:left w:val="single" w:sz="4" w:space="0" w:color="C3D69B" w:themeColor="accent3" w:themeTint="98"/>
          <w:bottom w:val="nil"/>
          <w:right w:val="nil"/>
        </w:tcBorders>
        <w:shd w:val="clear" w:color="FFFFFF" w:fill="FFFFFF"/>
      </w:tcPr>
    </w:tblStylePr>
    <w:tblStylePr w:type="band1Vert">
      <w:pPr>
        <w:snapToGrid/>
      </w:pPr>
      <w:tblPr/>
      <w:tcPr>
        <w:shd w:val="clear" w:color="E8E8E8" w:fill="E5EED5" w:themeFill="accent3" w:themeFillTint="40"/>
      </w:tcPr>
    </w:tblStylePr>
    <w:tblStylePr w:type="band2Vert">
      <w:pPr>
        <w:snapToGrid/>
      </w:pPr>
    </w:tblStylePr>
    <w:tblStylePr w:type="band1Horz">
      <w:pPr>
        <w:snapToGrid/>
      </w:pPr>
      <w:rPr>
        <w:rFonts w:ascii="Arial" w:hAnsi="Arial"/>
        <w:color w:val="C3D69B" w:themeColor="accent3" w:themeShade="95" w:themeTint="98"/>
        <w:sz w:val="22"/>
      </w:rPr>
      <w:tblPr/>
      <w:tcPr>
        <w:shd w:val="clear" w:color="E8E8E8" w:fill="E5EED5" w:themeFill="accent3" w:themeFillTint="40"/>
      </w:tcPr>
    </w:tblStylePr>
    <w:tblStylePr w:type="band2Horz">
      <w:pPr>
        <w:snapToGrid/>
      </w:pPr>
      <w:rPr>
        <w:rFonts w:ascii="Arial" w:hAnsi="Arial"/>
        <w:color w:val="C3D69B"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qFormat/>
    <w:tblPr>
      <w:tblBorders>
        <w:right w:val="single" w:sz="4" w:space="0" w:color="B2A1C6" w:themeColor="accent4" w:themeTint="9A"/>
      </w:tblBorders>
    </w:tblPr>
    <w:tblStylePr w:type="firstRow">
      <w:pPr>
        <w:snapToGrid/>
      </w:pPr>
      <w:rPr>
        <w:rFonts w:ascii="Arial" w:hAnsi="Arial"/>
        <w:i/>
        <w:color w:val="B2A1C6" w:themeColor="accent4" w:themeShade="95" w:themeTint="9A"/>
        <w:sz w:val="22"/>
      </w:rPr>
      <w:tblPr/>
      <w:tcPr>
        <w:tcBorders>
          <w:top w:val="nil"/>
          <w:left w:val="nil"/>
          <w:bottom w:val="single" w:sz="4" w:space="0" w:color="B2A1C6" w:themeColor="accent4" w:themeTint="9A"/>
          <w:right w:val="nil"/>
        </w:tcBorders>
        <w:shd w:val="clear" w:color="FFFFFF" w:fill="FFFFFF" w:themeFill="light1"/>
      </w:tcPr>
    </w:tblStylePr>
    <w:tblStylePr w:type="lastRow">
      <w:pPr>
        <w:snapToGrid/>
      </w:pPr>
      <w:rPr>
        <w:rFonts w:ascii="Arial" w:hAnsi="Arial"/>
        <w:i/>
        <w:color w:val="B2A1C6" w:themeColor="accent4" w:themeShade="95" w:themeTint="9A"/>
        <w:sz w:val="22"/>
      </w:rPr>
      <w:tblPr/>
      <w:tcPr>
        <w:tcBorders>
          <w:top w:val="single" w:sz="4" w:space="0" w:color="B2A1C6" w:themeColor="accent4" w:themeTint="9A"/>
          <w:left w:val="nil"/>
          <w:bottom w:val="nil"/>
          <w:right w:val="nil"/>
        </w:tcBorders>
        <w:shd w:val="clear" w:color="FFFFFF" w:fill="FFFFFF" w:themeFill="light1"/>
      </w:tcPr>
    </w:tblStylePr>
    <w:tblStylePr w:type="firstCol">
      <w:pPr>
        <w:snapToGrid/>
        <w:jc w:val="right"/>
      </w:pPr>
      <w:rPr>
        <w:rFonts w:ascii="Arial" w:hAnsi="Arial"/>
        <w:i/>
        <w:color w:val="B2A1C6" w:themeColor="accent4" w:themeShade="95" w:themeTint="9A"/>
        <w:sz w:val="22"/>
      </w:rPr>
      <w:tblPr/>
      <w:tcPr>
        <w:tcBorders>
          <w:top w:val="nil"/>
          <w:left w:val="nil"/>
          <w:bottom w:val="nil"/>
          <w:right w:val="single" w:sz="4" w:space="0" w:color="B2A1C6" w:themeColor="accent4" w:themeTint="9A"/>
        </w:tcBorders>
        <w:shd w:val="clear" w:color="FFFFFF" w:fill="FFFFFF"/>
      </w:tcPr>
    </w:tblStylePr>
    <w:tblStylePr w:type="lastCol">
      <w:pPr>
        <w:snapToGrid/>
      </w:pPr>
      <w:rPr>
        <w:rFonts w:ascii="Arial" w:hAnsi="Arial"/>
        <w:i/>
        <w:color w:val="B2A1C6" w:themeColor="accent4" w:themeShade="95" w:themeTint="9A"/>
        <w:sz w:val="22"/>
      </w:rPr>
      <w:tblPr/>
      <w:tcPr>
        <w:tcBorders>
          <w:top w:val="nil"/>
          <w:left w:val="single" w:sz="4" w:space="0" w:color="B2A1C6" w:themeColor="accent4" w:themeTint="9A"/>
          <w:bottom w:val="nil"/>
          <w:right w:val="nil"/>
        </w:tcBorders>
        <w:shd w:val="clear" w:color="FFFFFF" w:fill="FFFFFF"/>
      </w:tcPr>
    </w:tblStylePr>
    <w:tblStylePr w:type="band1Vert">
      <w:pPr>
        <w:snapToGrid/>
      </w:pPr>
      <w:tblPr/>
      <w:tcPr>
        <w:shd w:val="clear" w:color="FFEFBF" w:fill="DFD8E7" w:themeFill="accent4" w:themeFillTint="40"/>
      </w:tcPr>
    </w:tblStylePr>
    <w:tblStylePr w:type="band2Vert">
      <w:pPr>
        <w:snapToGrid/>
      </w:pPr>
    </w:tblStylePr>
    <w:tblStylePr w:type="band1Horz">
      <w:pPr>
        <w:snapToGrid/>
      </w:pPr>
      <w:rPr>
        <w:rFonts w:ascii="Arial" w:hAnsi="Arial"/>
        <w:color w:val="B2A1C6" w:themeColor="accent4" w:themeShade="95" w:themeTint="9A"/>
        <w:sz w:val="22"/>
      </w:rPr>
      <w:tblPr/>
      <w:tcPr>
        <w:shd w:val="clear" w:color="FFEFBF" w:fill="DFD8E7" w:themeFill="accent4" w:themeFillTint="40"/>
      </w:tcPr>
    </w:tblStylePr>
    <w:tblStylePr w:type="band2Horz">
      <w:pPr>
        <w:snapToGrid/>
      </w:pPr>
      <w:rPr>
        <w:rFonts w:ascii="Arial" w:hAnsi="Arial"/>
        <w:color w:val="B2A1C6"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qFormat/>
    <w:tblPr>
      <w:tblBorders>
        <w:right w:val="single" w:sz="4" w:space="0" w:color="92CCDC" w:themeColor="accent5" w:themeTint="9A"/>
      </w:tblBorders>
    </w:tblPr>
    <w:tblStylePr w:type="firstRow">
      <w:pPr>
        <w:snapToGrid/>
      </w:pPr>
      <w:rPr>
        <w:rFonts w:ascii="Arial" w:hAnsi="Arial"/>
        <w:i/>
        <w:color w:val="92CCDC" w:themeColor="accent5" w:themeShade="95" w:themeTint="9A"/>
        <w:sz w:val="22"/>
      </w:rPr>
      <w:tblPr/>
      <w:tcPr>
        <w:tcBorders>
          <w:top w:val="nil"/>
          <w:left w:val="nil"/>
          <w:bottom w:val="single" w:sz="4" w:space="0" w:color="92CCDC" w:themeColor="accent5" w:themeTint="9A"/>
          <w:right w:val="nil"/>
        </w:tcBorders>
        <w:shd w:val="clear" w:color="FFFFFF" w:fill="FFFFFF" w:themeFill="light1"/>
      </w:tcPr>
    </w:tblStylePr>
    <w:tblStylePr w:type="lastRow">
      <w:pPr>
        <w:snapToGrid/>
      </w:pPr>
      <w:rPr>
        <w:rFonts w:ascii="Arial" w:hAnsi="Arial"/>
        <w:i/>
        <w:color w:val="92CCDC" w:themeColor="accent5" w:themeShade="95" w:themeTint="9A"/>
        <w:sz w:val="22"/>
      </w:rPr>
      <w:tblPr/>
      <w:tcPr>
        <w:tcBorders>
          <w:top w:val="single" w:sz="4" w:space="0" w:color="92CCDC" w:themeColor="accent5" w:themeTint="9A"/>
          <w:left w:val="nil"/>
          <w:bottom w:val="nil"/>
          <w:right w:val="nil"/>
        </w:tcBorders>
        <w:shd w:val="clear" w:color="FFFFFF" w:fill="FFFFFF" w:themeFill="light1"/>
      </w:tcPr>
    </w:tblStylePr>
    <w:tblStylePr w:type="firstCol">
      <w:pPr>
        <w:snapToGrid/>
        <w:jc w:val="right"/>
      </w:pPr>
      <w:rPr>
        <w:rFonts w:ascii="Arial" w:hAnsi="Arial"/>
        <w:i/>
        <w:color w:val="92CCDC" w:themeColor="accent5" w:themeShade="95" w:themeTint="9A"/>
        <w:sz w:val="22"/>
      </w:rPr>
      <w:tblPr/>
      <w:tcPr>
        <w:tcBorders>
          <w:top w:val="nil"/>
          <w:left w:val="nil"/>
          <w:bottom w:val="nil"/>
          <w:right w:val="single" w:sz="4" w:space="0" w:color="92CCDC" w:themeColor="accent5" w:themeTint="9A"/>
        </w:tcBorders>
        <w:shd w:val="clear" w:color="FFFFFF" w:fill="FFFFFF"/>
      </w:tcPr>
    </w:tblStylePr>
    <w:tblStylePr w:type="lastCol">
      <w:pPr>
        <w:snapToGrid/>
      </w:pPr>
      <w:rPr>
        <w:rFonts w:ascii="Arial" w:hAnsi="Arial"/>
        <w:i/>
        <w:color w:val="92CCDC" w:themeColor="accent5" w:themeShade="95" w:themeTint="9A"/>
        <w:sz w:val="22"/>
      </w:rPr>
      <w:tblPr/>
      <w:tcPr>
        <w:tcBorders>
          <w:top w:val="nil"/>
          <w:left w:val="single" w:sz="4" w:space="0" w:color="92CCDC" w:themeColor="accent5" w:themeTint="9A"/>
          <w:bottom w:val="nil"/>
          <w:right w:val="nil"/>
        </w:tcBorders>
        <w:shd w:val="clear" w:color="FFFFFF" w:fill="FFFFFF"/>
      </w:tcPr>
    </w:tblStylePr>
    <w:tblStylePr w:type="band1Vert">
      <w:pPr>
        <w:snapToGrid/>
      </w:pPr>
      <w:tblPr/>
      <w:tcPr>
        <w:shd w:val="clear" w:color="CFDBF0" w:fill="D1EAF0" w:themeFill="accent5" w:themeFillTint="40"/>
      </w:tcPr>
    </w:tblStylePr>
    <w:tblStylePr w:type="band2Vert">
      <w:pPr>
        <w:snapToGrid/>
      </w:pPr>
    </w:tblStylePr>
    <w:tblStylePr w:type="band1Horz">
      <w:pPr>
        <w:snapToGrid/>
      </w:pPr>
      <w:rPr>
        <w:rFonts w:ascii="Arial" w:hAnsi="Arial"/>
        <w:color w:val="92CCDC" w:themeColor="accent5" w:themeShade="95" w:themeTint="9A"/>
        <w:sz w:val="22"/>
      </w:rPr>
      <w:tblPr/>
      <w:tcPr>
        <w:shd w:val="clear" w:color="CFDBF0" w:fill="D1EAF0" w:themeFill="accent5" w:themeFillTint="40"/>
      </w:tcPr>
    </w:tblStylePr>
    <w:tblStylePr w:type="band2Horz">
      <w:pPr>
        <w:snapToGrid/>
      </w:pPr>
      <w:rPr>
        <w:rFonts w:ascii="Arial" w:hAnsi="Arial"/>
        <w:color w:val="92CCDC"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qFormat/>
    <w:tblPr>
      <w:tblBorders>
        <w:right w:val="single" w:sz="4" w:space="0" w:color="FAC090" w:themeColor="accent6" w:themeTint="98"/>
      </w:tblBorders>
    </w:tblPr>
    <w:tblStylePr w:type="firstRow">
      <w:pPr>
        <w:snapToGrid/>
      </w:pPr>
      <w:rPr>
        <w:rFonts w:ascii="Arial" w:hAnsi="Arial"/>
        <w:i/>
        <w:color w:val="FAC090" w:themeColor="accent6" w:themeShade="95" w:themeTint="98"/>
        <w:sz w:val="22"/>
      </w:rPr>
      <w:tblPr/>
      <w:tcPr>
        <w:tcBorders>
          <w:top w:val="nil"/>
          <w:left w:val="nil"/>
          <w:bottom w:val="single" w:sz="4" w:space="0" w:color="FAC090" w:themeColor="accent6" w:themeTint="98"/>
          <w:right w:val="nil"/>
        </w:tcBorders>
        <w:shd w:val="clear" w:color="FFFFFF" w:fill="FFFFFF" w:themeFill="light1"/>
      </w:tcPr>
    </w:tblStylePr>
    <w:tblStylePr w:type="lastRow">
      <w:pPr>
        <w:snapToGrid/>
      </w:pPr>
      <w:rPr>
        <w:rFonts w:ascii="Arial" w:hAnsi="Arial"/>
        <w:i/>
        <w:color w:val="FAC090" w:themeColor="accent6" w:themeShade="95" w:themeTint="98"/>
        <w:sz w:val="22"/>
      </w:rPr>
      <w:tblPr/>
      <w:tcPr>
        <w:tcBorders>
          <w:top w:val="single" w:sz="4" w:space="0" w:color="FAC090" w:themeColor="accent6" w:themeTint="98"/>
          <w:left w:val="nil"/>
          <w:bottom w:val="nil"/>
          <w:right w:val="nil"/>
        </w:tcBorders>
        <w:shd w:val="clear" w:color="FFFFFF" w:fill="FFFFFF" w:themeFill="light1"/>
      </w:tcPr>
    </w:tblStylePr>
    <w:tblStylePr w:type="firstCol">
      <w:pPr>
        <w:snapToGrid/>
        <w:jc w:val="right"/>
      </w:pPr>
      <w:rPr>
        <w:rFonts w:ascii="Arial" w:hAnsi="Arial"/>
        <w:i/>
        <w:color w:val="FAC090" w:themeColor="accent6" w:themeShade="95" w:themeTint="98"/>
        <w:sz w:val="22"/>
      </w:rPr>
      <w:tblPr/>
      <w:tcPr>
        <w:tcBorders>
          <w:top w:val="nil"/>
          <w:left w:val="nil"/>
          <w:bottom w:val="nil"/>
          <w:right w:val="single" w:sz="4" w:space="0" w:color="FAC090" w:themeColor="accent6" w:themeTint="98"/>
        </w:tcBorders>
        <w:shd w:val="clear" w:color="FFFFFF" w:fill="FFFFFF"/>
      </w:tcPr>
    </w:tblStylePr>
    <w:tblStylePr w:type="lastCol">
      <w:pPr>
        <w:snapToGrid/>
      </w:pPr>
      <w:rPr>
        <w:rFonts w:ascii="Arial" w:hAnsi="Arial"/>
        <w:i/>
        <w:color w:val="FAC090" w:themeColor="accent6" w:themeShade="95" w:themeTint="98"/>
        <w:sz w:val="22"/>
      </w:rPr>
      <w:tblPr/>
      <w:tcPr>
        <w:tcBorders>
          <w:top w:val="nil"/>
          <w:left w:val="single" w:sz="4" w:space="0" w:color="FAC090" w:themeColor="accent6" w:themeTint="98"/>
          <w:bottom w:val="nil"/>
          <w:right w:val="nil"/>
        </w:tcBorders>
        <w:shd w:val="clear" w:color="FFFFFF" w:fill="FFFFFF"/>
      </w:tcPr>
    </w:tblStylePr>
    <w:tblStylePr w:type="band1Vert">
      <w:pPr>
        <w:snapToGrid/>
      </w:pPr>
      <w:tblPr/>
      <w:tcPr>
        <w:shd w:val="clear" w:color="DAEBCF" w:fill="FDE4D0" w:themeFill="accent6" w:themeFillTint="40"/>
      </w:tcPr>
    </w:tblStylePr>
    <w:tblStylePr w:type="band2Vert">
      <w:pPr>
        <w:snapToGrid/>
      </w:pPr>
    </w:tblStylePr>
    <w:tblStylePr w:type="band1Horz">
      <w:pPr>
        <w:snapToGrid/>
      </w:pPr>
      <w:rPr>
        <w:rFonts w:ascii="Arial" w:hAnsi="Arial"/>
        <w:color w:val="FAC090" w:themeColor="accent6" w:themeShade="95" w:themeTint="98"/>
        <w:sz w:val="22"/>
      </w:rPr>
      <w:tblPr/>
      <w:tcPr>
        <w:shd w:val="clear" w:color="DAEBCF" w:fill="FDE4D0" w:themeFill="accent6" w:themeFillTint="40"/>
      </w:tcPr>
    </w:tblStylePr>
    <w:tblStylePr w:type="band2Horz">
      <w:pPr>
        <w:snapToGrid/>
      </w:pPr>
      <w:rPr>
        <w:rFonts w:ascii="Arial" w:hAnsi="Arial"/>
        <w:color w:val="FAC090"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qFormat/>
    <w:rPr>
      <w:color w:val="404040"/>
    </w:rPr>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qFormat/>
    <w:rPr>
      <w:color w:val="404040"/>
    </w:rPr>
    <w:tblPr/>
    <w:tblStylePr w:type="firstRow">
      <w:pPr>
        <w:snapToGrid/>
      </w:pPr>
      <w:rPr>
        <w:rFonts w:ascii="Arial" w:hAnsi="Arial"/>
        <w:color w:val="F2F2F2"/>
        <w:sz w:val="22"/>
      </w:rPr>
      <w:tblPr/>
      <w:tcPr>
        <w:shd w:val="clear" w:color="68A2D8" w:fill="5D8AC2" w:themeFill="accent1" w:themeFillTint="EA"/>
      </w:tcPr>
    </w:tblStylePr>
    <w:tblStylePr w:type="lastRow">
      <w:pPr>
        <w:snapToGrid/>
      </w:pPr>
      <w:rPr>
        <w:rFonts w:ascii="Arial" w:hAnsi="Arial"/>
        <w:color w:val="F2F2F2"/>
        <w:sz w:val="22"/>
      </w:rPr>
      <w:tblPr/>
      <w:tcPr>
        <w:shd w:val="clear" w:color="68A2D8" w:fill="5D8AC2" w:themeFill="accent1" w:themeFillTint="EA"/>
      </w:tcPr>
    </w:tblStylePr>
    <w:tblStylePr w:type="firstCol">
      <w:pPr>
        <w:snapToGrid/>
      </w:pPr>
      <w:rPr>
        <w:rFonts w:ascii="Arial" w:hAnsi="Arial"/>
        <w:color w:val="F2F2F2"/>
        <w:sz w:val="22"/>
      </w:rPr>
      <w:tblPr/>
      <w:tcPr>
        <w:shd w:val="clear" w:color="68A2D8" w:fill="5D8AC2" w:themeFill="accent1" w:themeFillTint="EA"/>
      </w:tcPr>
    </w:tblStylePr>
    <w:tblStylePr w:type="lastCol">
      <w:pPr>
        <w:snapToGrid/>
      </w:pPr>
      <w:rPr>
        <w:rFonts w:ascii="Arial" w:hAnsi="Arial"/>
        <w:color w:val="F2F2F2"/>
        <w:sz w:val="22"/>
      </w:rPr>
      <w:tblPr/>
      <w:tcPr>
        <w:shd w:val="clear" w:color="68A2D8"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qFormat/>
    <w:rPr>
      <w:color w:val="404040"/>
    </w:rPr>
    <w:tblPr/>
    <w:tblStylePr w:type="firstRow">
      <w:pPr>
        <w:snapToGrid/>
      </w:pPr>
      <w:rPr>
        <w:rFonts w:ascii="Arial" w:hAnsi="Arial"/>
        <w:color w:val="F2F2F2"/>
        <w:sz w:val="22"/>
      </w:rPr>
      <w:tblPr/>
      <w:tcPr>
        <w:shd w:val="clear" w:color="F4B184" w:fill="D99695" w:themeFill="accent2" w:themeFillTint="97"/>
      </w:tcPr>
    </w:tblStylePr>
    <w:tblStylePr w:type="lastRow">
      <w:pPr>
        <w:snapToGrid/>
      </w:pPr>
      <w:rPr>
        <w:rFonts w:ascii="Arial" w:hAnsi="Arial"/>
        <w:color w:val="F2F2F2"/>
        <w:sz w:val="22"/>
      </w:rPr>
      <w:tblPr/>
      <w:tcPr>
        <w:shd w:val="clear" w:color="F4B184" w:fill="D99695" w:themeFill="accent2" w:themeFillTint="97"/>
      </w:tcPr>
    </w:tblStylePr>
    <w:tblStylePr w:type="firstCol">
      <w:pPr>
        <w:snapToGrid/>
      </w:pPr>
      <w:rPr>
        <w:rFonts w:ascii="Arial" w:hAnsi="Arial"/>
        <w:color w:val="F2F2F2"/>
        <w:sz w:val="22"/>
      </w:rPr>
      <w:tblPr/>
      <w:tcPr>
        <w:shd w:val="clear" w:color="F4B184" w:fill="D99695" w:themeFill="accent2" w:themeFillTint="97"/>
      </w:tcPr>
    </w:tblStylePr>
    <w:tblStylePr w:type="lastCol">
      <w:pPr>
        <w:snapToGrid/>
      </w:pPr>
      <w:rPr>
        <w:rFonts w:ascii="Arial" w:hAnsi="Arial"/>
        <w:color w:val="F2F2F2"/>
        <w:sz w:val="22"/>
      </w:rPr>
      <w:tblPr/>
      <w:tcPr>
        <w:shd w:val="clear" w:color="F4B184"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qFormat/>
    <w:rPr>
      <w:color w:val="404040"/>
    </w:rPr>
    <w:tblPr/>
    <w:tblStylePr w:type="firstRow">
      <w:pPr>
        <w:snapToGrid/>
      </w:pPr>
      <w:rPr>
        <w:rFonts w:ascii="Arial" w:hAnsi="Arial"/>
        <w:color w:val="F2F2F2"/>
        <w:sz w:val="22"/>
      </w:rPr>
      <w:tblPr/>
      <w:tcPr>
        <w:shd w:val="clear" w:color="A5A5A5" w:fill="9ABB59" w:themeFill="accent3" w:themeFillTint="FE"/>
      </w:tcPr>
    </w:tblStylePr>
    <w:tblStylePr w:type="lastRow">
      <w:pPr>
        <w:snapToGrid/>
      </w:pPr>
      <w:rPr>
        <w:rFonts w:ascii="Arial" w:hAnsi="Arial"/>
        <w:color w:val="F2F2F2"/>
        <w:sz w:val="22"/>
      </w:rPr>
      <w:tblPr/>
      <w:tcPr>
        <w:shd w:val="clear" w:color="A5A5A5" w:fill="9ABB59" w:themeFill="accent3" w:themeFillTint="FE"/>
      </w:tcPr>
    </w:tblStylePr>
    <w:tblStylePr w:type="firstCol">
      <w:pPr>
        <w:snapToGrid/>
      </w:pPr>
      <w:rPr>
        <w:rFonts w:ascii="Arial" w:hAnsi="Arial"/>
        <w:color w:val="F2F2F2"/>
        <w:sz w:val="22"/>
      </w:rPr>
      <w:tblPr/>
      <w:tcPr>
        <w:shd w:val="clear" w:color="A5A5A5" w:fill="9ABB59" w:themeFill="accent3" w:themeFillTint="FE"/>
      </w:tcPr>
    </w:tblStylePr>
    <w:tblStylePr w:type="lastCol">
      <w:pPr>
        <w:snapToGrid/>
      </w:pPr>
      <w:rPr>
        <w:rFonts w:ascii="Arial" w:hAnsi="Arial"/>
        <w:color w:val="F2F2F2"/>
        <w:sz w:val="22"/>
      </w:rPr>
      <w:tblPr/>
      <w:tcPr>
        <w:shd w:val="clear" w:color="A5A5A5"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qFormat/>
    <w:rPr>
      <w:color w:val="404040"/>
    </w:rPr>
    <w:tblPr/>
    <w:tblStylePr w:type="firstRow">
      <w:pPr>
        <w:snapToGrid/>
      </w:pPr>
      <w:rPr>
        <w:rFonts w:ascii="Arial" w:hAnsi="Arial"/>
        <w:color w:val="F2F2F2"/>
        <w:sz w:val="22"/>
      </w:rPr>
      <w:tblPr/>
      <w:tcPr>
        <w:shd w:val="clear" w:color="FFD865" w:fill="B2A1C6" w:themeFill="accent4" w:themeFillTint="9A"/>
      </w:tcPr>
    </w:tblStylePr>
    <w:tblStylePr w:type="lastRow">
      <w:pPr>
        <w:snapToGrid/>
      </w:pPr>
      <w:rPr>
        <w:rFonts w:ascii="Arial" w:hAnsi="Arial"/>
        <w:color w:val="F2F2F2"/>
        <w:sz w:val="22"/>
      </w:rPr>
      <w:tblPr/>
      <w:tcPr>
        <w:shd w:val="clear" w:color="FFD865" w:fill="B2A1C6" w:themeFill="accent4" w:themeFillTint="9A"/>
      </w:tcPr>
    </w:tblStylePr>
    <w:tblStylePr w:type="firstCol">
      <w:pPr>
        <w:snapToGrid/>
      </w:pPr>
      <w:rPr>
        <w:rFonts w:ascii="Arial" w:hAnsi="Arial"/>
        <w:color w:val="F2F2F2"/>
        <w:sz w:val="22"/>
      </w:rPr>
      <w:tblPr/>
      <w:tcPr>
        <w:shd w:val="clear" w:color="FFD865" w:fill="B2A1C6" w:themeFill="accent4" w:themeFillTint="9A"/>
      </w:tcPr>
    </w:tblStylePr>
    <w:tblStylePr w:type="lastCol">
      <w:pPr>
        <w:snapToGrid/>
      </w:pPr>
      <w:rPr>
        <w:rFonts w:ascii="Arial" w:hAnsi="Arial"/>
        <w:color w:val="F2F2F2"/>
        <w:sz w:val="22"/>
      </w:rPr>
      <w:tblPr/>
      <w:tcPr>
        <w:shd w:val="clear" w:color="FFD865"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qFormat/>
    <w:rPr>
      <w:color w:val="404040"/>
    </w:rPr>
    <w:tblPr/>
    <w:tblStylePr w:type="firstRow">
      <w:pPr>
        <w:snapToGrid/>
      </w:pPr>
      <w:rPr>
        <w:rFonts w:ascii="Arial" w:hAnsi="Arial"/>
        <w:color w:val="F2F2F2"/>
        <w:sz w:val="22"/>
      </w:rPr>
      <w:tblPr/>
      <w:tcPr>
        <w:shd w:val="clear" w:color="4472C4" w:fill="4BACC6" w:themeFill="accent5"/>
      </w:tcPr>
    </w:tblStylePr>
    <w:tblStylePr w:type="lastRow">
      <w:pPr>
        <w:snapToGrid/>
      </w:pPr>
      <w:rPr>
        <w:rFonts w:ascii="Arial" w:hAnsi="Arial"/>
        <w:color w:val="F2F2F2"/>
        <w:sz w:val="22"/>
      </w:rPr>
      <w:tblPr/>
      <w:tcPr>
        <w:shd w:val="clear" w:color="4472C4" w:fill="4BACC6" w:themeFill="accent5"/>
      </w:tcPr>
    </w:tblStylePr>
    <w:tblStylePr w:type="firstCol">
      <w:pPr>
        <w:snapToGrid/>
      </w:pPr>
      <w:rPr>
        <w:rFonts w:ascii="Arial" w:hAnsi="Arial"/>
        <w:color w:val="F2F2F2"/>
        <w:sz w:val="22"/>
      </w:rPr>
      <w:tblPr/>
      <w:tcPr>
        <w:shd w:val="clear" w:color="4472C4" w:fill="4BACC6" w:themeFill="accent5"/>
      </w:tcPr>
    </w:tblStylePr>
    <w:tblStylePr w:type="lastCol">
      <w:pPr>
        <w:snapToGrid/>
      </w:pPr>
      <w:rPr>
        <w:rFonts w:ascii="Arial" w:hAnsi="Arial"/>
        <w:color w:val="F2F2F2"/>
        <w:sz w:val="22"/>
      </w:rPr>
      <w:tblPr/>
      <w:tcPr>
        <w:shd w:val="clear" w:color="4472C4"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qFormat/>
    <w:rPr>
      <w:color w:val="404040"/>
    </w:rPr>
    <w:tblPr/>
    <w:tblStylePr w:type="firstRow">
      <w:pPr>
        <w:snapToGrid/>
      </w:pPr>
      <w:rPr>
        <w:rFonts w:ascii="Arial" w:hAnsi="Arial"/>
        <w:color w:val="F2F2F2"/>
        <w:sz w:val="22"/>
      </w:rPr>
      <w:tblPr/>
      <w:tcPr>
        <w:shd w:val="clear" w:color="70AD47" w:fill="F79646" w:themeFill="accent6"/>
      </w:tcPr>
    </w:tblStylePr>
    <w:tblStylePr w:type="lastRow">
      <w:pPr>
        <w:snapToGrid/>
      </w:pPr>
      <w:rPr>
        <w:rFonts w:ascii="Arial" w:hAnsi="Arial"/>
        <w:color w:val="F2F2F2"/>
        <w:sz w:val="22"/>
      </w:rPr>
      <w:tblPr/>
      <w:tcPr>
        <w:shd w:val="clear" w:color="70AD47" w:fill="F79646" w:themeFill="accent6"/>
      </w:tcPr>
    </w:tblStylePr>
    <w:tblStylePr w:type="firstCol">
      <w:pPr>
        <w:snapToGrid/>
      </w:pPr>
      <w:rPr>
        <w:rFonts w:ascii="Arial" w:hAnsi="Arial"/>
        <w:color w:val="F2F2F2"/>
        <w:sz w:val="22"/>
      </w:rPr>
      <w:tblPr/>
      <w:tcPr>
        <w:shd w:val="clear" w:color="70AD47" w:fill="F79646" w:themeFill="accent6"/>
      </w:tcPr>
    </w:tblStylePr>
    <w:tblStylePr w:type="lastCol">
      <w:pPr>
        <w:snapToGrid/>
      </w:pPr>
      <w:rPr>
        <w:rFonts w:ascii="Arial" w:hAnsi="Arial"/>
        <w:color w:val="F2F2F2"/>
        <w:sz w:val="22"/>
      </w:rPr>
      <w:tblPr/>
      <w:tcPr>
        <w:shd w:val="clear" w:color="70AD47"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7F7F7F" w:fill="7F7F7F" w:themeFill="text1" w:themeFillTint="80"/>
      </w:tcPr>
    </w:tblStylePr>
    <w:tblStylePr w:type="lastRow">
      <w:pPr>
        <w:snapToGrid/>
      </w:pPr>
      <w:rPr>
        <w:rFonts w:ascii="Arial" w:hAnsi="Arial"/>
        <w:color w:val="F2F2F2"/>
        <w:sz w:val="22"/>
      </w:rPr>
      <w:tblPr/>
      <w:tcPr>
        <w:shd w:val="clear" w:color="7F7F7F" w:fill="7F7F7F" w:themeFill="text1" w:themeFillTint="80"/>
      </w:tcPr>
    </w:tblStylePr>
    <w:tblStylePr w:type="firstCol">
      <w:pPr>
        <w:snapToGrid/>
      </w:pPr>
      <w:rPr>
        <w:rFonts w:ascii="Arial" w:hAnsi="Arial"/>
        <w:color w:val="F2F2F2"/>
        <w:sz w:val="22"/>
      </w:rPr>
      <w:tblPr/>
      <w:tcPr>
        <w:shd w:val="clear" w:color="7F7F7F" w:fill="7F7F7F" w:themeFill="text1" w:themeFillTint="80"/>
      </w:tcPr>
    </w:tblStylePr>
    <w:tblStylePr w:type="lastCol">
      <w:pPr>
        <w:snapToGrid/>
      </w:pPr>
      <w:rPr>
        <w:rFonts w:ascii="Arial" w:hAnsi="Arial"/>
        <w:color w:val="F2F2F2"/>
        <w:sz w:val="22"/>
      </w:rPr>
      <w:tblPr/>
      <w:tcPr>
        <w:shd w:val="clear" w:color="7F7F7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2F2F2"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2F2F2"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pPr>
        <w:snapToGrid/>
      </w:pPr>
      <w:rPr>
        <w:rFonts w:ascii="Arial" w:hAnsi="Arial"/>
        <w:color w:val="F2F2F2"/>
        <w:sz w:val="22"/>
      </w:rPr>
      <w:tblPr/>
      <w:tcPr>
        <w:shd w:val="clear" w:color="68A2D8" w:fill="5D8AC2" w:themeFill="accent1" w:themeFillTint="EA"/>
      </w:tcPr>
    </w:tblStylePr>
    <w:tblStylePr w:type="lastRow">
      <w:pPr>
        <w:snapToGrid/>
      </w:pPr>
      <w:rPr>
        <w:rFonts w:ascii="Arial" w:hAnsi="Arial"/>
        <w:color w:val="F2F2F2"/>
        <w:sz w:val="22"/>
      </w:rPr>
      <w:tblPr/>
      <w:tcPr>
        <w:shd w:val="clear" w:color="68A2D8" w:fill="5D8AC2" w:themeFill="accent1" w:themeFillTint="EA"/>
      </w:tcPr>
    </w:tblStylePr>
    <w:tblStylePr w:type="firstCol">
      <w:pPr>
        <w:snapToGrid/>
      </w:pPr>
      <w:rPr>
        <w:rFonts w:ascii="Arial" w:hAnsi="Arial"/>
        <w:color w:val="F2F2F2"/>
        <w:sz w:val="22"/>
      </w:rPr>
      <w:tblPr/>
      <w:tcPr>
        <w:shd w:val="clear" w:color="68A2D8" w:fill="5D8AC2" w:themeFill="accent1" w:themeFillTint="EA"/>
      </w:tcPr>
    </w:tblStylePr>
    <w:tblStylePr w:type="lastCol">
      <w:pPr>
        <w:snapToGrid/>
      </w:pPr>
      <w:rPr>
        <w:rFonts w:ascii="Arial" w:hAnsi="Arial"/>
        <w:color w:val="F2F2F2"/>
        <w:sz w:val="22"/>
      </w:rPr>
      <w:tblPr/>
      <w:tcPr>
        <w:shd w:val="clear" w:color="68A2D8" w:fill="5D8AC2"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CBDFF1" w:fill="C7D7EA"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CBDFF1" w:fill="C7D7EA"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pPr>
        <w:snapToGrid/>
      </w:pPr>
      <w:rPr>
        <w:rFonts w:ascii="Arial" w:hAnsi="Arial"/>
        <w:color w:val="F2F2F2"/>
        <w:sz w:val="22"/>
      </w:rPr>
      <w:tblPr/>
      <w:tcPr>
        <w:shd w:val="clear" w:color="F4B184" w:fill="D99695" w:themeFill="accent2" w:themeFillTint="97"/>
      </w:tcPr>
    </w:tblStylePr>
    <w:tblStylePr w:type="lastRow">
      <w:pPr>
        <w:snapToGrid/>
      </w:pPr>
      <w:rPr>
        <w:rFonts w:ascii="Arial" w:hAnsi="Arial"/>
        <w:color w:val="F2F2F2"/>
        <w:sz w:val="22"/>
      </w:rPr>
      <w:tblPr/>
      <w:tcPr>
        <w:shd w:val="clear" w:color="F4B184" w:fill="D99695" w:themeFill="accent2" w:themeFillTint="97"/>
      </w:tcPr>
    </w:tblStylePr>
    <w:tblStylePr w:type="firstCol">
      <w:pPr>
        <w:snapToGrid/>
      </w:pPr>
      <w:rPr>
        <w:rFonts w:ascii="Arial" w:hAnsi="Arial"/>
        <w:color w:val="F2F2F2"/>
        <w:sz w:val="22"/>
      </w:rPr>
      <w:tblPr/>
      <w:tcPr>
        <w:shd w:val="clear" w:color="F4B184" w:fill="D99695" w:themeFill="accent2" w:themeFillTint="97"/>
      </w:tcPr>
    </w:tblStylePr>
    <w:tblStylePr w:type="lastCol">
      <w:pPr>
        <w:snapToGrid/>
      </w:pPr>
      <w:rPr>
        <w:rFonts w:ascii="Arial" w:hAnsi="Arial"/>
        <w:color w:val="F2F2F2"/>
        <w:sz w:val="22"/>
      </w:rPr>
      <w:tblPr/>
      <w:tcPr>
        <w:shd w:val="clear" w:color="F4B184" w:fill="D99695"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BE5D6" w:fill="F2DCDC"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BE5D6" w:fill="F2DCDC"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qFormat/>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pPr>
        <w:snapToGrid/>
      </w:pPr>
      <w:rPr>
        <w:rFonts w:ascii="Arial" w:hAnsi="Arial"/>
        <w:color w:val="F2F2F2"/>
        <w:sz w:val="22"/>
      </w:rPr>
      <w:tblPr/>
      <w:tcPr>
        <w:shd w:val="clear" w:color="A5A5A5" w:fill="9ABB59" w:themeFill="accent3" w:themeFillTint="FE"/>
      </w:tcPr>
    </w:tblStylePr>
    <w:tblStylePr w:type="lastRow">
      <w:pPr>
        <w:snapToGrid/>
      </w:pPr>
      <w:rPr>
        <w:rFonts w:ascii="Arial" w:hAnsi="Arial"/>
        <w:color w:val="F2F2F2"/>
        <w:sz w:val="22"/>
      </w:rPr>
      <w:tblPr/>
      <w:tcPr>
        <w:shd w:val="clear" w:color="A5A5A5" w:fill="9ABB59" w:themeFill="accent3" w:themeFillTint="FE"/>
      </w:tcPr>
    </w:tblStylePr>
    <w:tblStylePr w:type="firstCol">
      <w:pPr>
        <w:snapToGrid/>
      </w:pPr>
      <w:rPr>
        <w:rFonts w:ascii="Arial" w:hAnsi="Arial"/>
        <w:color w:val="F2F2F2"/>
        <w:sz w:val="22"/>
      </w:rPr>
      <w:tblPr/>
      <w:tcPr>
        <w:shd w:val="clear" w:color="A5A5A5" w:fill="9ABB59" w:themeFill="accent3" w:themeFillTint="FE"/>
      </w:tcPr>
    </w:tblStylePr>
    <w:tblStylePr w:type="lastCol">
      <w:pPr>
        <w:snapToGrid/>
      </w:pPr>
      <w:rPr>
        <w:rFonts w:ascii="Arial" w:hAnsi="Arial"/>
        <w:color w:val="F2F2F2"/>
        <w:sz w:val="22"/>
      </w:rPr>
      <w:tblPr/>
      <w:tcPr>
        <w:shd w:val="clear" w:color="A5A5A5" w:fill="9ABB59"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CECEC" w:fill="EAF1D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CECEC" w:fill="EAF1D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pPr>
        <w:snapToGrid/>
      </w:pPr>
      <w:rPr>
        <w:rFonts w:ascii="Arial" w:hAnsi="Arial"/>
        <w:color w:val="F2F2F2"/>
        <w:sz w:val="22"/>
      </w:rPr>
      <w:tblPr/>
      <w:tcPr>
        <w:shd w:val="clear" w:color="FFD865" w:fill="B2A1C6" w:themeFill="accent4" w:themeFillTint="9A"/>
      </w:tcPr>
    </w:tblStylePr>
    <w:tblStylePr w:type="lastRow">
      <w:pPr>
        <w:snapToGrid/>
      </w:pPr>
      <w:rPr>
        <w:rFonts w:ascii="Arial" w:hAnsi="Arial"/>
        <w:color w:val="F2F2F2"/>
        <w:sz w:val="22"/>
      </w:rPr>
      <w:tblPr/>
      <w:tcPr>
        <w:shd w:val="clear" w:color="FFD865" w:fill="B2A1C6" w:themeFill="accent4" w:themeFillTint="9A"/>
      </w:tcPr>
    </w:tblStylePr>
    <w:tblStylePr w:type="firstCol">
      <w:pPr>
        <w:snapToGrid/>
      </w:pPr>
      <w:rPr>
        <w:rFonts w:ascii="Arial" w:hAnsi="Arial"/>
        <w:color w:val="F2F2F2"/>
        <w:sz w:val="22"/>
      </w:rPr>
      <w:tblPr/>
      <w:tcPr>
        <w:shd w:val="clear" w:color="FFD865" w:fill="B2A1C6" w:themeFill="accent4" w:themeFillTint="9A"/>
      </w:tcPr>
    </w:tblStylePr>
    <w:tblStylePr w:type="lastCol">
      <w:pPr>
        <w:snapToGrid/>
      </w:pPr>
      <w:rPr>
        <w:rFonts w:ascii="Arial" w:hAnsi="Arial"/>
        <w:color w:val="F2F2F2"/>
        <w:sz w:val="22"/>
      </w:rPr>
      <w:tblPr/>
      <w:tcPr>
        <w:shd w:val="clear" w:color="FFD865" w:fill="B2A1C6"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2CB" w:fill="E5DFEC"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2CB" w:fill="E5DFEC"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qFormat/>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pPr>
        <w:snapToGrid/>
      </w:pPr>
      <w:rPr>
        <w:rFonts w:ascii="Arial" w:hAnsi="Arial"/>
        <w:color w:val="F2F2F2"/>
        <w:sz w:val="22"/>
      </w:rPr>
      <w:tblPr/>
      <w:tcPr>
        <w:shd w:val="clear" w:color="4472C4" w:fill="4BACC6" w:themeFill="accent5"/>
      </w:tcPr>
    </w:tblStylePr>
    <w:tblStylePr w:type="lastRow">
      <w:pPr>
        <w:snapToGrid/>
      </w:pPr>
      <w:rPr>
        <w:rFonts w:ascii="Arial" w:hAnsi="Arial"/>
        <w:color w:val="F2F2F2"/>
        <w:sz w:val="22"/>
      </w:rPr>
      <w:tblPr/>
      <w:tcPr>
        <w:shd w:val="clear" w:color="4472C4" w:fill="4BACC6" w:themeFill="accent5"/>
      </w:tcPr>
    </w:tblStylePr>
    <w:tblStylePr w:type="firstCol">
      <w:pPr>
        <w:snapToGrid/>
      </w:pPr>
      <w:rPr>
        <w:rFonts w:ascii="Arial" w:hAnsi="Arial"/>
        <w:color w:val="F2F2F2"/>
        <w:sz w:val="22"/>
      </w:rPr>
      <w:tblPr/>
      <w:tcPr>
        <w:shd w:val="clear" w:color="4472C4" w:fill="4BACC6" w:themeFill="accent5"/>
      </w:tcPr>
    </w:tblStylePr>
    <w:tblStylePr w:type="lastCol">
      <w:pPr>
        <w:snapToGrid/>
      </w:pPr>
      <w:rPr>
        <w:rFonts w:ascii="Arial" w:hAnsi="Arial"/>
        <w:color w:val="F2F2F2"/>
        <w:sz w:val="22"/>
      </w:rPr>
      <w:tblPr/>
      <w:tcPr>
        <w:shd w:val="clear" w:color="4472C4" w:fill="4BACC6"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D8E2F3" w:fill="DAEE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D8E2F3" w:fill="DAEE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qFormat/>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pPr>
        <w:snapToGrid/>
      </w:pPr>
      <w:rPr>
        <w:rFonts w:ascii="Arial" w:hAnsi="Arial"/>
        <w:color w:val="F2F2F2"/>
        <w:sz w:val="22"/>
      </w:rPr>
      <w:tblPr/>
      <w:tcPr>
        <w:shd w:val="clear" w:color="70AD47" w:fill="F79646" w:themeFill="accent6"/>
      </w:tcPr>
    </w:tblStylePr>
    <w:tblStylePr w:type="lastRow">
      <w:pPr>
        <w:snapToGrid/>
      </w:pPr>
      <w:rPr>
        <w:rFonts w:ascii="Arial" w:hAnsi="Arial"/>
        <w:color w:val="F2F2F2"/>
        <w:sz w:val="22"/>
      </w:rPr>
      <w:tblPr/>
      <w:tcPr>
        <w:shd w:val="clear" w:color="70AD47" w:fill="F79646" w:themeFill="accent6"/>
      </w:tcPr>
    </w:tblStylePr>
    <w:tblStylePr w:type="firstCol">
      <w:pPr>
        <w:snapToGrid/>
      </w:pPr>
      <w:rPr>
        <w:rFonts w:ascii="Arial" w:hAnsi="Arial"/>
        <w:color w:val="F2F2F2"/>
        <w:sz w:val="22"/>
      </w:rPr>
      <w:tblPr/>
      <w:tcPr>
        <w:shd w:val="clear" w:color="70AD47" w:fill="F79646" w:themeFill="accent6"/>
      </w:tcPr>
    </w:tblStylePr>
    <w:tblStylePr w:type="lastCol">
      <w:pPr>
        <w:snapToGrid/>
      </w:pPr>
      <w:rPr>
        <w:rFonts w:ascii="Arial" w:hAnsi="Arial"/>
        <w:color w:val="F2F2F2"/>
        <w:sz w:val="22"/>
      </w:rPr>
      <w:tblPr/>
      <w:tcPr>
        <w:shd w:val="clear" w:color="70AD47" w:fill="F79646"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E1EFD8" w:fill="FDE9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E1EFD8" w:fill="FDE9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pPr>
        <w:snapToGrid/>
      </w:pPr>
      <w:rPr>
        <w:rFonts w:ascii="Arial" w:hAnsi="Arial"/>
        <w:color w:val="404040"/>
        <w:sz w:val="22"/>
      </w:rPr>
      <w:tblPr/>
      <w:tcPr>
        <w:tcBorders>
          <w:bottom w:val="single" w:sz="12" w:space="0" w:color="4F81BD" w:themeColor="accent1"/>
        </w:tcBorders>
      </w:tcPr>
    </w:tblStylePr>
    <w:tblStylePr w:type="lastRow">
      <w:pPr>
        <w:snapToGrid/>
      </w:pPr>
      <w:rPr>
        <w:rFonts w:ascii="Arial" w:hAnsi="Arial"/>
        <w:color w:val="404040"/>
        <w:sz w:val="22"/>
      </w:rPr>
      <w:tblPr/>
      <w:tcPr>
        <w:tcBorders>
          <w:top w:val="single" w:sz="12" w:space="0" w:color="4F81BD"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4F81BD"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pPr>
        <w:snapToGrid/>
      </w:pPr>
      <w:rPr>
        <w:rFonts w:ascii="Arial" w:hAnsi="Arial"/>
        <w:color w:val="404040"/>
        <w:sz w:val="22"/>
      </w:rPr>
      <w:tblPr/>
      <w:tcPr>
        <w:tcBorders>
          <w:bottom w:val="single" w:sz="12" w:space="0" w:color="D99695" w:themeColor="accent2" w:themeTint="97"/>
        </w:tcBorders>
      </w:tcPr>
    </w:tblStylePr>
    <w:tblStylePr w:type="lastRow">
      <w:pPr>
        <w:snapToGrid/>
      </w:pPr>
      <w:rPr>
        <w:rFonts w:ascii="Arial" w:hAnsi="Arial"/>
        <w:color w:val="404040"/>
        <w:sz w:val="22"/>
      </w:rPr>
      <w:tblPr/>
      <w:tcPr>
        <w:tcBorders>
          <w:top w:val="single" w:sz="12" w:space="0" w:color="D99695"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D99695"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pPr>
        <w:snapToGrid/>
      </w:pPr>
      <w:rPr>
        <w:rFonts w:ascii="Arial" w:hAnsi="Arial"/>
        <w:color w:val="404040"/>
        <w:sz w:val="22"/>
      </w:rPr>
      <w:tblPr/>
      <w:tcPr>
        <w:tcBorders>
          <w:bottom w:val="single" w:sz="12" w:space="0" w:color="C3D69B" w:themeColor="accent3" w:themeTint="98"/>
        </w:tcBorders>
      </w:tcPr>
    </w:tblStylePr>
    <w:tblStylePr w:type="lastRow">
      <w:pPr>
        <w:snapToGrid/>
      </w:pPr>
      <w:rPr>
        <w:rFonts w:ascii="Arial" w:hAnsi="Arial"/>
        <w:color w:val="404040"/>
        <w:sz w:val="22"/>
      </w:rPr>
      <w:tblPr/>
      <w:tcPr>
        <w:tcBorders>
          <w:top w:val="single" w:sz="12" w:space="0" w:color="C3D69B"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3D69B"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pPr>
        <w:snapToGrid/>
      </w:pPr>
      <w:rPr>
        <w:rFonts w:ascii="Arial" w:hAnsi="Arial"/>
        <w:color w:val="404040"/>
        <w:sz w:val="22"/>
      </w:rPr>
      <w:tblPr/>
      <w:tcPr>
        <w:tcBorders>
          <w:bottom w:val="single" w:sz="12" w:space="0" w:color="B2A1C6" w:themeColor="accent4" w:themeTint="9A"/>
        </w:tcBorders>
      </w:tcPr>
    </w:tblStylePr>
    <w:tblStylePr w:type="lastRow">
      <w:pPr>
        <w:snapToGrid/>
      </w:pPr>
      <w:rPr>
        <w:rFonts w:ascii="Arial" w:hAnsi="Arial"/>
        <w:color w:val="404040"/>
        <w:sz w:val="22"/>
      </w:rPr>
      <w:tblPr/>
      <w:tcPr>
        <w:tcBorders>
          <w:top w:val="single" w:sz="12" w:space="0" w:color="B2A1C6"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B2A1C6"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pPr>
        <w:snapToGrid/>
      </w:pPr>
      <w:rPr>
        <w:rFonts w:ascii="Arial" w:hAnsi="Arial"/>
        <w:color w:val="404040"/>
        <w:sz w:val="22"/>
      </w:rPr>
      <w:tblPr/>
      <w:tcPr>
        <w:tcBorders>
          <w:bottom w:val="single" w:sz="12" w:space="0" w:color="92CCDC" w:themeColor="accent5" w:themeTint="9A"/>
        </w:tcBorders>
      </w:tcPr>
    </w:tblStylePr>
    <w:tblStylePr w:type="lastRow">
      <w:pPr>
        <w:snapToGrid/>
      </w:pPr>
      <w:rPr>
        <w:rFonts w:ascii="Arial" w:hAnsi="Arial"/>
        <w:color w:val="404040"/>
        <w:sz w:val="22"/>
      </w:rPr>
      <w:tblPr/>
      <w:tcPr>
        <w:tcBorders>
          <w:top w:val="single" w:sz="12" w:space="0" w:color="92CCDC"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92CCDC"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pPr>
        <w:snapToGrid/>
      </w:pPr>
      <w:rPr>
        <w:rFonts w:ascii="Arial" w:hAnsi="Arial"/>
        <w:color w:val="404040"/>
        <w:sz w:val="22"/>
      </w:rPr>
      <w:tblPr/>
      <w:tcPr>
        <w:tcBorders>
          <w:bottom w:val="single" w:sz="12" w:space="0" w:color="FAC090" w:themeColor="accent6" w:themeTint="98"/>
        </w:tcBorders>
      </w:tcPr>
    </w:tblStylePr>
    <w:tblStylePr w:type="lastRow">
      <w:pPr>
        <w:snapToGrid/>
      </w:pPr>
      <w:rPr>
        <w:rFonts w:ascii="Arial" w:hAnsi="Arial"/>
        <w:color w:val="404040"/>
        <w:sz w:val="22"/>
      </w:rPr>
      <w:tblPr/>
      <w:tcPr>
        <w:tcBorders>
          <w:top w:val="single" w:sz="12" w:space="0" w:color="FAC090"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AC090"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customStyle="1" w:styleId="FootnoteTextChar">
    <w:name w:val="Footnote Text Char"/>
    <w:uiPriority w:val="99"/>
    <w:qFormat/>
    <w:rPr>
      <w:sz w:val="18"/>
    </w:rPr>
  </w:style>
  <w:style w:type="paragraph" w:customStyle="1" w:styleId="TOC10">
    <w:name w:val="TOC 标题1"/>
    <w:uiPriority w:val="39"/>
    <w:unhideWhenUsed/>
    <w:qFormat/>
    <w:rPr>
      <w:sz w:val="22"/>
      <w:szCs w:val="22"/>
    </w:rPr>
  </w:style>
  <w:style w:type="character" w:customStyle="1" w:styleId="a3">
    <w:name w:val="正文文本 字符"/>
    <w:link w:val="BodyText"/>
    <w:qFormat/>
    <w:rPr>
      <w:rFonts w:ascii="宋体"/>
      <w:sz w:val="21"/>
    </w:rPr>
  </w:style>
  <w:style w:type="character" w:customStyle="1" w:styleId="unnamed11">
    <w:name w:val="unnamed11"/>
    <w:qFormat/>
    <w:rPr>
      <w:rFonts w:ascii="宋体" w:eastAsia="宋体" w:hAnsi="宋体" w:hint="eastAsia"/>
      <w:sz w:val="18"/>
    </w:rPr>
  </w:style>
  <w:style w:type="character" w:customStyle="1" w:styleId="a4">
    <w:name w:val="标题 字符"/>
    <w:link w:val="Title"/>
    <w:qFormat/>
    <w:rPr>
      <w:rFonts w:ascii="Cambria" w:hAnsi="Cambria"/>
      <w:b/>
      <w:sz w:val="32"/>
    </w:rPr>
  </w:style>
  <w:style w:type="character" w:customStyle="1" w:styleId="a5">
    <w:name w:val="页眉 字符"/>
    <w:link w:val="Header"/>
    <w:qFormat/>
    <w:rPr>
      <w:sz w:val="18"/>
    </w:rPr>
  </w:style>
  <w:style w:type="character" w:customStyle="1" w:styleId="read">
    <w:name w:val="read"/>
    <w:basedOn w:val="DefaultParagraphFont"/>
    <w:qFormat/>
  </w:style>
  <w:style w:type="paragraph" w:customStyle="1" w:styleId="CharChar">
    <w:name w:val="Char Char"/>
    <w:basedOn w:val="Normal"/>
    <w:qFormat/>
  </w:style>
  <w:style w:type="paragraph" w:customStyle="1" w:styleId="Default">
    <w:name w:val="Default"/>
    <w:qFormat/>
    <w:pPr>
      <w:widowControl w:val="0"/>
    </w:pPr>
    <w:rPr>
      <w:rFonts w:ascii="宋体"/>
      <w:color w:val="000000"/>
      <w:sz w:val="24"/>
      <w:szCs w:val="22"/>
    </w:rPr>
  </w:style>
  <w:style w:type="paragraph" w:customStyle="1" w:styleId="unnamed1">
    <w:name w:val="unnamed1"/>
    <w:basedOn w:val="Normal"/>
    <w:qFormat/>
    <w:pPr>
      <w:spacing w:before="60" w:after="60"/>
      <w:ind w:left="15" w:right="15"/>
    </w:pPr>
    <w:rPr>
      <w:rFonts w:ascii="宋体" w:hAnsi="宋体" w:hint="eastAsia"/>
      <w:color w:val="000000"/>
      <w:sz w:val="18"/>
      <w:szCs w:val="18"/>
    </w:rPr>
  </w:style>
  <w:style w:type="paragraph" w:customStyle="1" w:styleId="Listbullet">
    <w:name w:val="List_bullet"/>
    <w:basedOn w:val="Normal"/>
    <w:qFormat/>
    <w:pPr>
      <w:widowControl/>
      <w:tabs>
        <w:tab w:val="left" w:pos="360"/>
      </w:tabs>
      <w:ind w:left="360" w:hanging="360"/>
      <w:jc w:val="left"/>
    </w:pPr>
    <w:rPr>
      <w:sz w:val="24"/>
    </w:rPr>
  </w:style>
  <w:style w:type="paragraph" w:customStyle="1" w:styleId="msonormal1">
    <w:name w:val="msonormal1"/>
    <w:qFormat/>
    <w:pPr>
      <w:widowControl w:val="0"/>
      <w:jc w:val="both"/>
    </w:pPr>
    <w:rPr>
      <w:sz w:val="21"/>
      <w:szCs w:val="22"/>
    </w:rPr>
  </w:style>
  <w:style w:type="paragraph" w:customStyle="1" w:styleId="a6">
    <w:name w:val="正文正文"/>
    <w:basedOn w:val="Normal"/>
    <w:qFormat/>
    <w:pPr>
      <w:spacing w:line="360" w:lineRule="auto"/>
      <w:ind w:firstLine="200"/>
    </w:pPr>
    <w:rPr>
      <w:sz w:val="24"/>
    </w:rPr>
  </w:style>
  <w:style w:type="paragraph" w:customStyle="1" w:styleId="Char">
    <w:name w:val="Char"/>
    <w:basedOn w:val="Normal"/>
    <w:qFormat/>
  </w:style>
  <w:style w:type="paragraph" w:customStyle="1" w:styleId="Char2">
    <w:name w:val="Char2"/>
    <w:basedOn w:val="Normal"/>
    <w:qFormat/>
  </w:style>
  <w:style w:type="paragraph" w:customStyle="1" w:styleId="CharCharChar">
    <w:name w:val="Char Char Char"/>
    <w:basedOn w:val="Normal"/>
    <w:qFormat/>
  </w:style>
  <w:style w:type="paragraph" w:customStyle="1" w:styleId="InfoBlue">
    <w:name w:val="InfoBlue"/>
    <w:basedOn w:val="Normal"/>
    <w:next w:val="BodyText"/>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Normal"/>
    <w:qFormat/>
    <w:pPr>
      <w:tabs>
        <w:tab w:val="left" w:pos="360"/>
      </w:tabs>
    </w:pPr>
  </w:style>
  <w:style w:type="paragraph" w:customStyle="1" w:styleId="CharChar1">
    <w:name w:val="Char Char1"/>
    <w:basedOn w:val="Normal"/>
    <w:qFormat/>
  </w:style>
  <w:style w:type="paragraph" w:customStyle="1" w:styleId="a7">
    <w:name w:val="正文所"/>
    <w:basedOn w:val="Normal"/>
    <w:qFormat/>
    <w:pPr>
      <w:spacing w:line="360" w:lineRule="auto"/>
      <w:ind w:firstLine="420"/>
    </w:pPr>
    <w:rPr>
      <w:rFonts w:ascii="宋体"/>
    </w:rPr>
  </w:style>
  <w:style w:type="paragraph" w:customStyle="1" w:styleId="1">
    <w:name w:val="修订1"/>
    <w:hidden/>
    <w:uiPriority w:val="99"/>
    <w:semiHidden/>
    <w:qFormat/>
    <w:rPr>
      <w:sz w:val="21"/>
      <w:szCs w:val="22"/>
    </w:rPr>
  </w:style>
  <w:style w:type="paragraph" w:styleId="ListParagraph">
    <w:name w:val="List Paragraph"/>
    <w:basedOn w:val="Normal"/>
    <w:uiPriority w:val="34"/>
    <w:qFormat/>
    <w:pPr>
      <w:ind w:firstLine="420"/>
    </w:pPr>
  </w:style>
  <w:style w:type="character" w:customStyle="1" w:styleId="a8">
    <w:name w:val="批注文字 字符"/>
    <w:link w:val="CommentText"/>
    <w:qFormat/>
    <w:rPr>
      <w:sz w:val="21"/>
    </w:rPr>
  </w:style>
  <w:style w:type="character" w:customStyle="1" w:styleId="10">
    <w:name w:val="标题 1 字符"/>
    <w:link w:val="Heading1"/>
    <w:qFormat/>
    <w:rPr>
      <w:rFonts w:ascii="宋体"/>
      <w:b/>
      <w:color w:val="000000"/>
      <w:sz w:val="24"/>
    </w:rPr>
  </w:style>
  <w:style w:type="character" w:customStyle="1" w:styleId="2">
    <w:name w:val="标题 2 字符"/>
    <w:link w:val="Heading2"/>
    <w:qFormat/>
    <w:rPr>
      <w:rFonts w:ascii="Arial" w:eastAsia="黑体" w:hAnsi="Arial"/>
      <w:b/>
      <w:sz w:val="32"/>
    </w:rPr>
  </w:style>
  <w:style w:type="character" w:customStyle="1" w:styleId="3">
    <w:name w:val="标题 3 字符"/>
    <w:link w:val="Heading3"/>
    <w:qFormat/>
    <w:rPr>
      <w:b/>
      <w:sz w:val="32"/>
    </w:rPr>
  </w:style>
  <w:style w:type="character" w:customStyle="1" w:styleId="TitleChar">
    <w:name w:val="Title Char"/>
    <w:qFormat/>
    <w:rPr>
      <w:rFonts w:ascii="Cambria" w:hAnsi="Cambria"/>
      <w:b/>
      <w:sz w:val="32"/>
    </w:rPr>
  </w:style>
  <w:style w:type="character" w:customStyle="1" w:styleId="BodyTextChar">
    <w:name w:val="Body Text Char"/>
    <w:qFormat/>
    <w:rPr>
      <w:rFonts w:ascii="宋体"/>
    </w:rPr>
  </w:style>
  <w:style w:type="character" w:customStyle="1" w:styleId="HeaderChar">
    <w:name w:val="Header Char"/>
    <w:qFormat/>
    <w:rPr>
      <w:rFonts w:eastAsia="宋体"/>
      <w:sz w:val="18"/>
      <w:lang w:val="en-US" w:eastAsia="zh-CN"/>
    </w:rPr>
  </w:style>
  <w:style w:type="paragraph" w:customStyle="1" w:styleId="Char1">
    <w:name w:val="Char1"/>
    <w:basedOn w:val="Normal"/>
    <w:qFormat/>
  </w:style>
  <w:style w:type="character" w:customStyle="1" w:styleId="a9">
    <w:name w:val="文档结构图 字符"/>
    <w:link w:val="DocumentMap"/>
    <w:qFormat/>
    <w:rPr>
      <w:sz w:val="21"/>
      <w:shd w:val="clear" w:color="000080" w:fill="000080"/>
    </w:rPr>
  </w:style>
  <w:style w:type="character" w:customStyle="1" w:styleId="a10">
    <w:name w:val="纯文本 字符"/>
    <w:link w:val="PlainText"/>
    <w:qFormat/>
    <w:rPr>
      <w:rFonts w:ascii="宋体" w:hAnsi="Courier New"/>
      <w:sz w:val="21"/>
    </w:rPr>
  </w:style>
  <w:style w:type="character" w:customStyle="1" w:styleId="30">
    <w:name w:val="正文文本缩进 3 字符"/>
    <w:link w:val="BodyTextIndent3"/>
    <w:qFormat/>
    <w:rPr>
      <w:color w:val="0000FF"/>
      <w:sz w:val="21"/>
    </w:rPr>
  </w:style>
  <w:style w:type="character" w:customStyle="1" w:styleId="20">
    <w:name w:val="正文文本缩进 2 字符"/>
    <w:link w:val="BodyTextIndent2"/>
    <w:qFormat/>
    <w:rPr>
      <w:rFonts w:ascii="仿宋_GB2312" w:eastAsia="仿宋_GB2312"/>
      <w:sz w:val="28"/>
    </w:rPr>
  </w:style>
  <w:style w:type="character" w:customStyle="1" w:styleId="a11">
    <w:name w:val="批注框文本 字符"/>
    <w:link w:val="BalloonText"/>
    <w:rPr>
      <w:sz w:val="18"/>
    </w:rPr>
  </w:style>
  <w:style w:type="character" w:customStyle="1" w:styleId="a12">
    <w:name w:val="页脚 字符"/>
    <w:link w:val="Footer"/>
    <w:uiPriority w:val="99"/>
    <w:qFormat/>
    <w:rPr>
      <w:sz w:val="18"/>
    </w:rPr>
  </w:style>
  <w:style w:type="character" w:customStyle="1" w:styleId="a13">
    <w:name w:val="脚注文本 字符"/>
    <w:link w:val="FootnoteText"/>
    <w:qFormat/>
    <w:rPr>
      <w:sz w:val="18"/>
    </w:rPr>
  </w:style>
  <w:style w:type="character" w:customStyle="1" w:styleId="a14">
    <w:name w:val="批注主题 字符"/>
    <w:link w:val="CommentSubject"/>
    <w:qFormat/>
    <w:rPr>
      <w:b/>
      <w:sz w:val="21"/>
    </w:rPr>
  </w:style>
  <w:style w:type="paragraph" w:customStyle="1" w:styleId="100">
    <w:name w:val="修订1_0"/>
    <w:hidden/>
    <w:semiHidden/>
    <w:qFormat/>
    <w:rPr>
      <w:sz w:val="21"/>
      <w:szCs w:val="22"/>
    </w:rPr>
  </w:style>
  <w:style w:type="paragraph" w:customStyle="1" w:styleId="CharChar5">
    <w:name w:val="Char Char5"/>
    <w:basedOn w:val="Normal"/>
    <w:qFormat/>
  </w:style>
  <w:style w:type="character" w:customStyle="1" w:styleId="HTML">
    <w:name w:val="HTML 预设格式 字符"/>
    <w:link w:val="HTMLPreformatted"/>
    <w:semiHidden/>
    <w:qFormat/>
    <w:rPr>
      <w:rFonts w:ascii="宋体"/>
      <w:sz w:val="24"/>
    </w:rPr>
  </w:style>
  <w:style w:type="paragraph" w:customStyle="1" w:styleId="CharChar4">
    <w:name w:val="Char Char4"/>
    <w:basedOn w:val="Normal"/>
    <w:qFormat/>
  </w:style>
  <w:style w:type="paragraph" w:customStyle="1" w:styleId="CharChar3">
    <w:name w:val="Char Char3"/>
    <w:basedOn w:val="Normal"/>
    <w:qFormat/>
  </w:style>
  <w:style w:type="paragraph" w:customStyle="1" w:styleId="CharChar2">
    <w:name w:val="Char Char2"/>
    <w:basedOn w:val="Normal"/>
  </w:style>
  <w:style w:type="paragraph" w:customStyle="1" w:styleId="12">
    <w:name w:val="1"/>
    <w:pPr>
      <w:widowControl w:val="0"/>
      <w:jc w:val="both"/>
    </w:pPr>
    <w:rPr>
      <w:sz w:val="21"/>
      <w:szCs w:val="22"/>
    </w:rPr>
  </w:style>
  <w:style w:type="paragraph" w:customStyle="1" w:styleId="13">
    <w:name w:val="列出段落1"/>
    <w:basedOn w:val="Normal"/>
    <w:qFormat/>
    <w:pPr>
      <w:ind w:firstLine="420"/>
    </w:pPr>
  </w:style>
  <w:style w:type="paragraph" w:customStyle="1" w:styleId="14">
    <w:name w:val="正文1"/>
    <w:basedOn w:val="Normal"/>
    <w:qFormat/>
    <w:pPr>
      <w:spacing w:line="360" w:lineRule="auto"/>
      <w:ind w:firstLine="200"/>
    </w:pPr>
    <w:rPr>
      <w:rFonts w:cs="宋体"/>
    </w:rPr>
  </w:style>
  <w:style w:type="character" w:customStyle="1" w:styleId="15">
    <w:name w:val="已访问的超链接1"/>
    <w:uiPriority w:val="99"/>
    <w:semiHidden/>
    <w:unhideWhenUsed/>
    <w:qFormat/>
    <w:rPr>
      <w:color w:val="800080"/>
      <w:u w:val="single"/>
    </w:rPr>
  </w:style>
  <w:style w:type="paragraph" w:customStyle="1" w:styleId="CharChar7">
    <w:name w:val="Char Char7"/>
    <w:basedOn w:val="Normal"/>
    <w:qFormat/>
  </w:style>
  <w:style w:type="paragraph" w:customStyle="1" w:styleId="CharCharCharChar1">
    <w:name w:val="Char Char Char Char1"/>
    <w:basedOn w:val="Normal"/>
    <w:qFormat/>
    <w:pPr>
      <w:tabs>
        <w:tab w:val="left" w:pos="360"/>
      </w:tabs>
    </w:pPr>
  </w:style>
  <w:style w:type="paragraph" w:customStyle="1" w:styleId="Char8">
    <w:name w:val="Char8"/>
    <w:basedOn w:val="Normal"/>
    <w:qFormat/>
  </w:style>
  <w:style w:type="paragraph" w:customStyle="1" w:styleId="CharChar15">
    <w:name w:val="Char Char15"/>
    <w:basedOn w:val="Normal"/>
    <w:qFormat/>
  </w:style>
  <w:style w:type="paragraph" w:customStyle="1" w:styleId="CharChar14">
    <w:name w:val="Char Char14"/>
    <w:basedOn w:val="Normal"/>
    <w:qFormat/>
  </w:style>
  <w:style w:type="paragraph" w:customStyle="1" w:styleId="Char7">
    <w:name w:val="Char7"/>
    <w:basedOn w:val="Normal"/>
    <w:qFormat/>
  </w:style>
  <w:style w:type="paragraph" w:customStyle="1" w:styleId="CharChar13">
    <w:name w:val="Char Char13"/>
    <w:basedOn w:val="Normal"/>
    <w:qFormat/>
  </w:style>
  <w:style w:type="paragraph" w:customStyle="1" w:styleId="Char6">
    <w:name w:val="Char6"/>
    <w:basedOn w:val="Normal"/>
    <w:qFormat/>
  </w:style>
  <w:style w:type="paragraph" w:customStyle="1" w:styleId="CharChar12">
    <w:name w:val="Char Char12"/>
    <w:basedOn w:val="Normal"/>
    <w:qFormat/>
  </w:style>
  <w:style w:type="paragraph" w:customStyle="1" w:styleId="Char5">
    <w:name w:val="Char5"/>
    <w:basedOn w:val="Normal"/>
    <w:qFormat/>
  </w:style>
  <w:style w:type="paragraph" w:customStyle="1" w:styleId="CharChar6">
    <w:name w:val="Char Char6"/>
    <w:basedOn w:val="Normal"/>
    <w:qFormat/>
  </w:style>
  <w:style w:type="paragraph" w:customStyle="1" w:styleId="Char4">
    <w:name w:val="Char4"/>
    <w:basedOn w:val="Normal"/>
    <w:qFormat/>
  </w:style>
  <w:style w:type="paragraph" w:customStyle="1" w:styleId="CharChar11">
    <w:name w:val="Char Char11"/>
    <w:basedOn w:val="Normal"/>
    <w:qFormat/>
  </w:style>
  <w:style w:type="paragraph" w:customStyle="1" w:styleId="Char3">
    <w:name w:val="Char3"/>
    <w:basedOn w:val="Normal"/>
    <w:qFormat/>
  </w:style>
  <w:style w:type="character" w:customStyle="1" w:styleId="grame">
    <w:name w:val="grame"/>
    <w:basedOn w:val="DefaultParagraphFont"/>
    <w:qFormat/>
  </w:style>
  <w:style w:type="paragraph" w:customStyle="1" w:styleId="CharChar16">
    <w:name w:val="Char Char16"/>
    <w:basedOn w:val="Normal"/>
    <w:qFormat/>
  </w:style>
  <w:style w:type="paragraph" w:customStyle="1" w:styleId="Char9">
    <w:name w:val="Char9"/>
    <w:basedOn w:val="Normal"/>
    <w:qFormat/>
  </w:style>
  <w:style w:type="paragraph" w:customStyle="1" w:styleId="CharChar17">
    <w:name w:val="Char Char17"/>
    <w:basedOn w:val="Normal"/>
    <w:qFormat/>
  </w:style>
  <w:style w:type="paragraph" w:customStyle="1" w:styleId="Char10">
    <w:name w:val="Char10"/>
    <w:basedOn w:val="Normal"/>
  </w:style>
  <w:style w:type="paragraph" w:customStyle="1" w:styleId="Char11">
    <w:name w:val="Char11"/>
    <w:basedOn w:val="Normal"/>
  </w:style>
  <w:style w:type="paragraph" w:customStyle="1" w:styleId="CharChar18">
    <w:name w:val="Char Char18"/>
    <w:basedOn w:val="Normal"/>
  </w:style>
  <w:style w:type="paragraph" w:customStyle="1" w:styleId="Char12">
    <w:name w:val="Char12"/>
    <w:basedOn w:val="Normal"/>
  </w:style>
  <w:style w:type="paragraph" w:customStyle="1" w:styleId="CharChar19">
    <w:name w:val="Char Char19"/>
    <w:basedOn w:val="Normal"/>
    <w:qFormat/>
  </w:style>
  <w:style w:type="character" w:customStyle="1" w:styleId="da">
    <w:name w:val="da"/>
    <w:basedOn w:val="DefaultParagraphFont"/>
    <w:qFormat/>
  </w:style>
  <w:style w:type="paragraph" w:styleId="Revision">
    <w:name w:val="Revision"/>
    <w:hidden/>
    <w:uiPriority w:val="99"/>
    <w:semiHidden/>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5007f94b0e0461a93db5372a52915a6"/>
        <w:category>
          <w:name w:val="(Empty Category)"/>
          <w:gallery w:val="any"/>
        </w:category>
        <w:behaviors>
          <w:behavior w:val="content"/>
        </w:behaviors>
        <w:guid w:val="{E1BF2EB4-5188-4A98-A587-C28E38EB4ADC}"/>
      </w:docPartPr>
      <w:docPartBody>
        <w:p w:rsidR="00D54FB9">
          <w:r>
            <w:t>请在此放置您的文字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charset w:val="00"/>
    <w:family w:val="auto"/>
    <w:pitch w:val="default"/>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compressPunctuation"/>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FB9"/>
    <w:rsid w:val="003238B4"/>
    <w:rsid w:val="003E36A6"/>
    <w:rsid w:val="006262F6"/>
    <w:rsid w:val="00B04E37"/>
    <w:rsid w:val="00D54FB9"/>
    <w:rsid w:val="00F80086"/>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宋体" w:hAnsi="Arial" w:cs="Arial"/>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1"/>
    <w:uiPriority w:val="9"/>
    <w:qFormat/>
    <w:pPr>
      <w:keepNext/>
      <w:keepLines/>
      <w:spacing w:before="480" w:after="200"/>
      <w:outlineLvl w:val="0"/>
    </w:pPr>
    <w:rPr>
      <w:sz w:val="40"/>
      <w:szCs w:val="40"/>
    </w:rPr>
  </w:style>
  <w:style w:type="paragraph" w:styleId="Heading2">
    <w:name w:val="heading 2"/>
    <w:basedOn w:val="Normal"/>
    <w:next w:val="Normal"/>
    <w:link w:val="2"/>
    <w:uiPriority w:val="9"/>
    <w:unhideWhenUsed/>
    <w:qFormat/>
    <w:pPr>
      <w:keepNext/>
      <w:keepLines/>
      <w:spacing w:before="360" w:after="200"/>
      <w:outlineLvl w:val="1"/>
    </w:pPr>
    <w:rPr>
      <w:sz w:val="34"/>
    </w:rPr>
  </w:style>
  <w:style w:type="paragraph" w:styleId="Heading3">
    <w:name w:val="heading 3"/>
    <w:basedOn w:val="Normal"/>
    <w:next w:val="Normal"/>
    <w:link w:val="3"/>
    <w:uiPriority w:val="9"/>
    <w:unhideWhenUsed/>
    <w:qFormat/>
    <w:pPr>
      <w:keepNext/>
      <w:keepLines/>
      <w:spacing w:before="320" w:after="200"/>
      <w:outlineLvl w:val="2"/>
    </w:pPr>
    <w:rPr>
      <w:sz w:val="30"/>
      <w:szCs w:val="30"/>
    </w:rPr>
  </w:style>
  <w:style w:type="paragraph" w:styleId="Heading4">
    <w:name w:val="heading 4"/>
    <w:basedOn w:val="Normal"/>
    <w:next w:val="Normal"/>
    <w:link w:val="4"/>
    <w:uiPriority w:val="9"/>
    <w:unhideWhenUsed/>
    <w:qFormat/>
    <w:pPr>
      <w:keepNext/>
      <w:keepLines/>
      <w:spacing w:before="320" w:after="200"/>
      <w:outlineLvl w:val="3"/>
    </w:pPr>
    <w:rPr>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b/>
      <w:bCs/>
    </w:rPr>
  </w:style>
  <w:style w:type="paragraph" w:styleId="Heading7">
    <w:name w:val="heading 7"/>
    <w:basedOn w:val="Normal"/>
    <w:next w:val="Normal"/>
    <w:link w:val="7"/>
    <w:uiPriority w:val="9"/>
    <w:unhideWhenUsed/>
    <w:qFormat/>
    <w:pPr>
      <w:keepNext/>
      <w:keepLines/>
      <w:spacing w:before="320" w:after="200"/>
      <w:outlineLvl w:val="6"/>
    </w:pPr>
    <w:rPr>
      <w:b/>
      <w:bCs/>
      <w:i/>
      <w:iCs/>
    </w:rPr>
  </w:style>
  <w:style w:type="paragraph" w:styleId="Heading8">
    <w:name w:val="heading 8"/>
    <w:basedOn w:val="Normal"/>
    <w:next w:val="Normal"/>
    <w:link w:val="8"/>
    <w:uiPriority w:val="9"/>
    <w:unhideWhenUsed/>
    <w:qFormat/>
    <w:pPr>
      <w:keepNext/>
      <w:keepLines/>
      <w:spacing w:before="320" w:after="200"/>
      <w:outlineLvl w:val="7"/>
    </w:pPr>
    <w:rPr>
      <w:i/>
      <w:iCs/>
    </w:rPr>
  </w:style>
  <w:style w:type="paragraph" w:styleId="Heading9">
    <w:name w:val="heading 9"/>
    <w:basedOn w:val="Normal"/>
    <w:next w:val="Normal"/>
    <w:link w:val="9"/>
    <w:uiPriority w:val="9"/>
    <w:unhideWhenUsed/>
    <w:qFormat/>
    <w:pPr>
      <w:keepNext/>
      <w:keepLines/>
      <w:spacing w:before="320" w:after="200"/>
      <w:outlineLvl w:val="8"/>
    </w:pPr>
    <w:rPr>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Pr>
      <w:rFonts w:ascii="Arial" w:hAnsi="Arial" w:cs="Arial"/>
      <w:sz w:val="40"/>
      <w:szCs w:val="40"/>
    </w:rPr>
  </w:style>
  <w:style w:type="character" w:customStyle="1" w:styleId="2">
    <w:name w:val="标题 2 字符"/>
    <w:basedOn w:val="DefaultParagraphFont"/>
    <w:link w:val="Heading2"/>
    <w:uiPriority w:val="9"/>
    <w:rPr>
      <w:rFonts w:ascii="Arial" w:hAnsi="Arial" w:cs="Arial"/>
      <w:sz w:val="34"/>
    </w:rPr>
  </w:style>
  <w:style w:type="character" w:customStyle="1" w:styleId="3">
    <w:name w:val="标题 3 字符"/>
    <w:basedOn w:val="DefaultParagraphFont"/>
    <w:link w:val="Heading3"/>
    <w:uiPriority w:val="9"/>
    <w:rPr>
      <w:rFonts w:ascii="Arial" w:hAnsi="Arial" w:cs="Arial"/>
      <w:sz w:val="30"/>
      <w:szCs w:val="30"/>
    </w:rPr>
  </w:style>
  <w:style w:type="character" w:customStyle="1" w:styleId="4">
    <w:name w:val="标题 4 字符"/>
    <w:basedOn w:val="DefaultParagraphFont"/>
    <w:link w:val="Heading4"/>
    <w:uiPriority w:val="9"/>
    <w:rPr>
      <w:rFonts w:ascii="Arial" w:hAnsi="Arial" w:cs="Arial"/>
      <w:b/>
      <w:bCs/>
      <w:sz w:val="26"/>
      <w:szCs w:val="26"/>
    </w:rPr>
  </w:style>
  <w:style w:type="character" w:customStyle="1" w:styleId="5">
    <w:name w:val="标题 5 字符"/>
    <w:basedOn w:val="DefaultParagraphFont"/>
    <w:link w:val="Heading5"/>
    <w:uiPriority w:val="9"/>
    <w:rPr>
      <w:rFonts w:ascii="Arial" w:hAnsi="Arial" w:cs="Arial"/>
      <w:b/>
      <w:bCs/>
      <w:sz w:val="24"/>
      <w:szCs w:val="24"/>
    </w:rPr>
  </w:style>
  <w:style w:type="character" w:customStyle="1" w:styleId="6">
    <w:name w:val="标题 6 字符"/>
    <w:basedOn w:val="DefaultParagraphFont"/>
    <w:link w:val="Heading6"/>
    <w:uiPriority w:val="9"/>
    <w:rPr>
      <w:rFonts w:ascii="Arial" w:hAnsi="Arial" w:cs="Arial"/>
      <w:b/>
      <w:bCs/>
      <w:sz w:val="22"/>
      <w:szCs w:val="22"/>
    </w:rPr>
  </w:style>
  <w:style w:type="character" w:customStyle="1" w:styleId="7">
    <w:name w:val="标题 7 字符"/>
    <w:basedOn w:val="DefaultParagraphFont"/>
    <w:link w:val="Heading7"/>
    <w:uiPriority w:val="9"/>
    <w:rPr>
      <w:rFonts w:ascii="Arial" w:hAnsi="Arial" w:cs="Arial"/>
      <w:b/>
      <w:bCs/>
      <w:i/>
      <w:iCs/>
      <w:sz w:val="22"/>
      <w:szCs w:val="22"/>
    </w:rPr>
  </w:style>
  <w:style w:type="character" w:customStyle="1" w:styleId="8">
    <w:name w:val="标题 8 字符"/>
    <w:basedOn w:val="DefaultParagraphFont"/>
    <w:link w:val="Heading8"/>
    <w:uiPriority w:val="9"/>
    <w:rPr>
      <w:rFonts w:ascii="Arial" w:hAnsi="Arial" w:cs="Arial"/>
      <w:i/>
      <w:iCs/>
      <w:sz w:val="22"/>
      <w:szCs w:val="22"/>
    </w:rPr>
  </w:style>
  <w:style w:type="character" w:customStyle="1" w:styleId="9">
    <w:name w:val="标题 9 字符"/>
    <w:basedOn w:val="DefaultParagraphFont"/>
    <w:link w:val="Heading9"/>
    <w:uiPriority w:val="9"/>
    <w:rPr>
      <w:rFonts w:ascii="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szCs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rPr>
      <w:i/>
    </w:rPr>
  </w:style>
  <w:style w:type="paragraph" w:styleId="Header">
    <w:name w:val="header"/>
    <w:basedOn w:val="Normal"/>
    <w:link w:val="a3"/>
    <w:uiPriority w:val="99"/>
    <w:unhideWhenUsed/>
    <w:pPr>
      <w:tabs>
        <w:tab w:val="center" w:pos="7143"/>
        <w:tab w:val="right" w:pos="14287"/>
      </w:tabs>
    </w:pPr>
  </w:style>
  <w:style w:type="character" w:customStyle="1" w:styleId="a3">
    <w:name w:val="页眉 字符"/>
    <w:basedOn w:val="DefaultParagraphFont"/>
    <w:link w:val="Header"/>
    <w:uiPriority w:val="99"/>
  </w:style>
  <w:style w:type="paragraph" w:styleId="Footer">
    <w:name w:val="footer"/>
    <w:basedOn w:val="Normal"/>
    <w:link w:val="a4"/>
    <w:uiPriority w:val="99"/>
    <w:unhideWhenUsed/>
    <w:pPr>
      <w:tabs>
        <w:tab w:val="center" w:pos="7143"/>
        <w:tab w:val="right" w:pos="14287"/>
      </w:tabs>
    </w:pPr>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a4">
    <w:name w:val="页脚 字符"/>
    <w:link w:val="Foote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TableGridLight">
    <w:name w:val="Table Grid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FFFFF" w:fill="F2F2F2" w:themeFill="text1" w:themeFillTint="0D"/>
      </w:tcPr>
    </w:tblStylePr>
    <w:tblStylePr w:type="band2Vert">
      <w:pPr>
        <w:snapToGrid/>
      </w:pPr>
    </w:tblStylePr>
    <w:tblStylePr w:type="band1Horz">
      <w:pPr>
        <w:snapToGrid/>
      </w:p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FFFFF"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FFFFF"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1">
    <w:name w:val="Grid Table 1 Light -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b/>
        <w:color w:val="404040"/>
      </w:rPr>
      <w:tblPr/>
      <w:tcPr>
        <w:tcBorders>
          <w:bottom w:val="single" w:sz="12" w:space="0" w:color="9EC4E6" w:themeColor="accen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2">
    <w:name w:val="Grid Table 1 Light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b/>
        <w:color w:val="404040"/>
      </w:rPr>
      <w:tblPr/>
      <w:tcPr>
        <w:tcBorders>
          <w:bottom w:val="single" w:sz="12" w:space="0" w:color="F4B286" w:themeColor="accent2"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3">
    <w:name w:val="Grid Table 1 Light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b/>
        <w:color w:val="404040"/>
      </w:rPr>
      <w:tblPr/>
      <w:tcPr>
        <w:tcBorders>
          <w:bottom w:val="single" w:sz="12" w:space="0" w:color="CACACA" w:themeColor="accent3"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4">
    <w:name w:val="Grid Table 1 Light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b/>
        <w:color w:val="404040"/>
      </w:rPr>
      <w:tblPr/>
      <w:tcPr>
        <w:tcBorders>
          <w:bottom w:val="single" w:sz="12" w:space="0" w:color="FFDA6A" w:themeColor="accent4"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5">
    <w:name w:val="Grid Table 1 Light -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b/>
        <w:color w:val="404040"/>
      </w:rPr>
      <w:tblPr/>
      <w:tcPr>
        <w:tcBorders>
          <w:bottom w:val="single" w:sz="12" w:space="0" w:color="91ACDC" w:themeColor="accent5"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1Light-Accent6">
    <w:name w:val="Grid Table 1 Light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b/>
        <w:color w:val="404040"/>
      </w:rPr>
      <w:tblPr/>
      <w:tcPr>
        <w:tcBorders>
          <w:bottom w:val="single" w:sz="12" w:space="0" w:color="AAD190" w:themeColor="accent6"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1">
    <w:name w:val="Grid Table 2 -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single" w:sz="12" w:space="0" w:color="68A2D8" w:themeColor="accent1" w:themeTint="EA"/>
          <w:right w:val="nil"/>
        </w:tcBorders>
        <w:shd w:val="clear" w:color="FFFFFF" w:fill="FFFFFF"/>
      </w:tcPr>
    </w:tblStylePr>
    <w:tblStylePr w:type="lastRow">
      <w:pPr>
        <w:snapToGrid/>
      </w:pPr>
      <w:rPr>
        <w:b/>
        <w:color w:val="404040"/>
      </w:rPr>
      <w:tblPr/>
      <w:tcPr>
        <w:tcBorders>
          <w:top w:val="single" w:sz="4" w:space="0" w:color="68A2D8" w:themeColor="accent1" w:themeTint="E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2">
    <w:name w:val="Grid Table 2 -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single" w:sz="12" w:space="0" w:color="F4B184" w:themeColor="accent2" w:themeTint="97"/>
          <w:right w:val="nil"/>
        </w:tcBorders>
        <w:shd w:val="clear" w:color="FFFFFF" w:fill="FFFFFF"/>
      </w:tcPr>
    </w:tblStylePr>
    <w:tblStylePr w:type="lastRow">
      <w:pPr>
        <w:snapToGrid/>
      </w:pPr>
      <w:rPr>
        <w:b/>
        <w:color w:val="404040"/>
      </w:rPr>
      <w:tblPr/>
      <w:tcPr>
        <w:tcBorders>
          <w:top w:val="single" w:sz="4" w:space="0" w:color="F4B184" w:themeColor="accent2" w:themeTint="97"/>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3">
    <w:name w:val="Grid Table 2 -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single" w:sz="12" w:space="0" w:color="A5A5A5" w:themeColor="accent3" w:themeTint="FE"/>
          <w:right w:val="nil"/>
        </w:tcBorders>
        <w:shd w:val="clear" w:color="FFFFFF" w:fill="FFFFFF"/>
      </w:tcPr>
    </w:tblStylePr>
    <w:tblStylePr w:type="lastRow">
      <w:pPr>
        <w:snapToGrid/>
      </w:pPr>
      <w:rPr>
        <w:b/>
        <w:color w:val="404040"/>
      </w:rPr>
      <w:tblPr/>
      <w:tcPr>
        <w:tcBorders>
          <w:top w:val="single" w:sz="4" w:space="0" w:color="A5A5A5" w:themeColor="accent3" w:themeTint="FE"/>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4">
    <w:name w:val="Grid Table 2 -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single" w:sz="12" w:space="0" w:color="FFD865" w:themeColor="accent4" w:themeTint="9A"/>
          <w:right w:val="nil"/>
        </w:tcBorders>
        <w:shd w:val="clear" w:color="FFFFFF" w:fill="FFFFFF"/>
      </w:tcPr>
    </w:tblStylePr>
    <w:tblStylePr w:type="lastRow">
      <w:pPr>
        <w:snapToGrid/>
      </w:pPr>
      <w:rPr>
        <w:b/>
        <w:color w:val="404040"/>
      </w:rPr>
      <w:tblPr/>
      <w:tcPr>
        <w:tcBorders>
          <w:top w:val="single" w:sz="4" w:space="0" w:color="FFD865" w:themeColor="accent4" w:themeTint="9A"/>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5">
    <w:name w:val="Grid Table 2 -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single" w:sz="12" w:space="0" w:color="4472C4" w:themeColor="accent5"/>
          <w:right w:val="nil"/>
        </w:tcBorders>
        <w:shd w:val="clear" w:color="FFFFFF" w:fill="FFFFFF"/>
      </w:tcPr>
    </w:tblStylePr>
    <w:tblStylePr w:type="lastRow">
      <w:pPr>
        <w:snapToGrid/>
      </w:pPr>
      <w:rPr>
        <w:b/>
        <w:color w:val="404040"/>
      </w:rPr>
      <w:tblPr/>
      <w:tcPr>
        <w:tcBorders>
          <w:top w:val="single" w:sz="4" w:space="0" w:color="4472C4" w:themeColor="accent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2-Accent6">
    <w:name w:val="Grid Table 2 -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single" w:sz="12" w:space="0" w:color="70AD47" w:themeColor="accent6"/>
          <w:right w:val="nil"/>
        </w:tcBorders>
        <w:shd w:val="clear" w:color="FFFFFF" w:fill="FFFFFF"/>
      </w:tcPr>
    </w:tblStylePr>
    <w:tblStylePr w:type="lastRow">
      <w:pPr>
        <w:snapToGrid/>
      </w:pPr>
      <w:rPr>
        <w:b/>
        <w:color w:val="404040"/>
      </w:rPr>
      <w:tblPr/>
      <w:tcPr>
        <w:tcBorders>
          <w:top w:val="single" w:sz="4" w:space="0" w:color="70AD47" w:themeColor="accent6"/>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1">
    <w:name w:val="Grid Table 3 - Accent 1"/>
    <w:basedOn w:val="TableNormal"/>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DDEAF6" w:themeFill="accent1" w:themeFillTint="34"/>
      </w:tcPr>
    </w:tblStylePr>
    <w:tblStylePr w:type="band2Vert">
      <w:pPr>
        <w:snapToGrid/>
      </w:pPr>
    </w:tblStylePr>
    <w:tblStylePr w:type="band1Horz">
      <w:pPr>
        <w:snapToGrid/>
      </w:pPr>
      <w:rPr>
        <w:rFonts w:ascii="Arial" w:hAnsi="Arial"/>
        <w:color w:val="404040"/>
        <w:sz w:val="22"/>
      </w:rPr>
      <w:tblPr/>
      <w:tcPr>
        <w:shd w:val="clear" w:color="FFFFFF" w:fill="DDEAF6" w:themeFill="accen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2">
    <w:name w:val="Grid Table 3 -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3">
    <w:name w:val="Grid Table 3 -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4">
    <w:name w:val="Grid Table 3 -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5">
    <w:name w:val="Grid Table 3 - Accent 5"/>
    <w:basedOn w:val="TableNormal"/>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3-Accent6">
    <w:name w:val="Grid Table 3 -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FFFFFF"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BCBCB" w:themeFill="text1" w:themeFillTint="34"/>
      </w:tcPr>
    </w:tblStylePr>
    <w:tblStylePr w:type="band2Vert">
      <w:pPr>
        <w:snapToGrid/>
      </w:pPr>
    </w:tblStylePr>
    <w:tblStylePr w:type="band1Horz">
      <w:pPr>
        <w:snapToGrid/>
      </w:pPr>
      <w:rPr>
        <w:rFonts w:ascii="Arial" w:hAnsi="Arial"/>
        <w:color w:val="404040"/>
        <w:sz w:val="22"/>
      </w:rPr>
      <w:tblPr/>
      <w:tcPr>
        <w:shd w:val="clear" w:color="FFFFFF"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1">
    <w:name w:val="Grid Table 4 - Accent 1"/>
    <w:basedOn w:val="TableNormal"/>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pPr>
        <w:snapToGrid/>
      </w:pPr>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FFFFFF" w:fill="68A2D8" w:themeFill="accent1" w:themeFillTint="EA"/>
      </w:tcPr>
    </w:tblStylePr>
    <w:tblStylePr w:type="lastRow">
      <w:pPr>
        <w:snapToGrid/>
      </w:pPr>
      <w:rPr>
        <w:b/>
        <w:color w:val="404040"/>
      </w:rPr>
      <w:tblPr/>
      <w:tcPr>
        <w:tcBorders>
          <w:top w:val="single" w:sz="4" w:space="0" w:color="68A2D8" w:themeColor="accent1" w:themeTint="E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EEBF6" w:themeFill="accent1" w:themeFillTint="32"/>
      </w:tcPr>
    </w:tblStylePr>
    <w:tblStylePr w:type="band2Vert">
      <w:pPr>
        <w:snapToGrid/>
      </w:pPr>
    </w:tblStylePr>
    <w:tblStylePr w:type="band1Horz">
      <w:pPr>
        <w:snapToGrid/>
      </w:pPr>
      <w:rPr>
        <w:rFonts w:ascii="Arial" w:hAnsi="Arial"/>
        <w:color w:val="404040"/>
        <w:sz w:val="22"/>
      </w:rPr>
      <w:tblPr/>
      <w:tcPr>
        <w:shd w:val="clear" w:color="FFFFFF" w:fill="DEEBF6" w:themeFill="accent1"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2">
    <w:name w:val="Grid Table 4 -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pPr>
        <w:snapToGrid/>
      </w:pPr>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FFFFF" w:fill="F4B184" w:themeFill="accent2" w:themeFillTint="97"/>
      </w:tcPr>
    </w:tblStylePr>
    <w:tblStylePr w:type="lastRow">
      <w:pPr>
        <w:snapToGrid/>
      </w:pPr>
      <w:rPr>
        <w:b/>
        <w:color w:val="404040"/>
      </w:rPr>
      <w:tblPr/>
      <w:tcPr>
        <w:tcBorders>
          <w:top w:val="single" w:sz="4" w:space="0" w:color="F4B184" w:themeColor="accent2" w:themeTint="97"/>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BE5D6" w:themeFill="accent2" w:themeFillTint="32"/>
      </w:tcPr>
    </w:tblStylePr>
    <w:tblStylePr w:type="band2Vert">
      <w:pPr>
        <w:snapToGrid/>
      </w:pPr>
    </w:tblStylePr>
    <w:tblStylePr w:type="band1Horz">
      <w:pPr>
        <w:snapToGrid/>
      </w:pPr>
      <w:rPr>
        <w:rFonts w:ascii="Arial" w:hAnsi="Arial"/>
        <w:color w:val="404040"/>
        <w:sz w:val="22"/>
      </w:rPr>
      <w:tblPr/>
      <w:tcPr>
        <w:shd w:val="clear" w:color="FFFFFF" w:fill="FBE5D6" w:themeFill="accent2" w:themeFillTint="32"/>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3">
    <w:name w:val="Grid Table 4 -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pPr>
        <w:snapToGrid/>
      </w:pPr>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hemeFill="accent3" w:themeFillTint="FE"/>
      </w:tcPr>
    </w:tblStylePr>
    <w:tblStylePr w:type="lastRow">
      <w:pPr>
        <w:snapToGrid/>
      </w:pPr>
      <w:rPr>
        <w:b/>
        <w:color w:val="404040"/>
      </w:rPr>
      <w:tblPr/>
      <w:tcPr>
        <w:tcBorders>
          <w:top w:val="single" w:sz="4" w:space="0" w:color="A5A5A5" w:themeColor="accent3" w:themeTint="FE"/>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CECEC" w:themeFill="accent3" w:themeFillTint="34"/>
      </w:tcPr>
    </w:tblStylePr>
    <w:tblStylePr w:type="band2Vert">
      <w:pPr>
        <w:snapToGrid/>
      </w:pPr>
    </w:tblStylePr>
    <w:tblStylePr w:type="band1Horz">
      <w:pPr>
        <w:snapToGrid/>
      </w:pPr>
      <w:rPr>
        <w:rFonts w:ascii="Arial" w:hAnsi="Arial"/>
        <w:color w:val="404040"/>
        <w:sz w:val="22"/>
      </w:rPr>
      <w:tblPr/>
      <w:tcPr>
        <w:shd w:val="clear" w:color="FFFFFF" w:fill="ECECEC" w:themeFill="accent3"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4">
    <w:name w:val="Grid Table 4 -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pPr>
        <w:snapToGrid/>
      </w:pPr>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FFFF" w:fill="FFD865" w:themeFill="accent4" w:themeFillTint="9A"/>
      </w:tcPr>
    </w:tblStylePr>
    <w:tblStylePr w:type="lastRow">
      <w:pPr>
        <w:snapToGrid/>
      </w:pPr>
      <w:rPr>
        <w:b/>
        <w:color w:val="404040"/>
      </w:rPr>
      <w:tblPr/>
      <w:tcPr>
        <w:tcBorders>
          <w:top w:val="single" w:sz="4" w:space="0" w:color="FFD865" w:themeColor="accent4" w:themeTint="9A"/>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FF2CB" w:themeFill="accent4" w:themeFillTint="34"/>
      </w:tcPr>
    </w:tblStylePr>
    <w:tblStylePr w:type="band2Vert">
      <w:pPr>
        <w:snapToGrid/>
      </w:pPr>
    </w:tblStylePr>
    <w:tblStylePr w:type="band1Horz">
      <w:pPr>
        <w:snapToGrid/>
      </w:pPr>
      <w:rPr>
        <w:rFonts w:ascii="Arial" w:hAnsi="Arial"/>
        <w:color w:val="404040"/>
        <w:sz w:val="22"/>
      </w:rPr>
      <w:tblPr/>
      <w:tcPr>
        <w:shd w:val="clear" w:color="FFFFFF" w:fill="FFF2CB" w:themeFill="accent4"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5">
    <w:name w:val="Grid Table 4 - Accent 5"/>
    <w:basedOn w:val="TableNormal"/>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pPr>
        <w:snapToGrid/>
      </w:pPr>
      <w:rPr>
        <w:b/>
        <w:color w:val="404040"/>
      </w:rPr>
      <w:tblPr/>
      <w:tcPr>
        <w:tcBorders>
          <w:top w:val="single" w:sz="4" w:space="0" w:color="4472C4" w:themeColor="accent5"/>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8E2F3" w:themeFill="accent5" w:themeFillTint="34"/>
      </w:tcPr>
    </w:tblStylePr>
    <w:tblStylePr w:type="band2Vert">
      <w:pPr>
        <w:snapToGrid/>
      </w:pPr>
    </w:tblStylePr>
    <w:tblStylePr w:type="band1Horz">
      <w:pPr>
        <w:snapToGrid/>
      </w:pPr>
      <w:rPr>
        <w:rFonts w:ascii="Arial" w:hAnsi="Arial"/>
        <w:color w:val="404040"/>
        <w:sz w:val="22"/>
      </w:rPr>
      <w:tblPr/>
      <w:tcPr>
        <w:shd w:val="clear" w:color="FFFFFF" w:fill="D8E2F3" w:themeFill="accent5"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4-Accent6">
    <w:name w:val="Grid Table 4 -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pPr>
        <w:snapToGrid/>
      </w:pPr>
      <w:rPr>
        <w:b/>
        <w:color w:val="404040"/>
      </w:rPr>
      <w:tblPr/>
      <w:tcPr>
        <w:tcBorders>
          <w:top w:val="single" w:sz="4" w:space="0" w:color="70AD47" w:themeColor="accent6"/>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1EFD8" w:themeFill="accent6" w:themeFillTint="34"/>
      </w:tcPr>
    </w:tblStylePr>
    <w:tblStylePr w:type="band2Vert">
      <w:pPr>
        <w:snapToGrid/>
      </w:pPr>
    </w:tblStylePr>
    <w:tblStylePr w:type="band1Horz">
      <w:pPr>
        <w:snapToGrid/>
      </w:pPr>
      <w:rPr>
        <w:rFonts w:ascii="Arial" w:hAnsi="Arial"/>
        <w:color w:val="404040"/>
        <w:sz w:val="22"/>
      </w:rPr>
      <w:tblPr/>
      <w:tcPr>
        <w:shd w:val="clear" w:color="FFFFFF" w:fill="E1EFD8" w:themeFill="accent6"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pPr>
        <w:snapToGrid/>
      </w:pPr>
      <w:rPr>
        <w:rFonts w:ascii="Arial" w:hAnsi="Arial"/>
        <w:b/>
        <w:color w:val="FFFFFF"/>
        <w:sz w:val="22"/>
      </w:rPr>
      <w:tblPr/>
      <w:tcPr>
        <w:shd w:val="clear" w:color="FFFFFF"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FFFFFF" w:fill="000000" w:themeFill="text1"/>
      </w:tcPr>
    </w:tblStylePr>
    <w:tblStylePr w:type="firstCol">
      <w:pPr>
        <w:snapToGrid/>
      </w:pPr>
      <w:rPr>
        <w:rFonts w:ascii="Arial" w:hAnsi="Arial"/>
        <w:b/>
        <w:color w:val="FFFFFF"/>
        <w:sz w:val="22"/>
      </w:rPr>
      <w:tblPr/>
      <w:tcPr>
        <w:shd w:val="clear" w:color="FFFFFF" w:fill="000000" w:themeFill="text1"/>
      </w:tcPr>
    </w:tblStylePr>
    <w:tblStylePr w:type="lastCol">
      <w:pPr>
        <w:snapToGrid/>
      </w:pPr>
      <w:rPr>
        <w:rFonts w:ascii="Arial" w:hAnsi="Arial"/>
        <w:b/>
        <w:color w:val="FFFFFF"/>
        <w:sz w:val="22"/>
      </w:rPr>
      <w:tblPr/>
      <w:tcPr>
        <w:shd w:val="clear" w:color="FFFFFF" w:fill="000000" w:themeFill="text1"/>
      </w:tcPr>
    </w:tblStylePr>
    <w:tblStylePr w:type="band1Vert">
      <w:pPr>
        <w:snapToGrid/>
      </w:pPr>
      <w:tblPr/>
      <w:tcPr>
        <w:shd w:val="clear" w:color="FFFFFF" w:fill="8A8A8A" w:themeFill="text1" w:themeFillTint="75"/>
      </w:tcPr>
    </w:tblStylePr>
    <w:tblStylePr w:type="band2Vert">
      <w:pPr>
        <w:snapToGrid/>
      </w:pPr>
    </w:tblStylePr>
    <w:tblStylePr w:type="band1Horz">
      <w:pPr>
        <w:snapToGrid/>
      </w:pPr>
      <w:tblPr/>
      <w:tcPr>
        <w:shd w:val="clear" w:color="FFFFFF"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DEAF6" w:themeFill="accent1" w:themeFillTint="34"/>
    </w:tblPr>
    <w:tblStylePr w:type="firstRow">
      <w:pPr>
        <w:snapToGrid/>
      </w:pPr>
      <w:rPr>
        <w:rFonts w:ascii="Arial" w:hAnsi="Arial"/>
        <w:b/>
        <w:color w:val="FFFFFF"/>
        <w:sz w:val="22"/>
      </w:rPr>
      <w:tblPr/>
      <w:tcPr>
        <w:shd w:val="clear" w:color="FFFFFF" w:fill="5B9BD5" w:themeFill="accent1"/>
      </w:tcPr>
    </w:tblStylePr>
    <w:tblStylePr w:type="lastRow">
      <w:pPr>
        <w:snapToGrid/>
      </w:pPr>
      <w:rPr>
        <w:rFonts w:ascii="Arial" w:hAnsi="Arial"/>
        <w:b/>
        <w:color w:val="FFFFFF"/>
        <w:sz w:val="22"/>
      </w:rPr>
      <w:tblPr/>
      <w:tcPr>
        <w:tcBorders>
          <w:top w:val="single" w:sz="4" w:space="0" w:color="FFFFFF" w:themeColor="light1"/>
        </w:tcBorders>
        <w:shd w:val="clear" w:color="FFFFFF" w:fill="5B9BD5" w:themeFill="accent1"/>
      </w:tcPr>
    </w:tblStylePr>
    <w:tblStylePr w:type="firstCol">
      <w:pPr>
        <w:snapToGrid/>
      </w:pPr>
      <w:rPr>
        <w:rFonts w:ascii="Arial" w:hAnsi="Arial"/>
        <w:b/>
        <w:color w:val="FFFFFF"/>
        <w:sz w:val="22"/>
      </w:rPr>
      <w:tblPr/>
      <w:tcPr>
        <w:shd w:val="clear" w:color="FFFFFF" w:fill="5B9BD5" w:themeFill="accent1"/>
      </w:tcPr>
    </w:tblStylePr>
    <w:tblStylePr w:type="lastCol">
      <w:pPr>
        <w:snapToGrid/>
      </w:pPr>
      <w:rPr>
        <w:rFonts w:ascii="Arial" w:hAnsi="Arial"/>
        <w:b/>
        <w:color w:val="FFFFFF"/>
        <w:sz w:val="22"/>
      </w:rPr>
      <w:tblPr/>
      <w:tcPr>
        <w:shd w:val="clear" w:color="FFFFFF" w:fill="5B9BD5" w:themeFill="accent1"/>
      </w:tcPr>
    </w:tblStylePr>
    <w:tblStylePr w:type="band1Vert">
      <w:pPr>
        <w:snapToGrid/>
      </w:pPr>
      <w:tblPr/>
      <w:tcPr>
        <w:shd w:val="clear" w:color="FFFFFF" w:fill="B3D0EB" w:themeFill="accent1" w:themeFillTint="75"/>
      </w:tcPr>
    </w:tblStylePr>
    <w:tblStylePr w:type="band2Vert">
      <w:pPr>
        <w:snapToGrid/>
      </w:pPr>
    </w:tblStylePr>
    <w:tblStylePr w:type="band1Horz">
      <w:pPr>
        <w:snapToGrid/>
      </w:pPr>
      <w:tblPr/>
      <w:tcPr>
        <w:shd w:val="clear" w:color="FFFFFF" w:fill="B3D0EB" w:themeFill="accen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BE5D6" w:themeFill="accent2" w:themeFillTint="32"/>
    </w:tblPr>
    <w:tblStylePr w:type="firstRow">
      <w:pPr>
        <w:snapToGrid/>
      </w:pPr>
      <w:rPr>
        <w:rFonts w:ascii="Arial" w:hAnsi="Arial"/>
        <w:b/>
        <w:color w:val="FFFFFF"/>
        <w:sz w:val="22"/>
      </w:rPr>
      <w:tblPr/>
      <w:tcPr>
        <w:shd w:val="clear" w:color="FFFFFF" w:fill="ED7D31" w:themeFill="accent2"/>
      </w:tcPr>
    </w:tblStylePr>
    <w:tblStylePr w:type="lastRow">
      <w:pPr>
        <w:snapToGrid/>
      </w:pPr>
      <w:rPr>
        <w:rFonts w:ascii="Arial" w:hAnsi="Arial"/>
        <w:b/>
        <w:color w:val="FFFFFF"/>
        <w:sz w:val="22"/>
      </w:rPr>
      <w:tblPr/>
      <w:tcPr>
        <w:tcBorders>
          <w:top w:val="single" w:sz="4" w:space="0" w:color="FFFFFF" w:themeColor="light1"/>
        </w:tcBorders>
        <w:shd w:val="clear" w:color="FFFFFF" w:fill="ED7D31" w:themeFill="accent2"/>
      </w:tcPr>
    </w:tblStylePr>
    <w:tblStylePr w:type="firstCol">
      <w:pPr>
        <w:snapToGrid/>
      </w:pPr>
      <w:rPr>
        <w:rFonts w:ascii="Arial" w:hAnsi="Arial"/>
        <w:b/>
        <w:color w:val="FFFFFF"/>
        <w:sz w:val="22"/>
      </w:rPr>
      <w:tblPr/>
      <w:tcPr>
        <w:shd w:val="clear" w:color="FFFFFF" w:fill="ED7D31" w:themeFill="accent2"/>
      </w:tcPr>
    </w:tblStylePr>
    <w:tblStylePr w:type="lastCol">
      <w:pPr>
        <w:snapToGrid/>
      </w:pPr>
      <w:rPr>
        <w:rFonts w:ascii="Arial" w:hAnsi="Arial"/>
        <w:b/>
        <w:color w:val="FFFFFF"/>
        <w:sz w:val="22"/>
      </w:rPr>
      <w:tblPr/>
      <w:tcPr>
        <w:shd w:val="clear" w:color="FFFFFF" w:fill="ED7D31" w:themeFill="accent2"/>
      </w:tcPr>
    </w:tblStylePr>
    <w:tblStylePr w:type="band1Vert">
      <w:pPr>
        <w:snapToGrid/>
      </w:pPr>
      <w:tblPr/>
      <w:tcPr>
        <w:shd w:val="clear" w:color="FFFFFF" w:fill="F6C3A0" w:themeFill="accent2" w:themeFillTint="75"/>
      </w:tcPr>
    </w:tblStylePr>
    <w:tblStylePr w:type="band2Vert">
      <w:pPr>
        <w:snapToGrid/>
      </w:pPr>
    </w:tblStylePr>
    <w:tblStylePr w:type="band1Horz">
      <w:pPr>
        <w:snapToGrid/>
      </w:pPr>
      <w:tblPr/>
      <w:tcPr>
        <w:shd w:val="clear" w:color="FFFFFF" w:fill="F6C3A0" w:themeFill="accent2"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CECEC" w:themeFill="accent3" w:themeFillTint="34"/>
    </w:tblPr>
    <w:tblStylePr w:type="firstRow">
      <w:pPr>
        <w:snapToGrid/>
      </w:pPr>
      <w:rPr>
        <w:rFonts w:ascii="Arial" w:hAnsi="Arial"/>
        <w:b/>
        <w:color w:val="FFFFFF"/>
        <w:sz w:val="22"/>
      </w:rPr>
      <w:tblPr/>
      <w:tcPr>
        <w:shd w:val="clear" w:color="FFFFFF" w:fill="A5A5A5" w:themeFill="accent3"/>
      </w:tcPr>
    </w:tblStylePr>
    <w:tblStylePr w:type="lastRow">
      <w:pPr>
        <w:snapToGrid/>
      </w:pPr>
      <w:rPr>
        <w:rFonts w:ascii="Arial" w:hAnsi="Arial"/>
        <w:b/>
        <w:color w:val="FFFFFF"/>
        <w:sz w:val="22"/>
      </w:rPr>
      <w:tblPr/>
      <w:tcPr>
        <w:tcBorders>
          <w:top w:val="single" w:sz="4" w:space="0" w:color="FFFFFF" w:themeColor="light1"/>
        </w:tcBorders>
        <w:shd w:val="clear" w:color="FFFFFF" w:fill="A5A5A5" w:themeFill="accent3"/>
      </w:tcPr>
    </w:tblStylePr>
    <w:tblStylePr w:type="firstCol">
      <w:pPr>
        <w:snapToGrid/>
      </w:pPr>
      <w:rPr>
        <w:rFonts w:ascii="Arial" w:hAnsi="Arial"/>
        <w:b/>
        <w:color w:val="FFFFFF"/>
        <w:sz w:val="22"/>
      </w:rPr>
      <w:tblPr/>
      <w:tcPr>
        <w:shd w:val="clear" w:color="FFFFFF" w:fill="A5A5A5" w:themeFill="accent3"/>
      </w:tcPr>
    </w:tblStylePr>
    <w:tblStylePr w:type="lastCol">
      <w:pPr>
        <w:snapToGrid/>
      </w:pPr>
      <w:rPr>
        <w:rFonts w:ascii="Arial" w:hAnsi="Arial"/>
        <w:b/>
        <w:color w:val="FFFFFF"/>
        <w:sz w:val="22"/>
      </w:rPr>
      <w:tblPr/>
      <w:tcPr>
        <w:shd w:val="clear" w:color="FFFFFF" w:fill="A5A5A5" w:themeFill="accent3"/>
      </w:tcPr>
    </w:tblStylePr>
    <w:tblStylePr w:type="band1Vert">
      <w:pPr>
        <w:snapToGrid/>
      </w:pPr>
      <w:tblPr/>
      <w:tcPr>
        <w:shd w:val="clear" w:color="FFFFFF" w:fill="D5D5D5" w:themeFill="accent3" w:themeFillTint="75"/>
      </w:tcPr>
    </w:tblStylePr>
    <w:tblStylePr w:type="band2Vert">
      <w:pPr>
        <w:snapToGrid/>
      </w:pPr>
    </w:tblStylePr>
    <w:tblStylePr w:type="band1Horz">
      <w:pPr>
        <w:snapToGrid/>
      </w:pPr>
      <w:tblPr/>
      <w:tcPr>
        <w:shd w:val="clear" w:color="FFFFFF" w:fill="D5D5D5" w:themeFill="accent3"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2CB" w:themeFill="accent4" w:themeFillTint="34"/>
    </w:tblPr>
    <w:tblStylePr w:type="firstRow">
      <w:pPr>
        <w:snapToGrid/>
      </w:pPr>
      <w:rPr>
        <w:rFonts w:ascii="Arial" w:hAnsi="Arial"/>
        <w:b/>
        <w:color w:val="FFFFFF"/>
        <w:sz w:val="22"/>
      </w:rPr>
      <w:tblPr/>
      <w:tcPr>
        <w:shd w:val="clear" w:color="FFFFFF" w:fill="FFC000" w:themeFill="accent4"/>
      </w:tcPr>
    </w:tblStylePr>
    <w:tblStylePr w:type="lastRow">
      <w:pPr>
        <w:snapToGrid/>
      </w:pPr>
      <w:rPr>
        <w:rFonts w:ascii="Arial" w:hAnsi="Arial"/>
        <w:b/>
        <w:color w:val="FFFFFF"/>
        <w:sz w:val="22"/>
      </w:rPr>
      <w:tblPr/>
      <w:tcPr>
        <w:tcBorders>
          <w:top w:val="single" w:sz="4" w:space="0" w:color="FFFFFF" w:themeColor="light1"/>
        </w:tcBorders>
        <w:shd w:val="clear" w:color="FFFFFF" w:fill="FFC000" w:themeFill="accent4"/>
      </w:tcPr>
    </w:tblStylePr>
    <w:tblStylePr w:type="firstCol">
      <w:pPr>
        <w:snapToGrid/>
      </w:pPr>
      <w:rPr>
        <w:rFonts w:ascii="Arial" w:hAnsi="Arial"/>
        <w:b/>
        <w:color w:val="FFFFFF"/>
        <w:sz w:val="22"/>
      </w:rPr>
      <w:tblPr/>
      <w:tcPr>
        <w:shd w:val="clear" w:color="FFFFFF" w:fill="FFC000" w:themeFill="accent4"/>
      </w:tcPr>
    </w:tblStylePr>
    <w:tblStylePr w:type="lastCol">
      <w:pPr>
        <w:snapToGrid/>
      </w:pPr>
      <w:rPr>
        <w:rFonts w:ascii="Arial" w:hAnsi="Arial"/>
        <w:b/>
        <w:color w:val="FFFFFF"/>
        <w:sz w:val="22"/>
      </w:rPr>
      <w:tblPr/>
      <w:tcPr>
        <w:shd w:val="clear" w:color="FFFFFF" w:fill="FFC000" w:themeFill="accent4"/>
      </w:tcPr>
    </w:tblStylePr>
    <w:tblStylePr w:type="band1Vert">
      <w:pPr>
        <w:snapToGrid/>
      </w:pPr>
      <w:tblPr/>
      <w:tcPr>
        <w:shd w:val="clear" w:color="FFFFFF" w:fill="FFE28A" w:themeFill="accent4" w:themeFillTint="75"/>
      </w:tcPr>
    </w:tblStylePr>
    <w:tblStylePr w:type="band2Vert">
      <w:pPr>
        <w:snapToGrid/>
      </w:pPr>
    </w:tblStylePr>
    <w:tblStylePr w:type="band1Horz">
      <w:pPr>
        <w:snapToGrid/>
      </w:pPr>
      <w:tblPr/>
      <w:tcPr>
        <w:shd w:val="clear" w:color="FFFFFF" w:fill="FFE28A" w:themeFill="accent4"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8E2F3" w:themeFill="accent5" w:themeFillTint="34"/>
    </w:tblPr>
    <w:tblStylePr w:type="firstRow">
      <w:pPr>
        <w:snapToGrid/>
      </w:pPr>
      <w:rPr>
        <w:rFonts w:ascii="Arial" w:hAnsi="Arial"/>
        <w:b/>
        <w:color w:val="FFFFFF"/>
        <w:sz w:val="22"/>
      </w:rPr>
      <w:tblPr/>
      <w:tcPr>
        <w:shd w:val="clear" w:color="FFFFFF" w:fill="4472C4" w:themeFill="accent5"/>
      </w:tcPr>
    </w:tblStylePr>
    <w:tblStylePr w:type="lastRow">
      <w:pPr>
        <w:snapToGrid/>
      </w:pPr>
      <w:rPr>
        <w:rFonts w:ascii="Arial" w:hAnsi="Arial"/>
        <w:b/>
        <w:color w:val="FFFFFF"/>
        <w:sz w:val="22"/>
      </w:rPr>
      <w:tblPr/>
      <w:tcPr>
        <w:tcBorders>
          <w:top w:val="single" w:sz="4" w:space="0" w:color="FFFFFF" w:themeColor="light1"/>
        </w:tcBorders>
        <w:shd w:val="clear" w:color="FFFFFF" w:fill="4472C4" w:themeFill="accent5"/>
      </w:tcPr>
    </w:tblStylePr>
    <w:tblStylePr w:type="firstCol">
      <w:pPr>
        <w:snapToGrid/>
      </w:pPr>
      <w:rPr>
        <w:rFonts w:ascii="Arial" w:hAnsi="Arial"/>
        <w:b/>
        <w:color w:val="FFFFFF"/>
        <w:sz w:val="22"/>
      </w:rPr>
      <w:tblPr/>
      <w:tcPr>
        <w:shd w:val="clear" w:color="FFFFFF" w:fill="4472C4" w:themeFill="accent5"/>
      </w:tcPr>
    </w:tblStylePr>
    <w:tblStylePr w:type="lastCol">
      <w:pPr>
        <w:snapToGrid/>
      </w:pPr>
      <w:rPr>
        <w:rFonts w:ascii="Arial" w:hAnsi="Arial"/>
        <w:b/>
        <w:color w:val="FFFFFF"/>
        <w:sz w:val="22"/>
      </w:rPr>
      <w:tblPr/>
      <w:tcPr>
        <w:shd w:val="clear" w:color="FFFFFF" w:fill="4472C4" w:themeFill="accent5"/>
      </w:tcPr>
    </w:tblStylePr>
    <w:tblStylePr w:type="band1Vert">
      <w:pPr>
        <w:snapToGrid/>
      </w:pPr>
      <w:tblPr/>
      <w:tcPr>
        <w:shd w:val="clear" w:color="FFFFFF" w:fill="A9BEE4" w:themeFill="accent5" w:themeFillTint="75"/>
      </w:tcPr>
    </w:tblStylePr>
    <w:tblStylePr w:type="band2Vert">
      <w:pPr>
        <w:snapToGrid/>
      </w:pPr>
    </w:tblStylePr>
    <w:tblStylePr w:type="band1Horz">
      <w:pPr>
        <w:snapToGrid/>
      </w:pPr>
      <w:tblPr/>
      <w:tcPr>
        <w:shd w:val="clear" w:color="FFFFFF" w:fill="A9BEE4" w:themeFill="accent5"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1EFD8" w:themeFill="accent6" w:themeFillTint="34"/>
    </w:tblPr>
    <w:tblStylePr w:type="firstRow">
      <w:pPr>
        <w:snapToGrid/>
      </w:pPr>
      <w:rPr>
        <w:rFonts w:ascii="Arial" w:hAnsi="Arial"/>
        <w:b/>
        <w:color w:val="FFFFFF"/>
        <w:sz w:val="22"/>
      </w:rPr>
      <w:tblPr/>
      <w:tcPr>
        <w:shd w:val="clear" w:color="FFFFFF" w:fill="70AD47" w:themeFill="accent6"/>
      </w:tcPr>
    </w:tblStylePr>
    <w:tblStylePr w:type="lastRow">
      <w:pPr>
        <w:snapToGrid/>
      </w:pPr>
      <w:rPr>
        <w:rFonts w:ascii="Arial" w:hAnsi="Arial"/>
        <w:b/>
        <w:color w:val="FFFFFF"/>
        <w:sz w:val="22"/>
      </w:rPr>
      <w:tblPr/>
      <w:tcPr>
        <w:tcBorders>
          <w:top w:val="single" w:sz="4" w:space="0" w:color="FFFFFF" w:themeColor="light1"/>
        </w:tcBorders>
        <w:shd w:val="clear" w:color="FFFFFF" w:fill="70AD47" w:themeFill="accent6"/>
      </w:tcPr>
    </w:tblStylePr>
    <w:tblStylePr w:type="firstCol">
      <w:pPr>
        <w:snapToGrid/>
      </w:pPr>
      <w:rPr>
        <w:rFonts w:ascii="Arial" w:hAnsi="Arial"/>
        <w:b/>
        <w:color w:val="FFFFFF"/>
        <w:sz w:val="22"/>
      </w:rPr>
      <w:tblPr/>
      <w:tcPr>
        <w:shd w:val="clear" w:color="FFFFFF" w:fill="70AD47" w:themeFill="accent6"/>
      </w:tcPr>
    </w:tblStylePr>
    <w:tblStylePr w:type="lastCol">
      <w:pPr>
        <w:snapToGrid/>
      </w:pPr>
      <w:rPr>
        <w:rFonts w:ascii="Arial" w:hAnsi="Arial"/>
        <w:b/>
        <w:color w:val="FFFFFF"/>
        <w:sz w:val="22"/>
      </w:rPr>
      <w:tblPr/>
      <w:tcPr>
        <w:shd w:val="clear" w:color="FFFFFF" w:fill="70AD47" w:themeFill="accent6"/>
      </w:tcPr>
    </w:tblStylePr>
    <w:tblStylePr w:type="band1Vert">
      <w:pPr>
        <w:snapToGrid/>
      </w:pPr>
      <w:tblPr/>
      <w:tcPr>
        <w:shd w:val="clear" w:color="FFFFFF" w:fill="BCDBA8" w:themeFill="accent6" w:themeFillTint="75"/>
      </w:tcPr>
    </w:tblStylePr>
    <w:tblStylePr w:type="band2Vert">
      <w:pPr>
        <w:snapToGrid/>
      </w:pPr>
    </w:tblStylePr>
    <w:tblStylePr w:type="band1Horz">
      <w:pPr>
        <w:snapToGrid/>
      </w:pPr>
      <w:tblPr/>
      <w:tcPr>
        <w:shd w:val="clear" w:color="FFFFFF" w:fill="BCDBA8" w:themeFill="accent6"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FFFFFF"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b/>
        <w:color w:val="ACCCEA" w:themeColor="accent1" w:themeShade="95" w:themeTint="80"/>
      </w:rPr>
      <w:tblPr/>
      <w:tcPr>
        <w:tcBorders>
          <w:bottom w:val="single" w:sz="12" w:space="0" w:color="ACCCEA" w:themeColor="accent1" w:themeTint="80"/>
        </w:tcBorders>
      </w:tcPr>
    </w:tblStylePr>
    <w:tblStylePr w:type="lastRow">
      <w:pPr>
        <w:snapToGrid/>
      </w:pPr>
      <w:rPr>
        <w:b/>
        <w:color w:val="ACCCEA" w:themeColor="accent1" w:themeShade="95" w:themeTint="80"/>
      </w:rPr>
    </w:tblStylePr>
    <w:tblStylePr w:type="firstCol">
      <w:pPr>
        <w:snapToGrid/>
      </w:pPr>
      <w:rPr>
        <w:b/>
        <w:color w:val="ACCCEA" w:themeColor="accent1" w:themeShade="95" w:themeTint="80"/>
      </w:rPr>
    </w:tblStylePr>
    <w:tblStylePr w:type="lastCol">
      <w:pPr>
        <w:snapToGrid/>
      </w:pPr>
      <w:rPr>
        <w:b/>
        <w:color w:val="ACCCEA" w:themeColor="accent1" w:themeShade="95" w:themeTint="80"/>
      </w:rPr>
    </w:tblStylePr>
    <w:tblStylePr w:type="band1Vert">
      <w:pPr>
        <w:snapToGrid/>
      </w:pPr>
      <w:tblPr/>
      <w:tcPr>
        <w:shd w:val="clear" w:color="FFFFFF" w:fill="DDEAF6" w:themeFill="accent1" w:themeFillTint="34"/>
      </w:tcPr>
    </w:tblStylePr>
    <w:tblStylePr w:type="band2Vert">
      <w:pPr>
        <w:snapToGrid/>
      </w:pPr>
    </w:tblStylePr>
    <w:tblStylePr w:type="band1Horz">
      <w:pPr>
        <w:snapToGrid/>
      </w:pPr>
      <w:rPr>
        <w:rFonts w:ascii="Arial" w:hAnsi="Arial"/>
        <w:color w:val="ACCCEA" w:themeColor="accent1" w:themeShade="95" w:themeTint="80"/>
        <w:sz w:val="22"/>
      </w:rPr>
      <w:tblPr/>
      <w:tcPr>
        <w:shd w:val="clear" w:color="FFFFFF" w:fill="DDEAF6" w:themeFill="accent1" w:themeFillTint="34"/>
      </w:tcPr>
    </w:tblStylePr>
    <w:tblStylePr w:type="band2Horz">
      <w:pPr>
        <w:snapToGrid/>
      </w:pPr>
      <w:rPr>
        <w:rFonts w:ascii="Arial" w:hAnsi="Arial"/>
        <w:color w:val="ACCCEA"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b/>
        <w:color w:val="F4B184" w:themeColor="accent2" w:themeShade="95" w:themeTint="97"/>
      </w:rPr>
      <w:tblPr/>
      <w:tcPr>
        <w:tcBorders>
          <w:bottom w:val="single" w:sz="12" w:space="0" w:color="F4B184" w:themeColor="accent2" w:themeTint="97"/>
        </w:tcBorders>
      </w:tcPr>
    </w:tblStylePr>
    <w:tblStylePr w:type="lastRow">
      <w:pPr>
        <w:snapToGrid/>
      </w:pPr>
      <w:rPr>
        <w:b/>
        <w:color w:val="F4B184" w:themeColor="accent2" w:themeShade="95" w:themeTint="97"/>
      </w:rPr>
    </w:tblStylePr>
    <w:tblStylePr w:type="firstCol">
      <w:pPr>
        <w:snapToGrid/>
      </w:pPr>
      <w:rPr>
        <w:b/>
        <w:color w:val="F4B184" w:themeColor="accent2" w:themeShade="95" w:themeTint="97"/>
      </w:rPr>
    </w:tblStylePr>
    <w:tblStylePr w:type="lastCol">
      <w:pPr>
        <w:snapToGrid/>
      </w:pPr>
      <w:rPr>
        <w:b/>
        <w:color w:val="F4B184" w:themeColor="accent2" w:themeShade="95" w:themeTint="97"/>
      </w:rPr>
    </w:tblStylePr>
    <w:tblStylePr w:type="band1Vert">
      <w:pPr>
        <w:snapToGrid/>
      </w:pPr>
      <w:tblPr/>
      <w:tcPr>
        <w:shd w:val="clear" w:color="FFFFFF" w:fill="FBE5D6" w:themeFill="accent2" w:themeFillTint="32"/>
      </w:tcPr>
    </w:tblStylePr>
    <w:tblStylePr w:type="band2Vert">
      <w:pPr>
        <w:snapToGrid/>
      </w:pPr>
    </w:tblStylePr>
    <w:tblStylePr w:type="band1Horz">
      <w:pPr>
        <w:snapToGrid/>
      </w:pPr>
      <w:rPr>
        <w:rFonts w:ascii="Arial" w:hAnsi="Arial"/>
        <w:color w:val="F4B184" w:themeColor="accent2" w:themeShade="95" w:themeTint="97"/>
        <w:sz w:val="22"/>
      </w:rPr>
      <w:tblPr/>
      <w:tcPr>
        <w:shd w:val="clear" w:color="FFFFFF" w:fill="FBE5D6" w:themeFill="accent2" w:themeFillTint="32"/>
      </w:tcPr>
    </w:tblStylePr>
    <w:tblStylePr w:type="band2Horz">
      <w:pPr>
        <w:snapToGrid/>
      </w:pPr>
      <w:rPr>
        <w:rFonts w:ascii="Arial" w:hAnsi="Arial"/>
        <w:color w:val="F4B184"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b/>
        <w:color w:val="A5A5A5" w:themeColor="accent3" w:themeShade="95" w:themeTint="FE"/>
      </w:rPr>
      <w:tblPr/>
      <w:tcPr>
        <w:tcBorders>
          <w:bottom w:val="single" w:sz="12" w:space="0" w:color="A5A5A5" w:themeColor="accent3" w:themeTint="FE"/>
        </w:tcBorders>
      </w:tcPr>
    </w:tblStylePr>
    <w:tblStylePr w:type="lastRow">
      <w:pPr>
        <w:snapToGrid/>
      </w:pPr>
      <w:rPr>
        <w:b/>
        <w:color w:val="A5A5A5" w:themeColor="accent3" w:themeShade="95" w:themeTint="FE"/>
      </w:rPr>
    </w:tblStylePr>
    <w:tblStylePr w:type="firstCol">
      <w:pPr>
        <w:snapToGrid/>
      </w:pPr>
      <w:rPr>
        <w:b/>
        <w:color w:val="A5A5A5" w:themeColor="accent3" w:themeShade="95" w:themeTint="FE"/>
      </w:rPr>
    </w:tblStylePr>
    <w:tblStylePr w:type="lastCol">
      <w:pPr>
        <w:snapToGrid/>
      </w:pPr>
      <w:rPr>
        <w:b/>
        <w:color w:val="A5A5A5" w:themeColor="accent3" w:themeShade="95" w:themeTint="FE"/>
      </w:rPr>
    </w:tblStylePr>
    <w:tblStylePr w:type="band1Vert">
      <w:pPr>
        <w:snapToGrid/>
      </w:pPr>
      <w:tblPr/>
      <w:tcPr>
        <w:shd w:val="clear" w:color="FFFFFF" w:fill="ECECEC" w:themeFill="accent3" w:themeFillTint="34"/>
      </w:tcPr>
    </w:tblStylePr>
    <w:tblStylePr w:type="band2Vert">
      <w:pPr>
        <w:snapToGrid/>
      </w:pPr>
    </w:tblStylePr>
    <w:tblStylePr w:type="band1Horz">
      <w:pPr>
        <w:snapToGrid/>
      </w:pPr>
      <w:rPr>
        <w:rFonts w:ascii="Arial" w:hAnsi="Arial"/>
        <w:color w:val="A5A5A5" w:themeColor="accent3" w:themeShade="95" w:themeTint="FE"/>
        <w:sz w:val="22"/>
      </w:rPr>
      <w:tblPr/>
      <w:tcPr>
        <w:shd w:val="clear" w:color="FFFFFF" w:fill="ECECEC" w:themeFill="accent3" w:themeFillTint="34"/>
      </w:tcPr>
    </w:tblStylePr>
    <w:tblStylePr w:type="band2Horz">
      <w:pPr>
        <w:snapToGrid/>
      </w:pPr>
      <w:rPr>
        <w:rFonts w:ascii="Arial" w:hAnsi="Arial"/>
        <w:color w:val="A5A5A5"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b/>
        <w:color w:val="FFD865" w:themeColor="accent4" w:themeShade="95" w:themeTint="9A"/>
      </w:rPr>
      <w:tblPr/>
      <w:tcPr>
        <w:tcBorders>
          <w:bottom w:val="single" w:sz="12" w:space="0" w:color="FFD865" w:themeColor="accent4" w:themeTint="9A"/>
        </w:tcBorders>
      </w:tcPr>
    </w:tblStylePr>
    <w:tblStylePr w:type="lastRow">
      <w:pPr>
        <w:snapToGrid/>
      </w:pPr>
      <w:rPr>
        <w:b/>
        <w:color w:val="FFD865" w:themeColor="accent4" w:themeShade="95" w:themeTint="9A"/>
      </w:rPr>
    </w:tblStylePr>
    <w:tblStylePr w:type="firstCol">
      <w:pPr>
        <w:snapToGrid/>
      </w:pPr>
      <w:rPr>
        <w:b/>
        <w:color w:val="FFD865" w:themeColor="accent4" w:themeShade="95" w:themeTint="9A"/>
      </w:rPr>
    </w:tblStylePr>
    <w:tblStylePr w:type="lastCol">
      <w:pPr>
        <w:snapToGrid/>
      </w:pPr>
      <w:rPr>
        <w:b/>
        <w:color w:val="FFD865" w:themeColor="accent4" w:themeShade="95" w:themeTint="9A"/>
      </w:rPr>
    </w:tblStylePr>
    <w:tblStylePr w:type="band1Vert">
      <w:pPr>
        <w:snapToGrid/>
      </w:pPr>
      <w:tblPr/>
      <w:tcPr>
        <w:shd w:val="clear" w:color="FFFFFF" w:fill="FFF2CB" w:themeFill="accent4" w:themeFillTint="34"/>
      </w:tcPr>
    </w:tblStylePr>
    <w:tblStylePr w:type="band2Vert">
      <w:pPr>
        <w:snapToGrid/>
      </w:pPr>
    </w:tblStylePr>
    <w:tblStylePr w:type="band1Horz">
      <w:pPr>
        <w:snapToGrid/>
      </w:pPr>
      <w:rPr>
        <w:rFonts w:ascii="Arial" w:hAnsi="Arial"/>
        <w:color w:val="FFD865" w:themeColor="accent4" w:themeShade="95" w:themeTint="9A"/>
        <w:sz w:val="22"/>
      </w:rPr>
      <w:tblPr/>
      <w:tcPr>
        <w:shd w:val="clear" w:color="FFFFFF" w:fill="FFF2CB" w:themeFill="accent4" w:themeFillTint="34"/>
      </w:tcPr>
    </w:tblStylePr>
    <w:tblStylePr w:type="band2Horz">
      <w:pPr>
        <w:snapToGrid/>
      </w:pPr>
      <w:rPr>
        <w:rFonts w:ascii="Arial" w:hAnsi="Arial"/>
        <w:color w:val="FFD865"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pPr>
        <w:snapToGrid/>
      </w:pPr>
      <w:rPr>
        <w:b/>
        <w:color w:val="254175" w:themeColor="accent5" w:themeShade="95"/>
      </w:rPr>
      <w:tblPr/>
      <w:tcPr>
        <w:tcBorders>
          <w:bottom w:val="single" w:sz="12" w:space="0" w:color="4472C4" w:themeColor="accent5"/>
        </w:tcBorders>
      </w:tcPr>
    </w:tblStylePr>
    <w:tblStylePr w:type="lastRow">
      <w:pPr>
        <w:snapToGrid/>
      </w:pPr>
      <w:rPr>
        <w:b/>
        <w:color w:val="254175" w:themeColor="accent5" w:themeShade="95"/>
      </w:rPr>
    </w:tblStylePr>
    <w:tblStylePr w:type="firstCol">
      <w:pPr>
        <w:snapToGrid/>
      </w:pPr>
      <w:rPr>
        <w:b/>
        <w:color w:val="254175" w:themeColor="accent5" w:themeShade="95"/>
      </w:rPr>
    </w:tblStylePr>
    <w:tblStylePr w:type="lastCol">
      <w:pPr>
        <w:snapToGrid/>
      </w:pPr>
      <w:rPr>
        <w:b/>
        <w:color w:val="254175" w:themeColor="accent5" w:themeShade="95"/>
      </w:rPr>
    </w:tblStylePr>
    <w:tblStylePr w:type="band1Vert">
      <w:pPr>
        <w:snapToGrid/>
      </w:pPr>
      <w:tblPr/>
      <w:tcPr>
        <w:shd w:val="clear" w:color="FFFFFF" w:fill="D8E2F3" w:themeFill="accent5" w:themeFillTint="34"/>
      </w:tcPr>
    </w:tblStylePr>
    <w:tblStylePr w:type="band2Vert">
      <w:pPr>
        <w:snapToGrid/>
      </w:pPr>
    </w:tblStylePr>
    <w:tblStylePr w:type="band1Horz">
      <w:pPr>
        <w:snapToGrid/>
      </w:pPr>
      <w:rPr>
        <w:rFonts w:ascii="Arial" w:hAnsi="Arial"/>
        <w:color w:val="254175" w:themeColor="accent5" w:themeShade="95"/>
        <w:sz w:val="22"/>
      </w:rPr>
      <w:tblPr/>
      <w:tcPr>
        <w:shd w:val="clear" w:color="FFFFFF" w:fill="D8E2F3" w:themeFill="accent5" w:themeFillTint="34"/>
      </w:tcPr>
    </w:tblStylePr>
    <w:tblStylePr w:type="band2Horz">
      <w:pPr>
        <w:snapToGrid/>
      </w:pPr>
      <w:rPr>
        <w:rFonts w:ascii="Arial" w:hAnsi="Arial"/>
        <w:color w:val="25417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pPr>
        <w:snapToGrid/>
      </w:pPr>
      <w:rPr>
        <w:b/>
        <w:color w:val="254175" w:themeColor="accent5" w:themeShade="95"/>
      </w:rPr>
      <w:tblPr/>
      <w:tcPr>
        <w:tcBorders>
          <w:bottom w:val="single" w:sz="12" w:space="0" w:color="70AD47" w:themeColor="accent6"/>
        </w:tcBorders>
      </w:tcPr>
    </w:tblStylePr>
    <w:tblStylePr w:type="lastRow">
      <w:pPr>
        <w:snapToGrid/>
      </w:pPr>
      <w:rPr>
        <w:b/>
        <w:color w:val="254175" w:themeColor="accent5" w:themeShade="95"/>
      </w:rPr>
    </w:tblStylePr>
    <w:tblStylePr w:type="firstCol">
      <w:pPr>
        <w:snapToGrid/>
      </w:pPr>
      <w:rPr>
        <w:b/>
        <w:color w:val="254175" w:themeColor="accent5" w:themeShade="95"/>
      </w:rPr>
    </w:tblStylePr>
    <w:tblStylePr w:type="lastCol">
      <w:pPr>
        <w:snapToGrid/>
      </w:pPr>
      <w:rPr>
        <w:b/>
        <w:color w:val="254175" w:themeColor="accent5" w:themeShade="95"/>
      </w:rPr>
    </w:tblStylePr>
    <w:tblStylePr w:type="band1Vert">
      <w:pPr>
        <w:snapToGrid/>
      </w:pPr>
      <w:tblPr/>
      <w:tcPr>
        <w:shd w:val="clear" w:color="FFFFFF" w:fill="E1EFD8" w:themeFill="accent6" w:themeFillTint="34"/>
      </w:tcPr>
    </w:tblStylePr>
    <w:tblStylePr w:type="band2Vert">
      <w:pPr>
        <w:snapToGrid/>
      </w:pPr>
    </w:tblStylePr>
    <w:tblStylePr w:type="band1Horz">
      <w:pPr>
        <w:snapToGrid/>
      </w:pPr>
      <w:rPr>
        <w:rFonts w:ascii="Arial" w:hAnsi="Arial"/>
        <w:color w:val="254175" w:themeColor="accent5" w:themeShade="95"/>
        <w:sz w:val="22"/>
      </w:rPr>
      <w:tblPr/>
      <w:tcPr>
        <w:shd w:val="clear" w:color="FFFFFF" w:fill="E1EFD8" w:themeFill="accent6" w:themeFillTint="34"/>
      </w:tcPr>
    </w:tblStylePr>
    <w:tblStylePr w:type="band2Horz">
      <w:pPr>
        <w:snapToGrid/>
      </w:pPr>
      <w:rPr>
        <w:rFonts w:ascii="Arial" w:hAnsi="Arial"/>
        <w:color w:val="25417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FFFFF"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1">
    <w:name w:val="Grid Table 7 Colorful - Accent 1"/>
    <w:basedOn w:val="TableNormal"/>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pPr>
        <w:snapToGrid/>
      </w:pPr>
      <w:rPr>
        <w:rFonts w:ascii="Arial" w:hAnsi="Arial"/>
        <w:b/>
        <w:color w:val="ACCCEA" w:themeColor="accent1" w:themeShade="95" w:themeTint="80"/>
        <w:sz w:val="22"/>
      </w:rPr>
      <w:tblPr/>
      <w:tcPr>
        <w:tcBorders>
          <w:top w:val="nil"/>
          <w:left w:val="nil"/>
          <w:bottom w:val="single" w:sz="4" w:space="0" w:color="ACCCEA" w:themeColor="accent1" w:themeTint="80"/>
          <w:right w:val="nil"/>
        </w:tcBorders>
        <w:shd w:val="clear" w:color="FFFFFF" w:fill="FFFFFF" w:themeFill="light1"/>
      </w:tcPr>
    </w:tblStylePr>
    <w:tblStylePr w:type="lastRow">
      <w:pPr>
        <w:snapToGrid/>
      </w:pPr>
      <w:rPr>
        <w:rFonts w:ascii="Arial" w:hAnsi="Arial"/>
        <w:b/>
        <w:color w:val="ACCCEA" w:themeColor="accent1" w:themeShade="95" w:themeTint="80"/>
        <w:sz w:val="22"/>
      </w:rPr>
      <w:tblPr/>
      <w:tcPr>
        <w:tcBorders>
          <w:top w:val="single" w:sz="4" w:space="0" w:color="ACCCEA" w:themeColor="accent1" w:themeTint="80"/>
          <w:left w:val="nil"/>
          <w:bottom w:val="nil"/>
          <w:right w:val="nil"/>
        </w:tcBorders>
        <w:shd w:val="clear" w:color="FFFFFF" w:fill="FFFFFF" w:themeFill="light1"/>
      </w:tcPr>
    </w:tblStylePr>
    <w:tblStylePr w:type="firstCol">
      <w:pPr>
        <w:snapToGrid/>
        <w:jc w:val="right"/>
      </w:pPr>
      <w:rPr>
        <w:rFonts w:ascii="Arial" w:hAnsi="Arial"/>
        <w:i/>
        <w:color w:val="ACCCEA" w:themeColor="accent1" w:themeShade="95" w:themeTint="80"/>
        <w:sz w:val="22"/>
      </w:rPr>
      <w:tblPr/>
      <w:tcPr>
        <w:tcBorders>
          <w:top w:val="nil"/>
          <w:left w:val="nil"/>
          <w:bottom w:val="nil"/>
          <w:right w:val="single" w:sz="4" w:space="0" w:color="ACCCEA" w:themeColor="accent1" w:themeTint="80"/>
        </w:tcBorders>
        <w:shd w:val="clear" w:color="FFFFFF" w:fill="FFFFFF"/>
      </w:tcPr>
    </w:tblStylePr>
    <w:tblStylePr w:type="lastCol">
      <w:pPr>
        <w:snapToGrid/>
      </w:pPr>
      <w:rPr>
        <w:rFonts w:ascii="Arial" w:hAnsi="Arial"/>
        <w:i/>
        <w:color w:val="ACCCEA" w:themeColor="accent1" w:themeShade="95" w:themeTint="80"/>
        <w:sz w:val="22"/>
      </w:rPr>
      <w:tblPr/>
      <w:tcPr>
        <w:tcBorders>
          <w:top w:val="nil"/>
          <w:left w:val="single" w:sz="4" w:space="0" w:color="ACCCEA" w:themeColor="accent1" w:themeTint="80"/>
          <w:bottom w:val="nil"/>
          <w:right w:val="nil"/>
        </w:tcBorders>
        <w:shd w:val="clear" w:color="FFFFFF" w:fill="FFFFFF"/>
      </w:tcPr>
    </w:tblStylePr>
    <w:tblStylePr w:type="band1Vert">
      <w:pPr>
        <w:snapToGrid/>
      </w:pPr>
      <w:tblPr/>
      <w:tcPr>
        <w:shd w:val="clear" w:color="FFFFFF" w:fill="DDEAF6" w:themeFill="accent1" w:themeFillTint="34"/>
      </w:tcPr>
    </w:tblStylePr>
    <w:tblStylePr w:type="band2Vert">
      <w:pPr>
        <w:snapToGrid/>
      </w:pPr>
    </w:tblStylePr>
    <w:tblStylePr w:type="band1Horz">
      <w:pPr>
        <w:snapToGrid/>
      </w:pPr>
      <w:rPr>
        <w:rFonts w:ascii="Arial" w:hAnsi="Arial"/>
        <w:color w:val="ACCCEA" w:themeColor="accent1" w:themeShade="95" w:themeTint="80"/>
        <w:sz w:val="22"/>
      </w:rPr>
      <w:tblPr/>
      <w:tcPr>
        <w:shd w:val="clear" w:color="FFFFFF" w:fill="DDEAF6" w:themeFill="accent1" w:themeFillTint="34"/>
      </w:tcPr>
    </w:tblStylePr>
    <w:tblStylePr w:type="band2Horz">
      <w:pPr>
        <w:snapToGrid/>
      </w:pPr>
      <w:rPr>
        <w:rFonts w:ascii="Arial" w:hAnsi="Arial"/>
        <w:color w:val="ACCCEA" w:themeColor="accen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2">
    <w:name w:val="Grid Table 7 Colorful -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pPr>
        <w:snapToGrid/>
      </w:pPr>
      <w:rPr>
        <w:rFonts w:ascii="Arial" w:hAnsi="Arial"/>
        <w:b/>
        <w:color w:val="F4B184" w:themeColor="accent2" w:themeShade="95" w:themeTint="97"/>
        <w:sz w:val="22"/>
      </w:rPr>
      <w:tblPr/>
      <w:tcPr>
        <w:tcBorders>
          <w:top w:val="nil"/>
          <w:left w:val="nil"/>
          <w:bottom w:val="single" w:sz="4" w:space="0" w:color="F4B184" w:themeColor="accent2" w:themeTint="97"/>
          <w:right w:val="nil"/>
        </w:tcBorders>
        <w:shd w:val="clear" w:color="FFFFFF" w:fill="FFFFFF" w:themeFill="light1"/>
      </w:tcPr>
    </w:tblStylePr>
    <w:tblStylePr w:type="lastRow">
      <w:pPr>
        <w:snapToGrid/>
      </w:pPr>
      <w:rPr>
        <w:rFonts w:ascii="Arial" w:hAnsi="Arial"/>
        <w:b/>
        <w:color w:val="F4B184" w:themeColor="accent2" w:themeShade="95" w:themeTint="97"/>
        <w:sz w:val="22"/>
      </w:rPr>
      <w:tblPr/>
      <w:tcPr>
        <w:tcBorders>
          <w:top w:val="single" w:sz="4" w:space="0" w:color="F4B184" w:themeColor="accent2" w:themeTint="97"/>
          <w:left w:val="nil"/>
          <w:bottom w:val="nil"/>
          <w:right w:val="nil"/>
        </w:tcBorders>
        <w:shd w:val="clear" w:color="FFFFFF" w:fill="FFFFFF" w:themeFill="light1"/>
      </w:tcPr>
    </w:tblStylePr>
    <w:tblStylePr w:type="firstCol">
      <w:pPr>
        <w:snapToGrid/>
        <w:jc w:val="right"/>
      </w:pPr>
      <w:rPr>
        <w:rFonts w:ascii="Arial" w:hAnsi="Arial"/>
        <w:i/>
        <w:color w:val="F4B184" w:themeColor="accent2" w:themeShade="95" w:themeTint="97"/>
        <w:sz w:val="22"/>
      </w:rPr>
      <w:tblPr/>
      <w:tcPr>
        <w:tcBorders>
          <w:top w:val="nil"/>
          <w:left w:val="nil"/>
          <w:bottom w:val="nil"/>
          <w:right w:val="single" w:sz="4" w:space="0" w:color="F4B184" w:themeColor="accent2" w:themeTint="97"/>
        </w:tcBorders>
        <w:shd w:val="clear" w:color="FFFFFF" w:fill="FFFFFF"/>
      </w:tcPr>
    </w:tblStylePr>
    <w:tblStylePr w:type="lastCol">
      <w:pPr>
        <w:snapToGrid/>
      </w:pPr>
      <w:rPr>
        <w:rFonts w:ascii="Arial" w:hAnsi="Arial"/>
        <w:i/>
        <w:color w:val="F4B184" w:themeColor="accent2" w:themeShade="95" w:themeTint="97"/>
        <w:sz w:val="22"/>
      </w:rPr>
      <w:tblPr/>
      <w:tcPr>
        <w:tcBorders>
          <w:top w:val="nil"/>
          <w:left w:val="single" w:sz="4" w:space="0" w:color="F4B184" w:themeColor="accent2" w:themeTint="97"/>
          <w:bottom w:val="nil"/>
          <w:right w:val="nil"/>
        </w:tcBorders>
        <w:shd w:val="clear" w:color="FFFFFF" w:fill="FFFFFF"/>
      </w:tcPr>
    </w:tblStylePr>
    <w:tblStylePr w:type="band1Vert">
      <w:pPr>
        <w:snapToGrid/>
      </w:pPr>
      <w:tblPr/>
      <w:tcPr>
        <w:shd w:val="clear" w:color="FFFFFF" w:fill="FBE5D6" w:themeFill="accent2" w:themeFillTint="32"/>
      </w:tcPr>
    </w:tblStylePr>
    <w:tblStylePr w:type="band2Vert">
      <w:pPr>
        <w:snapToGrid/>
      </w:pPr>
    </w:tblStylePr>
    <w:tblStylePr w:type="band1Horz">
      <w:pPr>
        <w:snapToGrid/>
      </w:pPr>
      <w:rPr>
        <w:rFonts w:ascii="Arial" w:hAnsi="Arial"/>
        <w:color w:val="F4B184" w:themeColor="accent2" w:themeShade="95" w:themeTint="97"/>
        <w:sz w:val="22"/>
      </w:rPr>
      <w:tblPr/>
      <w:tcPr>
        <w:shd w:val="clear" w:color="FFFFFF" w:fill="FBE5D6" w:themeFill="accent2" w:themeFillTint="32"/>
      </w:tcPr>
    </w:tblStylePr>
    <w:tblStylePr w:type="band2Horz">
      <w:pPr>
        <w:snapToGrid/>
      </w:pPr>
      <w:rPr>
        <w:rFonts w:ascii="Arial" w:hAnsi="Arial"/>
        <w:color w:val="F4B184"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3">
    <w:name w:val="Grid Table 7 Colorful -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pPr>
        <w:snapToGrid/>
      </w:pPr>
      <w:rPr>
        <w:rFonts w:ascii="Arial" w:hAnsi="Arial"/>
        <w:b/>
        <w:color w:val="A5A5A5" w:themeColor="accent3" w:themeShade="95" w:themeTint="FE"/>
        <w:sz w:val="22"/>
      </w:rPr>
      <w:tblPr/>
      <w:tcPr>
        <w:tcBorders>
          <w:top w:val="nil"/>
          <w:left w:val="nil"/>
          <w:bottom w:val="single" w:sz="4" w:space="0" w:color="A5A5A5" w:themeColor="accent3" w:themeTint="FE"/>
          <w:right w:val="nil"/>
        </w:tcBorders>
        <w:shd w:val="clear" w:color="FFFFFF" w:fill="FFFFFF" w:themeFill="light1"/>
      </w:tcPr>
    </w:tblStylePr>
    <w:tblStylePr w:type="lastRow">
      <w:pPr>
        <w:snapToGrid/>
      </w:pPr>
      <w:rPr>
        <w:rFonts w:ascii="Arial" w:hAnsi="Arial"/>
        <w:b/>
        <w:color w:val="A5A5A5" w:themeColor="accent3" w:themeShade="95" w:themeTint="FE"/>
        <w:sz w:val="22"/>
      </w:rPr>
      <w:tblPr/>
      <w:tcPr>
        <w:tcBorders>
          <w:top w:val="single" w:sz="4" w:space="0" w:color="A5A5A5" w:themeColor="accent3" w:themeTint="FE"/>
          <w:left w:val="nil"/>
          <w:bottom w:val="nil"/>
          <w:right w:val="nil"/>
        </w:tcBorders>
        <w:shd w:val="clear" w:color="FFFFFF" w:fill="FFFFFF" w:themeFill="light1"/>
      </w:tcPr>
    </w:tblStylePr>
    <w:tblStylePr w:type="firstCol">
      <w:pPr>
        <w:snapToGrid/>
        <w:jc w:val="right"/>
      </w:pPr>
      <w:rPr>
        <w:rFonts w:ascii="Arial" w:hAnsi="Arial"/>
        <w:i/>
        <w:color w:val="A5A5A5" w:themeColor="accent3" w:themeShade="95" w:themeTint="FE"/>
        <w:sz w:val="22"/>
      </w:rPr>
      <w:tblPr/>
      <w:tcPr>
        <w:tcBorders>
          <w:top w:val="nil"/>
          <w:left w:val="nil"/>
          <w:bottom w:val="nil"/>
          <w:right w:val="single" w:sz="4" w:space="0" w:color="A5A5A5" w:themeColor="accent3" w:themeTint="FE"/>
        </w:tcBorders>
        <w:shd w:val="clear" w:color="FFFFFF" w:fill="FFFFFF"/>
      </w:tcPr>
    </w:tblStylePr>
    <w:tblStylePr w:type="lastCol">
      <w:pPr>
        <w:snapToGrid/>
      </w:pPr>
      <w:rPr>
        <w:rFonts w:ascii="Arial" w:hAnsi="Arial"/>
        <w:i/>
        <w:color w:val="A5A5A5" w:themeColor="accent3" w:themeShade="95" w:themeTint="FE"/>
        <w:sz w:val="22"/>
      </w:rPr>
      <w:tblPr/>
      <w:tcPr>
        <w:tcBorders>
          <w:top w:val="nil"/>
          <w:left w:val="single" w:sz="4" w:space="0" w:color="A5A5A5" w:themeColor="accent3" w:themeTint="FE"/>
          <w:bottom w:val="nil"/>
          <w:right w:val="nil"/>
        </w:tcBorders>
        <w:shd w:val="clear" w:color="FFFFFF" w:fill="FFFFFF"/>
      </w:tcPr>
    </w:tblStylePr>
    <w:tblStylePr w:type="band1Vert">
      <w:pPr>
        <w:snapToGrid/>
      </w:pPr>
      <w:tblPr/>
      <w:tcPr>
        <w:shd w:val="clear" w:color="FFFFFF" w:fill="ECECEC" w:themeFill="accent3" w:themeFillTint="34"/>
      </w:tcPr>
    </w:tblStylePr>
    <w:tblStylePr w:type="band2Vert">
      <w:pPr>
        <w:snapToGrid/>
      </w:pPr>
    </w:tblStylePr>
    <w:tblStylePr w:type="band1Horz">
      <w:pPr>
        <w:snapToGrid/>
      </w:pPr>
      <w:rPr>
        <w:rFonts w:ascii="Arial" w:hAnsi="Arial"/>
        <w:color w:val="A5A5A5" w:themeColor="accent3" w:themeShade="95" w:themeTint="FE"/>
        <w:sz w:val="22"/>
      </w:rPr>
      <w:tblPr/>
      <w:tcPr>
        <w:shd w:val="clear" w:color="FFFFFF" w:fill="ECECEC" w:themeFill="accent3" w:themeFillTint="34"/>
      </w:tcPr>
    </w:tblStylePr>
    <w:tblStylePr w:type="band2Horz">
      <w:pPr>
        <w:snapToGrid/>
      </w:pPr>
      <w:rPr>
        <w:rFonts w:ascii="Arial" w:hAnsi="Arial"/>
        <w:color w:val="A5A5A5" w:themeColor="accent3" w:themeShade="95" w:themeTint="FE"/>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4">
    <w:name w:val="Grid Table 7 Colorful -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pPr>
        <w:snapToGrid/>
      </w:pPr>
      <w:rPr>
        <w:rFonts w:ascii="Arial" w:hAnsi="Arial"/>
        <w:b/>
        <w:color w:val="FFD865" w:themeColor="accent4" w:themeShade="95" w:themeTint="9A"/>
        <w:sz w:val="22"/>
      </w:rPr>
      <w:tblPr/>
      <w:tcPr>
        <w:tcBorders>
          <w:top w:val="nil"/>
          <w:left w:val="nil"/>
          <w:bottom w:val="single" w:sz="4" w:space="0" w:color="FFD865" w:themeColor="accent4" w:themeTint="9A"/>
          <w:right w:val="nil"/>
        </w:tcBorders>
        <w:shd w:val="clear" w:color="FFFFFF" w:fill="FFFFFF" w:themeFill="light1"/>
      </w:tcPr>
    </w:tblStylePr>
    <w:tblStylePr w:type="lastRow">
      <w:pPr>
        <w:snapToGrid/>
      </w:pPr>
      <w:rPr>
        <w:rFonts w:ascii="Arial" w:hAnsi="Arial"/>
        <w:b/>
        <w:color w:val="FFD865" w:themeColor="accent4" w:themeShade="95" w:themeTint="9A"/>
        <w:sz w:val="22"/>
      </w:rPr>
      <w:tblPr/>
      <w:tcPr>
        <w:tcBorders>
          <w:top w:val="single" w:sz="4" w:space="0" w:color="FFD865" w:themeColor="accent4" w:themeTint="9A"/>
          <w:left w:val="nil"/>
          <w:bottom w:val="nil"/>
          <w:right w:val="nil"/>
        </w:tcBorders>
        <w:shd w:val="clear" w:color="FFFFFF" w:fill="FFFFFF" w:themeFill="light1"/>
      </w:tcPr>
    </w:tblStylePr>
    <w:tblStylePr w:type="firstCol">
      <w:pPr>
        <w:snapToGrid/>
        <w:jc w:val="right"/>
      </w:pPr>
      <w:rPr>
        <w:rFonts w:ascii="Arial" w:hAnsi="Arial"/>
        <w:i/>
        <w:color w:val="FFD865" w:themeColor="accent4" w:themeShade="95" w:themeTint="9A"/>
        <w:sz w:val="22"/>
      </w:rPr>
      <w:tblPr/>
      <w:tcPr>
        <w:tcBorders>
          <w:top w:val="nil"/>
          <w:left w:val="nil"/>
          <w:bottom w:val="nil"/>
          <w:right w:val="single" w:sz="4" w:space="0" w:color="FFD865" w:themeColor="accent4" w:themeTint="9A"/>
        </w:tcBorders>
        <w:shd w:val="clear" w:color="FFFFFF" w:fill="FFFFFF"/>
      </w:tcPr>
    </w:tblStylePr>
    <w:tblStylePr w:type="lastCol">
      <w:pPr>
        <w:snapToGrid/>
      </w:pPr>
      <w:rPr>
        <w:rFonts w:ascii="Arial" w:hAnsi="Arial"/>
        <w:i/>
        <w:color w:val="FFD865" w:themeColor="accent4" w:themeShade="95" w:themeTint="9A"/>
        <w:sz w:val="22"/>
      </w:rPr>
      <w:tblPr/>
      <w:tcPr>
        <w:tcBorders>
          <w:top w:val="nil"/>
          <w:left w:val="single" w:sz="4" w:space="0" w:color="FFD865" w:themeColor="accent4" w:themeTint="9A"/>
          <w:bottom w:val="nil"/>
          <w:right w:val="nil"/>
        </w:tcBorders>
        <w:shd w:val="clear" w:color="FFFFFF" w:fill="FFFFFF"/>
      </w:tcPr>
    </w:tblStylePr>
    <w:tblStylePr w:type="band1Vert">
      <w:pPr>
        <w:snapToGrid/>
      </w:pPr>
      <w:tblPr/>
      <w:tcPr>
        <w:shd w:val="clear" w:color="FFFFFF" w:fill="FFF2CB" w:themeFill="accent4" w:themeFillTint="34"/>
      </w:tcPr>
    </w:tblStylePr>
    <w:tblStylePr w:type="band2Vert">
      <w:pPr>
        <w:snapToGrid/>
      </w:pPr>
    </w:tblStylePr>
    <w:tblStylePr w:type="band1Horz">
      <w:pPr>
        <w:snapToGrid/>
      </w:pPr>
      <w:rPr>
        <w:rFonts w:ascii="Arial" w:hAnsi="Arial"/>
        <w:color w:val="FFD865" w:themeColor="accent4" w:themeShade="95" w:themeTint="9A"/>
        <w:sz w:val="22"/>
      </w:rPr>
      <w:tblPr/>
      <w:tcPr>
        <w:shd w:val="clear" w:color="FFFFFF" w:fill="FFF2CB" w:themeFill="accent4" w:themeFillTint="34"/>
      </w:tcPr>
    </w:tblStylePr>
    <w:tblStylePr w:type="band2Horz">
      <w:pPr>
        <w:snapToGrid/>
      </w:pPr>
      <w:rPr>
        <w:rFonts w:ascii="Arial" w:hAnsi="Arial"/>
        <w:color w:val="FFD865"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5">
    <w:name w:val="Grid Table 7 Colorful - Accent 5"/>
    <w:basedOn w:val="TableNormal"/>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pPr>
        <w:snapToGrid/>
      </w:pPr>
      <w:rPr>
        <w:rFonts w:ascii="Arial" w:hAnsi="Arial"/>
        <w:b/>
        <w:color w:val="254175" w:themeColor="accent5" w:themeShade="95"/>
        <w:sz w:val="22"/>
      </w:rPr>
      <w:tblPr/>
      <w:tcPr>
        <w:tcBorders>
          <w:top w:val="nil"/>
          <w:left w:val="nil"/>
          <w:bottom w:val="single" w:sz="4" w:space="0" w:color="95AFDD" w:themeColor="accent5" w:themeTint="90"/>
          <w:right w:val="nil"/>
        </w:tcBorders>
        <w:shd w:val="clear" w:color="FFFFFF" w:fill="FFFFFF" w:themeFill="light1"/>
      </w:tcPr>
    </w:tblStylePr>
    <w:tblStylePr w:type="lastRow">
      <w:pPr>
        <w:snapToGrid/>
      </w:pPr>
      <w:rPr>
        <w:rFonts w:ascii="Arial" w:hAnsi="Arial"/>
        <w:b/>
        <w:color w:val="254175" w:themeColor="accent5" w:themeShade="95"/>
        <w:sz w:val="22"/>
      </w:rPr>
      <w:tblPr/>
      <w:tcPr>
        <w:tcBorders>
          <w:top w:val="single" w:sz="4" w:space="0" w:color="95AFDD" w:themeColor="accent5" w:themeTint="90"/>
          <w:left w:val="nil"/>
          <w:bottom w:val="nil"/>
          <w:right w:val="nil"/>
        </w:tcBorders>
        <w:shd w:val="clear" w:color="FFFFFF" w:fill="FFFFFF" w:themeFill="light1"/>
      </w:tcPr>
    </w:tblStylePr>
    <w:tblStylePr w:type="firstCol">
      <w:pPr>
        <w:snapToGrid/>
        <w:jc w:val="right"/>
      </w:pPr>
      <w:rPr>
        <w:rFonts w:ascii="Arial" w:hAnsi="Arial"/>
        <w:i/>
        <w:color w:val="254175" w:themeColor="accent5" w:themeShade="95"/>
        <w:sz w:val="22"/>
      </w:rPr>
      <w:tblPr/>
      <w:tcPr>
        <w:tcBorders>
          <w:top w:val="nil"/>
          <w:left w:val="nil"/>
          <w:bottom w:val="nil"/>
          <w:right w:val="single" w:sz="4" w:space="0" w:color="95AFDD" w:themeColor="accent5" w:themeTint="90"/>
        </w:tcBorders>
        <w:shd w:val="clear" w:color="FFFFFF" w:fill="FFFFFF"/>
      </w:tcPr>
    </w:tblStylePr>
    <w:tblStylePr w:type="lastCol">
      <w:pPr>
        <w:snapToGrid/>
      </w:pPr>
      <w:rPr>
        <w:rFonts w:ascii="Arial" w:hAnsi="Arial"/>
        <w:i/>
        <w:color w:val="254175" w:themeColor="accent5" w:themeShade="95"/>
        <w:sz w:val="22"/>
      </w:rPr>
      <w:tblPr/>
      <w:tcPr>
        <w:tcBorders>
          <w:top w:val="nil"/>
          <w:left w:val="single" w:sz="4" w:space="0" w:color="95AFDD" w:themeColor="accent5" w:themeTint="90"/>
          <w:bottom w:val="nil"/>
          <w:right w:val="nil"/>
        </w:tcBorders>
        <w:shd w:val="clear" w:color="FFFFFF" w:fill="FFFFFF"/>
      </w:tcPr>
    </w:tblStylePr>
    <w:tblStylePr w:type="band1Vert">
      <w:pPr>
        <w:snapToGrid/>
      </w:pPr>
      <w:tblPr/>
      <w:tcPr>
        <w:shd w:val="clear" w:color="FFFFFF" w:fill="D8E2F3" w:themeFill="accent5" w:themeFillTint="34"/>
      </w:tcPr>
    </w:tblStylePr>
    <w:tblStylePr w:type="band2Vert">
      <w:pPr>
        <w:snapToGrid/>
      </w:pPr>
    </w:tblStylePr>
    <w:tblStylePr w:type="band1Horz">
      <w:pPr>
        <w:snapToGrid/>
      </w:pPr>
      <w:rPr>
        <w:rFonts w:ascii="Arial" w:hAnsi="Arial"/>
        <w:color w:val="254175" w:themeColor="accent5" w:themeShade="95"/>
        <w:sz w:val="22"/>
      </w:rPr>
      <w:tblPr/>
      <w:tcPr>
        <w:shd w:val="clear" w:color="FFFFFF" w:fill="D8E2F3" w:themeFill="accent5" w:themeFillTint="34"/>
      </w:tcPr>
    </w:tblStylePr>
    <w:tblStylePr w:type="band2Horz">
      <w:pPr>
        <w:snapToGrid/>
      </w:pPr>
      <w:rPr>
        <w:rFonts w:ascii="Arial" w:hAnsi="Arial"/>
        <w:color w:val="254175" w:themeColor="accent5"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GridTable7Colorful-Accent6">
    <w:name w:val="Grid Table 7 Colorful -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pPr>
        <w:snapToGrid/>
      </w:pPr>
      <w:rPr>
        <w:rFonts w:ascii="Arial" w:hAnsi="Arial"/>
        <w:b/>
        <w:color w:val="416429" w:themeColor="accent6" w:themeShade="95"/>
        <w:sz w:val="22"/>
      </w:rPr>
      <w:tblPr/>
      <w:tcPr>
        <w:tcBorders>
          <w:top w:val="nil"/>
          <w:left w:val="nil"/>
          <w:bottom w:val="single" w:sz="4" w:space="0" w:color="ADD394" w:themeColor="accent6" w:themeTint="90"/>
          <w:right w:val="nil"/>
        </w:tcBorders>
        <w:shd w:val="clear" w:color="FFFFFF" w:fill="FFFFFF" w:themeFill="light1"/>
      </w:tcPr>
    </w:tblStylePr>
    <w:tblStylePr w:type="lastRow">
      <w:pPr>
        <w:snapToGrid/>
      </w:pPr>
      <w:rPr>
        <w:rFonts w:ascii="Arial" w:hAnsi="Arial"/>
        <w:b/>
        <w:color w:val="416429" w:themeColor="accent6" w:themeShade="95"/>
        <w:sz w:val="22"/>
      </w:rPr>
      <w:tblPr/>
      <w:tcPr>
        <w:tcBorders>
          <w:top w:val="single" w:sz="4" w:space="0" w:color="ADD394" w:themeColor="accent6" w:themeTint="90"/>
          <w:left w:val="nil"/>
          <w:bottom w:val="nil"/>
          <w:right w:val="nil"/>
        </w:tcBorders>
        <w:shd w:val="clear" w:color="FFFFFF" w:fill="FFFFFF" w:themeFill="light1"/>
      </w:tcPr>
    </w:tblStylePr>
    <w:tblStylePr w:type="firstCol">
      <w:pPr>
        <w:snapToGrid/>
        <w:jc w:val="right"/>
      </w:pPr>
      <w:rPr>
        <w:rFonts w:ascii="Arial" w:hAnsi="Arial"/>
        <w:i/>
        <w:color w:val="416429" w:themeColor="accent6" w:themeShade="95"/>
        <w:sz w:val="22"/>
      </w:rPr>
      <w:tblPr/>
      <w:tcPr>
        <w:tcBorders>
          <w:top w:val="nil"/>
          <w:left w:val="nil"/>
          <w:bottom w:val="nil"/>
          <w:right w:val="single" w:sz="4" w:space="0" w:color="ADD394" w:themeColor="accent6" w:themeTint="90"/>
        </w:tcBorders>
        <w:shd w:val="clear" w:color="FFFFFF" w:fill="FFFFFF"/>
      </w:tcPr>
    </w:tblStylePr>
    <w:tblStylePr w:type="lastCol">
      <w:pPr>
        <w:snapToGrid/>
      </w:pPr>
      <w:rPr>
        <w:rFonts w:ascii="Arial" w:hAnsi="Arial"/>
        <w:i/>
        <w:color w:val="416429" w:themeColor="accent6" w:themeShade="95"/>
        <w:sz w:val="22"/>
      </w:rPr>
      <w:tblPr/>
      <w:tcPr>
        <w:tcBorders>
          <w:top w:val="nil"/>
          <w:left w:val="single" w:sz="4" w:space="0" w:color="ADD394" w:themeColor="accent6" w:themeTint="90"/>
          <w:bottom w:val="nil"/>
          <w:right w:val="nil"/>
        </w:tcBorders>
        <w:shd w:val="clear" w:color="FFFFFF" w:fill="FFFFFF"/>
      </w:tcPr>
    </w:tblStylePr>
    <w:tblStylePr w:type="band1Vert">
      <w:pPr>
        <w:snapToGrid/>
      </w:pPr>
      <w:tblPr/>
      <w:tcPr>
        <w:shd w:val="clear" w:color="FFFFFF" w:fill="E1EFD8" w:themeFill="accent6" w:themeFillTint="34"/>
      </w:tcPr>
    </w:tblStylePr>
    <w:tblStylePr w:type="band2Vert">
      <w:pPr>
        <w:snapToGrid/>
      </w:pPr>
    </w:tblStylePr>
    <w:tblStylePr w:type="band1Horz">
      <w:pPr>
        <w:snapToGrid/>
      </w:pPr>
      <w:rPr>
        <w:rFonts w:ascii="Arial" w:hAnsi="Arial"/>
        <w:color w:val="416429" w:themeColor="accent6" w:themeShade="95"/>
        <w:sz w:val="22"/>
      </w:rPr>
      <w:tblPr/>
      <w:tcPr>
        <w:shd w:val="clear" w:color="FFFFFF" w:fill="E1EFD8" w:themeFill="accent6" w:themeFillTint="34"/>
      </w:tcPr>
    </w:tblStylePr>
    <w:tblStylePr w:type="band2Horz">
      <w:pPr>
        <w:snapToGrid/>
      </w:pPr>
      <w:rPr>
        <w:rFonts w:ascii="Arial" w:hAnsi="Arial"/>
        <w:color w:val="416429" w:themeColor="accent6"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1">
    <w:name w:val="List Table 1 Light - Accent 1"/>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5B9BD5" w:themeColor="accent1"/>
          <w:right w:val="nil"/>
        </w:tcBorders>
      </w:tcPr>
    </w:tblStylePr>
    <w:tblStylePr w:type="lastRow">
      <w:pPr>
        <w:snapToGrid/>
      </w:pPr>
      <w:rPr>
        <w:b/>
        <w:color w:val="404040"/>
      </w:rPr>
      <w:tblPr/>
      <w:tcPr>
        <w:tcBorders>
          <w:top w:val="single" w:sz="4" w:space="0" w:color="5B9BD5" w:themeColor="accen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5E5F4" w:themeFill="accent1" w:themeFillTint="40"/>
      </w:tcPr>
    </w:tblStylePr>
    <w:tblStylePr w:type="band2Vert">
      <w:pPr>
        <w:snapToGrid/>
      </w:pPr>
    </w:tblStylePr>
    <w:tblStylePr w:type="band1Horz">
      <w:pPr>
        <w:snapToGrid/>
      </w:pPr>
      <w:tblPr/>
      <w:tcPr>
        <w:shd w:val="clear" w:color="FFFFFF"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2">
    <w:name w:val="List Table 1 Light - Accent 2"/>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ED7D31" w:themeColor="accent2"/>
          <w:right w:val="nil"/>
        </w:tcBorders>
      </w:tcPr>
    </w:tblStylePr>
    <w:tblStylePr w:type="lastRow">
      <w:pPr>
        <w:snapToGrid/>
      </w:pPr>
      <w:rPr>
        <w:b/>
        <w:color w:val="404040"/>
      </w:rPr>
      <w:tblPr/>
      <w:tcPr>
        <w:tcBorders>
          <w:top w:val="single" w:sz="4" w:space="0" w:color="ED7D31" w:themeColor="accent2"/>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FADECB" w:themeFill="accent2" w:themeFillTint="40"/>
      </w:tcPr>
    </w:tblStylePr>
    <w:tblStylePr w:type="band2Vert">
      <w:pPr>
        <w:snapToGrid/>
      </w:pPr>
    </w:tblStylePr>
    <w:tblStylePr w:type="band1Horz">
      <w:pPr>
        <w:snapToGrid/>
      </w:pPr>
      <w:tblPr/>
      <w:tcPr>
        <w:shd w:val="clear" w:color="FFFFFF"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3">
    <w:name w:val="List Table 1 Light - Accent 3"/>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A5A5A5" w:themeColor="accent3"/>
          <w:right w:val="nil"/>
        </w:tcBorders>
      </w:tcPr>
    </w:tblStylePr>
    <w:tblStylePr w:type="lastRow">
      <w:pPr>
        <w:snapToGrid/>
      </w:pPr>
      <w:rPr>
        <w:b/>
        <w:color w:val="404040"/>
      </w:rPr>
      <w:tblPr/>
      <w:tcPr>
        <w:tcBorders>
          <w:top w:val="single" w:sz="4" w:space="0" w:color="A5A5A5" w:themeColor="accent3"/>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E8E8E8" w:themeFill="accent3" w:themeFillTint="40"/>
      </w:tcPr>
    </w:tblStylePr>
    <w:tblStylePr w:type="band2Vert">
      <w:pPr>
        <w:snapToGrid/>
      </w:pPr>
    </w:tblStylePr>
    <w:tblStylePr w:type="band1Horz">
      <w:pPr>
        <w:snapToGrid/>
      </w:pPr>
      <w:tblPr/>
      <w:tcPr>
        <w:shd w:val="clear" w:color="FFFFFF"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4">
    <w:name w:val="List Table 1 Light - Accent 4"/>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FFC000" w:themeColor="accent4"/>
          <w:right w:val="nil"/>
        </w:tcBorders>
      </w:tcPr>
    </w:tblStylePr>
    <w:tblStylePr w:type="lastRow">
      <w:pPr>
        <w:snapToGrid/>
      </w:pPr>
      <w:rPr>
        <w:b/>
        <w:color w:val="404040"/>
      </w:rPr>
      <w:tblPr/>
      <w:tcPr>
        <w:tcBorders>
          <w:top w:val="single" w:sz="4" w:space="0" w:color="FFC000" w:themeColor="accent4"/>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FFEFBF" w:themeFill="accent4" w:themeFillTint="40"/>
      </w:tcPr>
    </w:tblStylePr>
    <w:tblStylePr w:type="band2Vert">
      <w:pPr>
        <w:snapToGrid/>
      </w:pPr>
    </w:tblStylePr>
    <w:tblStylePr w:type="band1Horz">
      <w:pPr>
        <w:snapToGrid/>
      </w:pPr>
      <w:tblPr/>
      <w:tcPr>
        <w:shd w:val="clear" w:color="FFFFFF"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5">
    <w:name w:val="List Table 1 Light - Accent 5"/>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4472C4" w:themeColor="accent5"/>
          <w:right w:val="nil"/>
        </w:tcBorders>
      </w:tcPr>
    </w:tblStylePr>
    <w:tblStylePr w:type="lastRow">
      <w:pPr>
        <w:snapToGrid/>
      </w:pPr>
      <w:rPr>
        <w:b/>
        <w:color w:val="404040"/>
      </w:rPr>
      <w:tblPr/>
      <w:tcPr>
        <w:tcBorders>
          <w:top w:val="single" w:sz="4" w:space="0" w:color="4472C4" w:themeColor="accent5"/>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CFDBF0" w:themeFill="accent5" w:themeFillTint="40"/>
      </w:tcPr>
    </w:tblStylePr>
    <w:tblStylePr w:type="band2Vert">
      <w:pPr>
        <w:snapToGrid/>
      </w:pPr>
    </w:tblStylePr>
    <w:tblStylePr w:type="band1Horz">
      <w:pPr>
        <w:snapToGrid/>
      </w:pPr>
      <w:tblPr/>
      <w:tcPr>
        <w:shd w:val="clear" w:color="FFFFFF"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1Light-Accent6">
    <w:name w:val="List Table 1 Light - Accent 6"/>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70AD47" w:themeColor="accent6"/>
          <w:right w:val="nil"/>
        </w:tcBorders>
      </w:tcPr>
    </w:tblStylePr>
    <w:tblStylePr w:type="lastRow">
      <w:pPr>
        <w:snapToGrid/>
      </w:pPr>
      <w:rPr>
        <w:b/>
        <w:color w:val="404040"/>
      </w:rPr>
      <w:tblPr/>
      <w:tcPr>
        <w:tcBorders>
          <w:top w:val="single" w:sz="4" w:space="0" w:color="70AD47" w:themeColor="accent6"/>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FFFFFF" w:fill="DAEBCF" w:themeFill="accent6" w:themeFillTint="40"/>
      </w:tcPr>
    </w:tblStylePr>
    <w:tblStylePr w:type="band2Vert">
      <w:pPr>
        <w:snapToGrid/>
      </w:pPr>
    </w:tblStylePr>
    <w:tblStylePr w:type="band1Horz">
      <w:pPr>
        <w:snapToGrid/>
      </w:pPr>
      <w:tblPr/>
      <w:tcPr>
        <w:shd w:val="clear" w:color="FFFFFF"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1">
    <w:name w:val="List Table 2 - Accent 1"/>
    <w:basedOn w:val="TableNormal"/>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pPr>
        <w:snapToGrid/>
      </w:pPr>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2">
    <w:name w:val="List Table 2 -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pPr>
        <w:snapToGrid/>
      </w:pPr>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3">
    <w:name w:val="List Table 2 -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pPr>
        <w:snapToGrid/>
      </w:pPr>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4">
    <w:name w:val="List Table 2 -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pPr>
        <w:snapToGrid/>
      </w:pPr>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5">
    <w:name w:val="List Table 2 - Accent 5"/>
    <w:basedOn w:val="TableNormal"/>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pPr>
        <w:snapToGrid/>
      </w:pPr>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2-Accent6">
    <w:name w:val="List Table 2 -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pPr>
        <w:snapToGrid/>
      </w:pPr>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FFFFFF"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1">
    <w:name w:val="List Table 3 - Accent 1"/>
    <w:basedOn w:val="TableNormal"/>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pPr>
        <w:snapToGrid/>
      </w:pPr>
      <w:rPr>
        <w:rFonts w:ascii="Arial" w:hAnsi="Arial"/>
        <w:b/>
        <w:color w:val="FFFFFF"/>
        <w:sz w:val="22"/>
      </w:rPr>
      <w:tblPr/>
      <w:tcPr>
        <w:shd w:val="clear" w:color="FFFFFF"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5B9BD5" w:themeColor="accent1"/>
          <w:right w:val="single" w:sz="4" w:space="0" w:color="5B9BD5" w:themeColor="accent1"/>
        </w:tcBorders>
      </w:tcPr>
    </w:tblStylePr>
    <w:tblStylePr w:type="band2Vert">
      <w:pPr>
        <w:snapToGrid/>
      </w:pPr>
    </w:tblStylePr>
    <w:tblStylePr w:type="band1Horz">
      <w:pPr>
        <w:snapToGrid/>
      </w:pPr>
      <w:rPr>
        <w:rFonts w:ascii="Arial" w:hAnsi="Arial"/>
        <w:color w:val="404040"/>
        <w:sz w:val="22"/>
      </w:rPr>
      <w:tblPr/>
      <w:tcPr>
        <w:tcBorders>
          <w:top w:val="single" w:sz="4" w:space="0" w:color="5B9BD5" w:themeColor="accent1"/>
          <w:bottom w:val="single" w:sz="4" w:space="0" w:color="5B9BD5" w:themeColor="accen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2">
    <w:name w:val="List Table 3 -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pPr>
        <w:snapToGrid/>
      </w:pPr>
      <w:rPr>
        <w:rFonts w:ascii="Arial" w:hAnsi="Arial"/>
        <w:b/>
        <w:color w:val="FFFFFF"/>
        <w:sz w:val="22"/>
      </w:rPr>
      <w:tblPr/>
      <w:tcPr>
        <w:shd w:val="clear" w:color="FFFFFF" w:fill="F4B184" w:themeFill="accent2" w:themeFillTint="97"/>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2Vert">
      <w:pPr>
        <w:snapToGrid/>
      </w:pPr>
    </w:tblStylePr>
    <w:tblStylePr w:type="band1Horz">
      <w:pPr>
        <w:snapToGrid/>
      </w:pPr>
      <w:rPr>
        <w:rFonts w:ascii="Arial" w:hAnsi="Arial"/>
        <w:color w:val="404040"/>
        <w:sz w:val="22"/>
      </w:rPr>
      <w:tblPr/>
      <w:tcPr>
        <w:tcBorders>
          <w:top w:val="single" w:sz="4" w:space="0" w:color="F4B184" w:themeColor="accent2" w:themeTint="97"/>
          <w:bottom w:val="single" w:sz="4" w:space="0" w:color="F4B184" w:themeColor="accent2" w:themeTint="9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3">
    <w:name w:val="List Table 3 -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pPr>
        <w:snapToGrid/>
      </w:pPr>
      <w:rPr>
        <w:rFonts w:ascii="Arial" w:hAnsi="Arial"/>
        <w:b/>
        <w:color w:val="FFFFFF"/>
        <w:sz w:val="22"/>
      </w:rPr>
      <w:tblPr/>
      <w:tcPr>
        <w:shd w:val="clear" w:color="FFFFFF" w:fill="C9C9C9" w:themeFill="accent3"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C9C9C9" w:themeColor="accent3" w:themeTint="98"/>
          <w:bottom w:val="single" w:sz="4" w:space="0" w:color="C9C9C9" w:themeColor="accent3"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4">
    <w:name w:val="List Table 3 -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pPr>
        <w:snapToGrid/>
      </w:pPr>
      <w:rPr>
        <w:rFonts w:ascii="Arial" w:hAnsi="Arial"/>
        <w:b/>
        <w:color w:val="FFFFFF"/>
        <w:sz w:val="22"/>
      </w:rPr>
      <w:tblPr/>
      <w:tcPr>
        <w:shd w:val="clear" w:color="FFFFFF" w:fill="FFD865" w:themeFill="accent4"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FFD865" w:themeColor="accent4" w:themeTint="9A"/>
          <w:bottom w:val="single" w:sz="4" w:space="0" w:color="FFD865" w:themeColor="accent4"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5">
    <w:name w:val="List Table 3 - Accent 5"/>
    <w:basedOn w:val="TableNormal"/>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pPr>
        <w:snapToGrid/>
      </w:pPr>
      <w:rPr>
        <w:rFonts w:ascii="Arial" w:hAnsi="Arial"/>
        <w:b/>
        <w:color w:val="FFFFFF"/>
        <w:sz w:val="22"/>
      </w:rPr>
      <w:tblPr/>
      <w:tcPr>
        <w:shd w:val="clear" w:color="FFFFFF" w:fill="8DA9DB" w:themeFill="accent5" w:themeFillTint="9A"/>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2Vert">
      <w:pPr>
        <w:snapToGrid/>
      </w:pPr>
    </w:tblStylePr>
    <w:tblStylePr w:type="band1Horz">
      <w:pPr>
        <w:snapToGrid/>
      </w:pPr>
      <w:rPr>
        <w:rFonts w:ascii="Arial" w:hAnsi="Arial"/>
        <w:color w:val="404040"/>
        <w:sz w:val="22"/>
      </w:rPr>
      <w:tblPr/>
      <w:tcPr>
        <w:tcBorders>
          <w:top w:val="single" w:sz="4" w:space="0" w:color="8DA9DB" w:themeColor="accent5" w:themeTint="9A"/>
          <w:bottom w:val="single" w:sz="4" w:space="0" w:color="8DA9DB" w:themeColor="accent5" w:themeTint="9A"/>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3-Accent6">
    <w:name w:val="List Table 3 -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pPr>
        <w:snapToGrid/>
      </w:pPr>
      <w:rPr>
        <w:rFonts w:ascii="Arial" w:hAnsi="Arial"/>
        <w:b/>
        <w:color w:val="FFFFFF"/>
        <w:sz w:val="22"/>
      </w:rPr>
      <w:tblPr/>
      <w:tcPr>
        <w:shd w:val="clear" w:color="FFFFFF" w:fill="A9D08E" w:themeFill="accent6" w:themeFillTint="98"/>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2Vert">
      <w:pPr>
        <w:snapToGrid/>
      </w:pPr>
    </w:tblStylePr>
    <w:tblStylePr w:type="band1Horz">
      <w:pPr>
        <w:snapToGrid/>
      </w:pPr>
      <w:rPr>
        <w:rFonts w:ascii="Arial" w:hAnsi="Arial"/>
        <w:color w:val="404040"/>
        <w:sz w:val="22"/>
      </w:rPr>
      <w:tblPr/>
      <w:tcPr>
        <w:tcBorders>
          <w:top w:val="single" w:sz="4" w:space="0" w:color="A9D08E" w:themeColor="accent6" w:themeTint="98"/>
          <w:bottom w:val="single" w:sz="4" w:space="0" w:color="A9D08E" w:themeColor="accent6" w:themeTint="98"/>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FFFFFF"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FFFFF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1">
    <w:name w:val="List Table 4 - Accent 1"/>
    <w:basedOn w:val="TableNormal"/>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pPr>
        <w:snapToGrid/>
      </w:pPr>
      <w:rPr>
        <w:rFonts w:ascii="Arial" w:hAnsi="Arial"/>
        <w:b/>
        <w:color w:val="FFFFFF"/>
        <w:sz w:val="22"/>
      </w:rPr>
      <w:tblPr/>
      <w:tcPr>
        <w:shd w:val="clear" w:color="FFFFFF" w:fill="5B9BD5" w:themeFill="accen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5E5F4" w:themeFill="accent1" w:themeFillTint="40"/>
      </w:tcPr>
    </w:tblStylePr>
    <w:tblStylePr w:type="band2Vert">
      <w:pPr>
        <w:snapToGrid/>
      </w:pPr>
    </w:tblStylePr>
    <w:tblStylePr w:type="band1Horz">
      <w:pPr>
        <w:snapToGrid/>
      </w:pPr>
      <w:rPr>
        <w:rFonts w:ascii="Arial" w:hAnsi="Arial"/>
        <w:color w:val="404040"/>
        <w:sz w:val="22"/>
      </w:rPr>
      <w:tblPr/>
      <w:tcPr>
        <w:shd w:val="clear" w:color="FFFFFF" w:fill="D5E5F4" w:themeFill="accen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2">
    <w:name w:val="List Table 4 -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pPr>
        <w:snapToGrid/>
      </w:pPr>
      <w:rPr>
        <w:rFonts w:ascii="Arial" w:hAnsi="Arial"/>
        <w:b/>
        <w:color w:val="FFFFFF"/>
        <w:sz w:val="22"/>
      </w:rPr>
      <w:tblPr/>
      <w:tcPr>
        <w:shd w:val="clear" w:color="FFFFFF" w:fill="ED7D31" w:themeFill="accent2"/>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ADECB" w:themeFill="accent2" w:themeFillTint="40"/>
      </w:tcPr>
    </w:tblStylePr>
    <w:tblStylePr w:type="band2Vert">
      <w:pPr>
        <w:snapToGrid/>
      </w:pPr>
    </w:tblStylePr>
    <w:tblStylePr w:type="band1Horz">
      <w:pPr>
        <w:snapToGrid/>
      </w:pPr>
      <w:rPr>
        <w:rFonts w:ascii="Arial" w:hAnsi="Arial"/>
        <w:color w:val="404040"/>
        <w:sz w:val="22"/>
      </w:rPr>
      <w:tblPr/>
      <w:tcPr>
        <w:shd w:val="clear" w:color="FFFFFF" w:fill="FADECB" w:themeFill="accent2"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3">
    <w:name w:val="List Table 4 -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pPr>
        <w:snapToGrid/>
      </w:pPr>
      <w:rPr>
        <w:rFonts w:ascii="Arial" w:hAnsi="Arial"/>
        <w:b/>
        <w:color w:val="FFFFFF"/>
        <w:sz w:val="22"/>
      </w:rPr>
      <w:tblPr/>
      <w:tcPr>
        <w:shd w:val="clear" w:color="FFFFFF" w:fill="A5A5A5" w:themeFill="accent3"/>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E8E8E8" w:themeFill="accent3" w:themeFillTint="40"/>
      </w:tcPr>
    </w:tblStylePr>
    <w:tblStylePr w:type="band2Vert">
      <w:pPr>
        <w:snapToGrid/>
      </w:pPr>
    </w:tblStylePr>
    <w:tblStylePr w:type="band1Horz">
      <w:pPr>
        <w:snapToGrid/>
      </w:pPr>
      <w:rPr>
        <w:rFonts w:ascii="Arial" w:hAnsi="Arial"/>
        <w:color w:val="404040"/>
        <w:sz w:val="22"/>
      </w:rPr>
      <w:tblPr/>
      <w:tcPr>
        <w:shd w:val="clear" w:color="FFFFFF" w:fill="E8E8E8" w:themeFill="accent3"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4">
    <w:name w:val="List Table 4 -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pPr>
        <w:snapToGrid/>
      </w:pPr>
      <w:rPr>
        <w:rFonts w:ascii="Arial" w:hAnsi="Arial"/>
        <w:b/>
        <w:color w:val="FFFFFF"/>
        <w:sz w:val="22"/>
      </w:rPr>
      <w:tblPr/>
      <w:tcPr>
        <w:shd w:val="clear" w:color="FFFFFF" w:fill="FFC000" w:themeFill="accent4"/>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FFEFBF" w:themeFill="accent4" w:themeFillTint="40"/>
      </w:tcPr>
    </w:tblStylePr>
    <w:tblStylePr w:type="band2Vert">
      <w:pPr>
        <w:snapToGrid/>
      </w:pPr>
    </w:tblStylePr>
    <w:tblStylePr w:type="band1Horz">
      <w:pPr>
        <w:snapToGrid/>
      </w:pPr>
      <w:rPr>
        <w:rFonts w:ascii="Arial" w:hAnsi="Arial"/>
        <w:color w:val="404040"/>
        <w:sz w:val="22"/>
      </w:rPr>
      <w:tblPr/>
      <w:tcPr>
        <w:shd w:val="clear" w:color="FFFFFF" w:fill="FFEFBF" w:themeFill="accent4"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5">
    <w:name w:val="List Table 4 - Accent 5"/>
    <w:basedOn w:val="TableNormal"/>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pPr>
        <w:snapToGrid/>
      </w:pPr>
      <w:rPr>
        <w:rFonts w:ascii="Arial" w:hAnsi="Arial"/>
        <w:b/>
        <w:color w:val="FFFFFF"/>
        <w:sz w:val="22"/>
      </w:rPr>
      <w:tblPr/>
      <w:tcPr>
        <w:shd w:val="clear" w:color="FFFFFF" w:fill="4472C4" w:themeFill="accent5"/>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CFDBF0" w:themeFill="accent5" w:themeFillTint="40"/>
      </w:tcPr>
    </w:tblStylePr>
    <w:tblStylePr w:type="band2Vert">
      <w:pPr>
        <w:snapToGrid/>
      </w:pPr>
    </w:tblStylePr>
    <w:tblStylePr w:type="band1Horz">
      <w:pPr>
        <w:snapToGrid/>
      </w:pPr>
      <w:rPr>
        <w:rFonts w:ascii="Arial" w:hAnsi="Arial"/>
        <w:color w:val="404040"/>
        <w:sz w:val="22"/>
      </w:rPr>
      <w:tblPr/>
      <w:tcPr>
        <w:shd w:val="clear" w:color="FFFFFF" w:fill="CFDBF0" w:themeFill="accent5"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4-Accent6">
    <w:name w:val="List Table 4 -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pPr>
        <w:snapToGrid/>
      </w:pPr>
      <w:rPr>
        <w:rFonts w:ascii="Arial" w:hAnsi="Arial"/>
        <w:b/>
        <w:color w:val="FFFFFF"/>
        <w:sz w:val="22"/>
      </w:rPr>
      <w:tblPr/>
      <w:tcPr>
        <w:shd w:val="clear" w:color="FFFFFF" w:fill="70AD47" w:themeFill="accent6"/>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FFFFF" w:fill="DAEBCF" w:themeFill="accent6" w:themeFillTint="40"/>
      </w:tcPr>
    </w:tblStylePr>
    <w:tblStylePr w:type="band2Vert">
      <w:pPr>
        <w:snapToGrid/>
      </w:pPr>
    </w:tblStylePr>
    <w:tblStylePr w:type="band1Horz">
      <w:pPr>
        <w:snapToGrid/>
      </w:pPr>
      <w:rPr>
        <w:rFonts w:ascii="Arial" w:hAnsi="Arial"/>
        <w:color w:val="404040"/>
        <w:sz w:val="22"/>
      </w:rPr>
      <w:tblPr/>
      <w:tcPr>
        <w:shd w:val="clear" w:color="FFFFFF" w:fill="DAEBCF" w:themeFill="accent6"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FFFFF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FFFFF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1">
    <w:name w:val="List Table 5 Dark - Accent 1"/>
    <w:basedOn w:val="TableNormal"/>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FFFFFF" w:fill="5B9BD5" w:themeFill="accent1"/>
    </w:tblPr>
    <w:tblStylePr w:type="firstRow">
      <w:pPr>
        <w:snapToGrid/>
      </w:pPr>
      <w:rPr>
        <w:rFonts w:ascii="Arial" w:hAnsi="Arial"/>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pPr>
        <w:snapToGrid/>
      </w:pPr>
      <w:tblPr/>
      <w:tcPr>
        <w:tcBorders>
          <w:left w:val="single" w:sz="4" w:space="0" w:color="FFFFFF" w:themeColor="light1"/>
          <w:right w:val="single" w:sz="32" w:space="0" w:color="5B9BD5" w:themeColor="accent1"/>
        </w:tcBorders>
      </w:tcPr>
    </w:tblStylePr>
    <w:tblStylePr w:type="band1Vert">
      <w:pPr>
        <w:snapToGrid/>
      </w:pPr>
      <w:tblPr/>
      <w:tcPr>
        <w:tcBorders>
          <w:left w:val="single" w:sz="4" w:space="0" w:color="FFFFFF" w:themeColor="light1"/>
          <w:right w:val="single" w:sz="4" w:space="0" w:color="FFFFFF" w:themeColor="light1"/>
        </w:tcBorders>
        <w:shd w:val="clear" w:color="FFFFFF" w:fill="5B9BD5" w:themeFill="accent1"/>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5B9BD5" w:themeFill="accent1"/>
      </w:tcPr>
    </w:tblStylePr>
    <w:tblStylePr w:type="band2Horz">
      <w:pPr>
        <w:snapToGrid/>
      </w:pPr>
      <w:tblPr/>
      <w:tcPr>
        <w:tcBorders>
          <w:top w:val="single" w:sz="4" w:space="0" w:color="FFFFFF" w:themeColor="light1"/>
          <w:bottom w:val="single" w:sz="4" w:space="0" w:color="FFFFFF" w:themeColor="light1"/>
        </w:tcBorders>
        <w:shd w:val="clear" w:color="FFFFFF" w:fill="5B9BD5" w:themeFill="accent1"/>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2">
    <w:name w:val="List Table 5 Dark -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FFFFF" w:fill="F4B184" w:themeFill="accent2" w:themeFillTint="97"/>
    </w:tblPr>
    <w:tblStylePr w:type="firstRow">
      <w:pPr>
        <w:snapToGrid/>
      </w:pPr>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FFFFF" w:fill="F4B184" w:themeFill="accent2" w:themeFillTint="97"/>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pPr>
        <w:snapToGrid/>
      </w:pPr>
      <w:tblPr/>
      <w:tcPr>
        <w:tcBorders>
          <w:left w:val="single" w:sz="4" w:space="0" w:color="FFFFFF" w:themeColor="light1"/>
          <w:right w:val="single" w:sz="32" w:space="0" w:color="F4B184" w:themeColor="accent2" w:themeTint="97"/>
        </w:tcBorders>
      </w:tcPr>
    </w:tblStylePr>
    <w:tblStylePr w:type="band1Vert">
      <w:pPr>
        <w:snapToGrid/>
      </w:pPr>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pPr>
        <w:snapToGrid/>
      </w:pPr>
      <w:tblPr/>
      <w:tcPr>
        <w:tcBorders>
          <w:top w:val="single" w:sz="4" w:space="0" w:color="FFFFFF" w:themeColor="light1"/>
          <w:bottom w:val="single" w:sz="4" w:space="0" w:color="FFFFFF" w:themeColor="light1"/>
        </w:tcBorders>
        <w:shd w:val="clear" w:color="FFFFFF" w:fill="F4B184" w:themeFill="accent2" w:themeFillTint="97"/>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3">
    <w:name w:val="List Table 5 Dark -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FFFFFF" w:fill="C9C9C9" w:themeFill="accent3" w:themeFillTint="98"/>
    </w:tblPr>
    <w:tblStylePr w:type="firstRow">
      <w:pPr>
        <w:snapToGrid/>
      </w:pPr>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FFFFFF" w:fill="C9C9C9" w:themeFill="accent3"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pPr>
        <w:snapToGrid/>
      </w:pPr>
      <w:tblPr/>
      <w:tcPr>
        <w:tcBorders>
          <w:left w:val="single" w:sz="4" w:space="0" w:color="FFFFFF" w:themeColor="light1"/>
          <w:right w:val="single" w:sz="32" w:space="0" w:color="C9C9C9" w:themeColor="accent3"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pPr>
        <w:snapToGrid/>
      </w:pPr>
      <w:tblPr/>
      <w:tcPr>
        <w:tcBorders>
          <w:top w:val="single" w:sz="4" w:space="0" w:color="FFFFFF" w:themeColor="light1"/>
          <w:bottom w:val="single" w:sz="4" w:space="0" w:color="FFFFFF" w:themeColor="light1"/>
        </w:tcBorders>
        <w:shd w:val="clear" w:color="FFFFFF" w:fill="C9C9C9" w:themeFill="accent3"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4">
    <w:name w:val="List Table 5 Dark -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FFFF" w:fill="FFD865" w:themeFill="accent4" w:themeFillTint="9A"/>
    </w:tblPr>
    <w:tblStylePr w:type="firstRow">
      <w:pPr>
        <w:snapToGrid/>
      </w:pPr>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FFFF" w:fill="FFD865" w:themeFill="accent4"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pPr>
        <w:snapToGrid/>
      </w:pPr>
      <w:tblPr/>
      <w:tcPr>
        <w:tcBorders>
          <w:left w:val="single" w:sz="4" w:space="0" w:color="FFFFFF" w:themeColor="light1"/>
          <w:right w:val="single" w:sz="32" w:space="0" w:color="FFD865" w:themeColor="accent4"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pPr>
        <w:snapToGrid/>
      </w:pPr>
      <w:tblPr/>
      <w:tcPr>
        <w:tcBorders>
          <w:top w:val="single" w:sz="4" w:space="0" w:color="FFFFFF" w:themeColor="light1"/>
          <w:bottom w:val="single" w:sz="4" w:space="0" w:color="FFFFFF" w:themeColor="light1"/>
        </w:tcBorders>
        <w:shd w:val="clear" w:color="FFFFFF" w:fill="FFD865" w:themeFill="accent4"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5">
    <w:name w:val="List Table 5 Dark - Accent 5"/>
    <w:basedOn w:val="TableNormal"/>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FFFFFF" w:fill="8DA9DB" w:themeFill="accent5" w:themeFillTint="9A"/>
    </w:tblPr>
    <w:tblStylePr w:type="firstRow">
      <w:pPr>
        <w:snapToGrid/>
      </w:pPr>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FFFFFF" w:fill="8DA9DB" w:themeFill="accent5" w:themeFillTint="9A"/>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pPr>
        <w:snapToGrid/>
      </w:pPr>
      <w:tblPr/>
      <w:tcPr>
        <w:tcBorders>
          <w:left w:val="single" w:sz="4" w:space="0" w:color="FFFFFF" w:themeColor="light1"/>
          <w:right w:val="single" w:sz="32" w:space="0" w:color="8DA9DB" w:themeColor="accent5" w:themeTint="9A"/>
        </w:tcBorders>
      </w:tcPr>
    </w:tblStylePr>
    <w:tblStylePr w:type="band1Vert">
      <w:pPr>
        <w:snapToGrid/>
      </w:pPr>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pPr>
        <w:snapToGrid/>
      </w:pPr>
      <w:tblPr/>
      <w:tcPr>
        <w:tcBorders>
          <w:top w:val="single" w:sz="4" w:space="0" w:color="FFFFFF" w:themeColor="light1"/>
          <w:bottom w:val="single" w:sz="4" w:space="0" w:color="FFFFFF" w:themeColor="light1"/>
        </w:tcBorders>
        <w:shd w:val="clear" w:color="FFFFFF" w:fill="8DA9DB" w:themeFill="accent5" w:themeFillTint="9A"/>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5Dark-Accent6">
    <w:name w:val="List Table 5 Dark -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FFFFFF" w:fill="A9D08E" w:themeFill="accent6" w:themeFillTint="98"/>
    </w:tblPr>
    <w:tblStylePr w:type="firstRow">
      <w:pPr>
        <w:snapToGrid/>
      </w:pPr>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FFFFFF" w:fill="A9D08E" w:themeFill="accent6" w:themeFillTint="98"/>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pPr>
        <w:snapToGrid/>
      </w:pPr>
      <w:tblPr/>
      <w:tcPr>
        <w:tcBorders>
          <w:left w:val="single" w:sz="4" w:space="0" w:color="FFFFFF" w:themeColor="light1"/>
          <w:right w:val="single" w:sz="32" w:space="0" w:color="A9D08E" w:themeColor="accent6" w:themeTint="98"/>
        </w:tcBorders>
      </w:tcPr>
    </w:tblStylePr>
    <w:tblStylePr w:type="band1Vert">
      <w:pPr>
        <w:snapToGrid/>
      </w:pPr>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pPr>
        <w:snapToGrid/>
      </w:pPr>
      <w:tblPr/>
      <w:tcPr>
        <w:tcBorders>
          <w:top w:val="single" w:sz="4" w:space="0" w:color="FFFFFF" w:themeColor="light1"/>
          <w:bottom w:val="single" w:sz="4" w:space="0" w:color="FFFFFF" w:themeColor="light1"/>
        </w:tcBorders>
        <w:shd w:val="clear" w:color="FFFFFF" w:fill="A9D08E" w:themeFill="accent6" w:themeFillTint="98"/>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FFFFF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5B9BD5" w:themeColor="accent1"/>
        <w:bottom w:val="single" w:sz="4" w:space="0" w:color="5B9BD5" w:themeColor="accent1"/>
      </w:tblBorders>
    </w:tblPr>
    <w:tblStylePr w:type="firstRow">
      <w:pPr>
        <w:snapToGrid/>
      </w:pPr>
      <w:rPr>
        <w:b/>
        <w:color w:val="245A8D" w:themeColor="accent1" w:themeShade="95"/>
      </w:rPr>
      <w:tblPr/>
      <w:tcPr>
        <w:tcBorders>
          <w:bottom w:val="single" w:sz="4" w:space="0" w:color="5B9BD5" w:themeColor="accent1"/>
        </w:tcBorders>
      </w:tcPr>
    </w:tblStylePr>
    <w:tblStylePr w:type="lastRow">
      <w:pPr>
        <w:snapToGrid/>
      </w:pPr>
      <w:rPr>
        <w:b/>
        <w:color w:val="245A8D" w:themeColor="accent1" w:themeShade="95"/>
      </w:rPr>
      <w:tblPr/>
      <w:tcPr>
        <w:tcBorders>
          <w:top w:val="single" w:sz="4" w:space="0" w:color="5B9BD5" w:themeColor="accent1"/>
        </w:tcBorders>
      </w:tcPr>
    </w:tblStylePr>
    <w:tblStylePr w:type="firstCol">
      <w:pPr>
        <w:snapToGrid/>
      </w:pPr>
      <w:rPr>
        <w:b/>
        <w:color w:val="245A8D" w:themeColor="accent1" w:themeShade="95"/>
      </w:rPr>
    </w:tblStylePr>
    <w:tblStylePr w:type="lastCol">
      <w:pPr>
        <w:snapToGrid/>
      </w:pPr>
      <w:rPr>
        <w:b/>
        <w:color w:val="245A8D" w:themeColor="accent1" w:themeShade="95"/>
      </w:rPr>
    </w:tblStylePr>
    <w:tblStylePr w:type="band1Vert">
      <w:pPr>
        <w:snapToGrid/>
      </w:pPr>
      <w:tblPr/>
      <w:tcPr>
        <w:shd w:val="clear" w:color="FFFFFF" w:fill="D5E5F4" w:themeFill="accent1" w:themeFillTint="40"/>
      </w:tcPr>
    </w:tblStylePr>
    <w:tblStylePr w:type="band2Vert">
      <w:pPr>
        <w:snapToGrid/>
      </w:pPr>
    </w:tblStylePr>
    <w:tblStylePr w:type="band1Horz">
      <w:pPr>
        <w:snapToGrid/>
      </w:pPr>
      <w:rPr>
        <w:rFonts w:ascii="Arial" w:hAnsi="Arial"/>
        <w:color w:val="245A8D" w:themeColor="accent1" w:themeShade="95"/>
        <w:sz w:val="22"/>
      </w:rPr>
      <w:tblPr/>
      <w:tcPr>
        <w:shd w:val="clear" w:color="FFFFFF" w:fill="D5E5F4" w:themeFill="accent1" w:themeFillTint="40"/>
      </w:tcPr>
    </w:tblStylePr>
    <w:tblStylePr w:type="band2Horz">
      <w:pPr>
        <w:snapToGrid/>
      </w:pPr>
      <w:rPr>
        <w:rFonts w:ascii="Arial" w:hAnsi="Arial"/>
        <w:color w:val="245A8D"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pPr>
        <w:snapToGrid/>
      </w:pPr>
      <w:rPr>
        <w:b/>
        <w:color w:val="F4B184" w:themeColor="accent2" w:themeShade="95" w:themeTint="97"/>
      </w:rPr>
      <w:tblPr/>
      <w:tcPr>
        <w:tcBorders>
          <w:bottom w:val="single" w:sz="4" w:space="0" w:color="F4B184" w:themeColor="accent2" w:themeTint="97"/>
        </w:tcBorders>
      </w:tcPr>
    </w:tblStylePr>
    <w:tblStylePr w:type="lastRow">
      <w:pPr>
        <w:snapToGrid/>
      </w:pPr>
      <w:rPr>
        <w:b/>
        <w:color w:val="F4B184" w:themeColor="accent2" w:themeShade="95" w:themeTint="97"/>
      </w:rPr>
      <w:tblPr/>
      <w:tcPr>
        <w:tcBorders>
          <w:top w:val="single" w:sz="4" w:space="0" w:color="F4B184" w:themeColor="accent2" w:themeTint="97"/>
        </w:tcBorders>
      </w:tcPr>
    </w:tblStylePr>
    <w:tblStylePr w:type="firstCol">
      <w:pPr>
        <w:snapToGrid/>
      </w:pPr>
      <w:rPr>
        <w:b/>
        <w:color w:val="F4B184" w:themeColor="accent2" w:themeShade="95" w:themeTint="97"/>
      </w:rPr>
    </w:tblStylePr>
    <w:tblStylePr w:type="lastCol">
      <w:pPr>
        <w:snapToGrid/>
      </w:pPr>
      <w:rPr>
        <w:b/>
        <w:color w:val="F4B184" w:themeColor="accent2" w:themeShade="95" w:themeTint="97"/>
      </w:rPr>
    </w:tblStylePr>
    <w:tblStylePr w:type="band1Vert">
      <w:pPr>
        <w:snapToGrid/>
      </w:pPr>
      <w:tblPr/>
      <w:tcPr>
        <w:shd w:val="clear" w:color="FFFFFF" w:fill="FADECB" w:themeFill="accent2" w:themeFillTint="40"/>
      </w:tcPr>
    </w:tblStylePr>
    <w:tblStylePr w:type="band2Vert">
      <w:pPr>
        <w:snapToGrid/>
      </w:pPr>
    </w:tblStylePr>
    <w:tblStylePr w:type="band1Horz">
      <w:pPr>
        <w:snapToGrid/>
      </w:pPr>
      <w:rPr>
        <w:rFonts w:ascii="Arial" w:hAnsi="Arial"/>
        <w:color w:val="F4B184" w:themeColor="accent2" w:themeShade="95" w:themeTint="97"/>
        <w:sz w:val="22"/>
      </w:rPr>
      <w:tblPr/>
      <w:tcPr>
        <w:shd w:val="clear" w:color="FFFFFF" w:fill="FADECB" w:themeFill="accent2" w:themeFillTint="40"/>
      </w:tcPr>
    </w:tblStylePr>
    <w:tblStylePr w:type="band2Horz">
      <w:pPr>
        <w:snapToGrid/>
      </w:pPr>
      <w:rPr>
        <w:rFonts w:ascii="Arial" w:hAnsi="Arial"/>
        <w:color w:val="F4B184"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pPr>
        <w:snapToGrid/>
      </w:pPr>
      <w:rPr>
        <w:b/>
        <w:color w:val="C9C9C9" w:themeColor="accent3" w:themeShade="95" w:themeTint="98"/>
      </w:rPr>
      <w:tblPr/>
      <w:tcPr>
        <w:tcBorders>
          <w:bottom w:val="single" w:sz="4" w:space="0" w:color="C9C9C9" w:themeColor="accent3" w:themeTint="98"/>
        </w:tcBorders>
      </w:tcPr>
    </w:tblStylePr>
    <w:tblStylePr w:type="lastRow">
      <w:pPr>
        <w:snapToGrid/>
      </w:pPr>
      <w:rPr>
        <w:b/>
        <w:color w:val="C9C9C9" w:themeColor="accent3" w:themeShade="95" w:themeTint="98"/>
      </w:rPr>
      <w:tblPr/>
      <w:tcPr>
        <w:tcBorders>
          <w:top w:val="single" w:sz="4" w:space="0" w:color="C9C9C9" w:themeColor="accent3" w:themeTint="98"/>
        </w:tcBorders>
      </w:tcPr>
    </w:tblStylePr>
    <w:tblStylePr w:type="firstCol">
      <w:pPr>
        <w:snapToGrid/>
      </w:pPr>
      <w:rPr>
        <w:b/>
        <w:color w:val="C9C9C9" w:themeColor="accent3" w:themeShade="95" w:themeTint="98"/>
      </w:rPr>
    </w:tblStylePr>
    <w:tblStylePr w:type="lastCol">
      <w:pPr>
        <w:snapToGrid/>
      </w:pPr>
      <w:rPr>
        <w:b/>
        <w:color w:val="C9C9C9" w:themeColor="accent3" w:themeShade="95" w:themeTint="98"/>
      </w:rPr>
    </w:tblStylePr>
    <w:tblStylePr w:type="band1Vert">
      <w:pPr>
        <w:snapToGrid/>
      </w:pPr>
      <w:tblPr/>
      <w:tcPr>
        <w:shd w:val="clear" w:color="FFFFFF" w:fill="E8E8E8" w:themeFill="accent3" w:themeFillTint="40"/>
      </w:tcPr>
    </w:tblStylePr>
    <w:tblStylePr w:type="band2Vert">
      <w:pPr>
        <w:snapToGrid/>
      </w:pPr>
    </w:tblStylePr>
    <w:tblStylePr w:type="band1Horz">
      <w:pPr>
        <w:snapToGrid/>
      </w:pPr>
      <w:rPr>
        <w:rFonts w:ascii="Arial" w:hAnsi="Arial"/>
        <w:color w:val="C9C9C9" w:themeColor="accent3" w:themeShade="95" w:themeTint="98"/>
        <w:sz w:val="22"/>
      </w:rPr>
      <w:tblPr/>
      <w:tcPr>
        <w:shd w:val="clear" w:color="FFFFFF" w:fill="E8E8E8" w:themeFill="accent3" w:themeFillTint="40"/>
      </w:tcPr>
    </w:tblStylePr>
    <w:tblStylePr w:type="band2Horz">
      <w:pPr>
        <w:snapToGrid/>
      </w:pPr>
      <w:rPr>
        <w:rFonts w:ascii="Arial" w:hAnsi="Arial"/>
        <w:color w:val="C9C9C9"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pPr>
        <w:snapToGrid/>
      </w:pPr>
      <w:rPr>
        <w:b/>
        <w:color w:val="FFD865" w:themeColor="accent4" w:themeShade="95" w:themeTint="9A"/>
      </w:rPr>
      <w:tblPr/>
      <w:tcPr>
        <w:tcBorders>
          <w:bottom w:val="single" w:sz="4" w:space="0" w:color="FFD865" w:themeColor="accent4" w:themeTint="9A"/>
        </w:tcBorders>
      </w:tcPr>
    </w:tblStylePr>
    <w:tblStylePr w:type="lastRow">
      <w:pPr>
        <w:snapToGrid/>
      </w:pPr>
      <w:rPr>
        <w:b/>
        <w:color w:val="FFD865" w:themeColor="accent4" w:themeShade="95" w:themeTint="9A"/>
      </w:rPr>
      <w:tblPr/>
      <w:tcPr>
        <w:tcBorders>
          <w:top w:val="single" w:sz="4" w:space="0" w:color="FFD865" w:themeColor="accent4" w:themeTint="9A"/>
        </w:tcBorders>
      </w:tcPr>
    </w:tblStylePr>
    <w:tblStylePr w:type="firstCol">
      <w:pPr>
        <w:snapToGrid/>
      </w:pPr>
      <w:rPr>
        <w:b/>
        <w:color w:val="FFD865" w:themeColor="accent4" w:themeShade="95" w:themeTint="9A"/>
      </w:rPr>
    </w:tblStylePr>
    <w:tblStylePr w:type="lastCol">
      <w:pPr>
        <w:snapToGrid/>
      </w:pPr>
      <w:rPr>
        <w:b/>
        <w:color w:val="FFD865" w:themeColor="accent4" w:themeShade="95" w:themeTint="9A"/>
      </w:rPr>
    </w:tblStylePr>
    <w:tblStylePr w:type="band1Vert">
      <w:pPr>
        <w:snapToGrid/>
      </w:pPr>
      <w:tblPr/>
      <w:tcPr>
        <w:shd w:val="clear" w:color="FFFFFF" w:fill="FFEFBF" w:themeFill="accent4" w:themeFillTint="40"/>
      </w:tcPr>
    </w:tblStylePr>
    <w:tblStylePr w:type="band2Vert">
      <w:pPr>
        <w:snapToGrid/>
      </w:pPr>
    </w:tblStylePr>
    <w:tblStylePr w:type="band1Horz">
      <w:pPr>
        <w:snapToGrid/>
      </w:pPr>
      <w:rPr>
        <w:rFonts w:ascii="Arial" w:hAnsi="Arial"/>
        <w:color w:val="FFD865" w:themeColor="accent4" w:themeShade="95" w:themeTint="9A"/>
        <w:sz w:val="22"/>
      </w:rPr>
      <w:tblPr/>
      <w:tcPr>
        <w:shd w:val="clear" w:color="FFFFFF" w:fill="FFEFBF" w:themeFill="accent4" w:themeFillTint="40"/>
      </w:tcPr>
    </w:tblStylePr>
    <w:tblStylePr w:type="band2Horz">
      <w:pPr>
        <w:snapToGrid/>
      </w:pPr>
      <w:rPr>
        <w:rFonts w:ascii="Arial" w:hAnsi="Arial"/>
        <w:color w:val="FFD865"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pPr>
        <w:snapToGrid/>
      </w:pPr>
      <w:rPr>
        <w:b/>
        <w:color w:val="8DA9DB" w:themeColor="accent5" w:themeShade="95" w:themeTint="9A"/>
      </w:rPr>
      <w:tblPr/>
      <w:tcPr>
        <w:tcBorders>
          <w:bottom w:val="single" w:sz="4" w:space="0" w:color="8DA9DB" w:themeColor="accent5" w:themeTint="9A"/>
        </w:tcBorders>
      </w:tcPr>
    </w:tblStylePr>
    <w:tblStylePr w:type="lastRow">
      <w:pPr>
        <w:snapToGrid/>
      </w:pPr>
      <w:rPr>
        <w:b/>
        <w:color w:val="8DA9DB" w:themeColor="accent5" w:themeShade="95" w:themeTint="9A"/>
      </w:rPr>
      <w:tblPr/>
      <w:tcPr>
        <w:tcBorders>
          <w:top w:val="single" w:sz="4" w:space="0" w:color="8DA9DB" w:themeColor="accent5" w:themeTint="9A"/>
        </w:tcBorders>
      </w:tcPr>
    </w:tblStylePr>
    <w:tblStylePr w:type="firstCol">
      <w:pPr>
        <w:snapToGrid/>
      </w:pPr>
      <w:rPr>
        <w:b/>
        <w:color w:val="8DA9DB" w:themeColor="accent5" w:themeShade="95" w:themeTint="9A"/>
      </w:rPr>
    </w:tblStylePr>
    <w:tblStylePr w:type="lastCol">
      <w:pPr>
        <w:snapToGrid/>
      </w:pPr>
      <w:rPr>
        <w:b/>
        <w:color w:val="8DA9DB" w:themeColor="accent5" w:themeShade="95" w:themeTint="9A"/>
      </w:rPr>
    </w:tblStylePr>
    <w:tblStylePr w:type="band1Vert">
      <w:pPr>
        <w:snapToGrid/>
      </w:pPr>
      <w:tblPr/>
      <w:tcPr>
        <w:shd w:val="clear" w:color="FFFFFF" w:fill="CFDBF0" w:themeFill="accent5" w:themeFillTint="40"/>
      </w:tcPr>
    </w:tblStylePr>
    <w:tblStylePr w:type="band2Vert">
      <w:pPr>
        <w:snapToGrid/>
      </w:pPr>
    </w:tblStylePr>
    <w:tblStylePr w:type="band1Horz">
      <w:pPr>
        <w:snapToGrid/>
      </w:pPr>
      <w:rPr>
        <w:rFonts w:ascii="Arial" w:hAnsi="Arial"/>
        <w:color w:val="8DA9DB" w:themeColor="accent5" w:themeShade="95" w:themeTint="9A"/>
        <w:sz w:val="22"/>
      </w:rPr>
      <w:tblPr/>
      <w:tcPr>
        <w:shd w:val="clear" w:color="FFFFFF" w:fill="CFDBF0" w:themeFill="accent5" w:themeFillTint="40"/>
      </w:tcPr>
    </w:tblStylePr>
    <w:tblStylePr w:type="band2Horz">
      <w:pPr>
        <w:snapToGrid/>
      </w:pPr>
      <w:rPr>
        <w:rFonts w:ascii="Arial" w:hAnsi="Arial"/>
        <w:color w:val="8DA9DB"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pPr>
        <w:snapToGrid/>
      </w:pPr>
      <w:rPr>
        <w:b/>
        <w:color w:val="A9D08E" w:themeColor="accent6" w:themeShade="95" w:themeTint="98"/>
      </w:rPr>
      <w:tblPr/>
      <w:tcPr>
        <w:tcBorders>
          <w:bottom w:val="single" w:sz="4" w:space="0" w:color="A9D08E" w:themeColor="accent6" w:themeTint="98"/>
        </w:tcBorders>
      </w:tcPr>
    </w:tblStylePr>
    <w:tblStylePr w:type="lastRow">
      <w:pPr>
        <w:snapToGrid/>
      </w:pPr>
      <w:rPr>
        <w:b/>
        <w:color w:val="A9D08E" w:themeColor="accent6" w:themeShade="95" w:themeTint="98"/>
      </w:rPr>
      <w:tblPr/>
      <w:tcPr>
        <w:tcBorders>
          <w:top w:val="single" w:sz="4" w:space="0" w:color="A9D08E" w:themeColor="accent6" w:themeTint="98"/>
        </w:tcBorders>
      </w:tcPr>
    </w:tblStylePr>
    <w:tblStylePr w:type="firstCol">
      <w:pPr>
        <w:snapToGrid/>
      </w:pPr>
      <w:rPr>
        <w:b/>
        <w:color w:val="A9D08E" w:themeColor="accent6" w:themeShade="95" w:themeTint="98"/>
      </w:rPr>
    </w:tblStylePr>
    <w:tblStylePr w:type="lastCol">
      <w:pPr>
        <w:snapToGrid/>
      </w:pPr>
      <w:rPr>
        <w:b/>
        <w:color w:val="A9D08E" w:themeColor="accent6" w:themeShade="95" w:themeTint="98"/>
      </w:rPr>
    </w:tblStylePr>
    <w:tblStylePr w:type="band1Vert">
      <w:pPr>
        <w:snapToGrid/>
      </w:pPr>
      <w:tblPr/>
      <w:tcPr>
        <w:shd w:val="clear" w:color="FFFFFF" w:fill="DAEBCF" w:themeFill="accent6" w:themeFillTint="40"/>
      </w:tcPr>
    </w:tblStylePr>
    <w:tblStylePr w:type="band2Vert">
      <w:pPr>
        <w:snapToGrid/>
      </w:pPr>
    </w:tblStylePr>
    <w:tblStylePr w:type="band1Horz">
      <w:pPr>
        <w:snapToGrid/>
      </w:pPr>
      <w:rPr>
        <w:rFonts w:ascii="Arial" w:hAnsi="Arial"/>
        <w:color w:val="A9D08E" w:themeColor="accent6" w:themeShade="95" w:themeTint="98"/>
        <w:sz w:val="22"/>
      </w:rPr>
      <w:tblPr/>
      <w:tcPr>
        <w:shd w:val="clear" w:color="FFFFFF" w:fill="DAEBCF" w:themeFill="accent6" w:themeFillTint="40"/>
      </w:tcPr>
    </w:tblStylePr>
    <w:tblStylePr w:type="band2Horz">
      <w:pPr>
        <w:snapToGrid/>
      </w:pPr>
      <w:rPr>
        <w:rFonts w:ascii="Arial" w:hAnsi="Arial"/>
        <w:color w:val="A9D08E"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FFFF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FFFFF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1">
    <w:name w:val="List Table 7 Colorful - Accent 1"/>
    <w:basedOn w:val="TableNormal"/>
    <w:uiPriority w:val="99"/>
    <w:tblPr>
      <w:tblStyleRowBandSize w:val="1"/>
      <w:tblStyleColBandSize w:val="1"/>
      <w:tblBorders>
        <w:right w:val="single" w:sz="4" w:space="0" w:color="5B9BD5" w:themeColor="accent1"/>
      </w:tblBorders>
    </w:tblPr>
    <w:tblStylePr w:type="firstRow">
      <w:pPr>
        <w:snapToGrid/>
      </w:pPr>
      <w:rPr>
        <w:rFonts w:ascii="Arial" w:hAnsi="Arial"/>
        <w:i/>
        <w:color w:val="245A8D" w:themeColor="accent1" w:themeShade="95"/>
        <w:sz w:val="22"/>
      </w:rPr>
      <w:tblPr/>
      <w:tcPr>
        <w:tcBorders>
          <w:top w:val="nil"/>
          <w:left w:val="nil"/>
          <w:bottom w:val="single" w:sz="4" w:space="0" w:color="5B9BD5" w:themeColor="accent1"/>
          <w:right w:val="nil"/>
        </w:tcBorders>
        <w:shd w:val="clear" w:color="FFFFFF" w:fill="FFFFFF" w:themeFill="light1"/>
      </w:tcPr>
    </w:tblStylePr>
    <w:tblStylePr w:type="lastRow">
      <w:pPr>
        <w:snapToGrid/>
      </w:pPr>
      <w:rPr>
        <w:rFonts w:ascii="Arial" w:hAnsi="Arial"/>
        <w:i/>
        <w:color w:val="245A8D" w:themeColor="accent1" w:themeShade="95"/>
        <w:sz w:val="22"/>
      </w:rPr>
      <w:tblPr/>
      <w:tcPr>
        <w:tcBorders>
          <w:top w:val="single" w:sz="4" w:space="0" w:color="5B9BD5" w:themeColor="accent1"/>
          <w:left w:val="nil"/>
          <w:bottom w:val="nil"/>
          <w:right w:val="nil"/>
        </w:tcBorders>
        <w:shd w:val="clear" w:color="FFFFFF" w:fill="FFFFFF" w:themeFill="light1"/>
      </w:tcPr>
    </w:tblStylePr>
    <w:tblStylePr w:type="firstCol">
      <w:pPr>
        <w:snapToGrid/>
        <w:jc w:val="right"/>
      </w:pPr>
      <w:rPr>
        <w:rFonts w:ascii="Arial" w:hAnsi="Arial"/>
        <w:i/>
        <w:color w:val="245A8D" w:themeColor="accent1" w:themeShade="95"/>
        <w:sz w:val="22"/>
      </w:rPr>
      <w:tblPr/>
      <w:tcPr>
        <w:tcBorders>
          <w:top w:val="nil"/>
          <w:left w:val="nil"/>
          <w:bottom w:val="nil"/>
          <w:right w:val="single" w:sz="4" w:space="0" w:color="5B9BD5" w:themeColor="accent1"/>
        </w:tcBorders>
        <w:shd w:val="clear" w:color="FFFFFF" w:fill="FFFFFF"/>
      </w:tcPr>
    </w:tblStylePr>
    <w:tblStylePr w:type="lastCol">
      <w:pPr>
        <w:snapToGrid/>
      </w:pPr>
      <w:rPr>
        <w:rFonts w:ascii="Arial" w:hAnsi="Arial"/>
        <w:i/>
        <w:color w:val="245A8D" w:themeColor="accent1" w:themeShade="95"/>
        <w:sz w:val="22"/>
      </w:rPr>
      <w:tblPr/>
      <w:tcPr>
        <w:tcBorders>
          <w:top w:val="nil"/>
          <w:left w:val="single" w:sz="4" w:space="0" w:color="5B9BD5" w:themeColor="accent1"/>
          <w:bottom w:val="nil"/>
          <w:right w:val="nil"/>
        </w:tcBorders>
        <w:shd w:val="clear" w:color="FFFFFF" w:fill="FFFFFF"/>
      </w:tcPr>
    </w:tblStylePr>
    <w:tblStylePr w:type="band1Vert">
      <w:pPr>
        <w:snapToGrid/>
      </w:pPr>
      <w:tblPr/>
      <w:tcPr>
        <w:shd w:val="clear" w:color="FFFFFF" w:fill="D5E5F4" w:themeFill="accent1" w:themeFillTint="40"/>
      </w:tcPr>
    </w:tblStylePr>
    <w:tblStylePr w:type="band2Vert">
      <w:pPr>
        <w:snapToGrid/>
      </w:pPr>
    </w:tblStylePr>
    <w:tblStylePr w:type="band1Horz">
      <w:pPr>
        <w:snapToGrid/>
      </w:pPr>
      <w:rPr>
        <w:rFonts w:ascii="Arial" w:hAnsi="Arial"/>
        <w:color w:val="245A8D" w:themeColor="accent1" w:themeShade="95"/>
        <w:sz w:val="22"/>
      </w:rPr>
      <w:tblPr/>
      <w:tcPr>
        <w:shd w:val="clear" w:color="FFFFFF" w:fill="D5E5F4" w:themeFill="accent1" w:themeFillTint="40"/>
      </w:tcPr>
    </w:tblStylePr>
    <w:tblStylePr w:type="band2Horz">
      <w:pPr>
        <w:snapToGrid/>
      </w:pPr>
      <w:rPr>
        <w:rFonts w:ascii="Arial" w:hAnsi="Arial"/>
        <w:color w:val="245A8D" w:themeColor="accent1" w:themeShade="95"/>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2">
    <w:name w:val="List Table 7 Colorful - Accent 2"/>
    <w:basedOn w:val="TableNormal"/>
    <w:uiPriority w:val="99"/>
    <w:tblPr>
      <w:tblStyleRowBandSize w:val="1"/>
      <w:tblStyleColBandSize w:val="1"/>
      <w:tblBorders>
        <w:right w:val="single" w:sz="4" w:space="0" w:color="F4B184" w:themeColor="accent2" w:themeTint="97"/>
      </w:tblBorders>
    </w:tblPr>
    <w:tblStylePr w:type="firstRow">
      <w:pPr>
        <w:snapToGrid/>
      </w:pPr>
      <w:rPr>
        <w:rFonts w:ascii="Arial" w:hAnsi="Arial"/>
        <w:i/>
        <w:color w:val="F4B184" w:themeColor="accent2" w:themeShade="95" w:themeTint="97"/>
        <w:sz w:val="22"/>
      </w:rPr>
      <w:tblPr/>
      <w:tcPr>
        <w:tcBorders>
          <w:top w:val="nil"/>
          <w:left w:val="nil"/>
          <w:bottom w:val="single" w:sz="4" w:space="0" w:color="F4B184" w:themeColor="accent2" w:themeTint="97"/>
          <w:right w:val="nil"/>
        </w:tcBorders>
        <w:shd w:val="clear" w:color="FFFFFF" w:fill="FFFFFF" w:themeFill="light1"/>
      </w:tcPr>
    </w:tblStylePr>
    <w:tblStylePr w:type="lastRow">
      <w:pPr>
        <w:snapToGrid/>
      </w:pPr>
      <w:rPr>
        <w:rFonts w:ascii="Arial" w:hAnsi="Arial"/>
        <w:i/>
        <w:color w:val="F4B184" w:themeColor="accent2" w:themeShade="95" w:themeTint="97"/>
        <w:sz w:val="22"/>
      </w:rPr>
      <w:tblPr/>
      <w:tcPr>
        <w:tcBorders>
          <w:top w:val="single" w:sz="4" w:space="0" w:color="F4B184" w:themeColor="accent2" w:themeTint="97"/>
          <w:left w:val="nil"/>
          <w:bottom w:val="nil"/>
          <w:right w:val="nil"/>
        </w:tcBorders>
        <w:shd w:val="clear" w:color="FFFFFF" w:fill="FFFFFF" w:themeFill="light1"/>
      </w:tcPr>
    </w:tblStylePr>
    <w:tblStylePr w:type="firstCol">
      <w:pPr>
        <w:snapToGrid/>
        <w:jc w:val="right"/>
      </w:pPr>
      <w:rPr>
        <w:rFonts w:ascii="Arial" w:hAnsi="Arial"/>
        <w:i/>
        <w:color w:val="F4B184" w:themeColor="accent2" w:themeShade="95" w:themeTint="97"/>
        <w:sz w:val="22"/>
      </w:rPr>
      <w:tblPr/>
      <w:tcPr>
        <w:tcBorders>
          <w:top w:val="nil"/>
          <w:left w:val="nil"/>
          <w:bottom w:val="nil"/>
          <w:right w:val="single" w:sz="4" w:space="0" w:color="F4B184" w:themeColor="accent2" w:themeTint="97"/>
        </w:tcBorders>
        <w:shd w:val="clear" w:color="FFFFFF" w:fill="FFFFFF"/>
      </w:tcPr>
    </w:tblStylePr>
    <w:tblStylePr w:type="lastCol">
      <w:pPr>
        <w:snapToGrid/>
      </w:pPr>
      <w:rPr>
        <w:rFonts w:ascii="Arial" w:hAnsi="Arial"/>
        <w:i/>
        <w:color w:val="F4B184" w:themeColor="accent2" w:themeShade="95" w:themeTint="97"/>
        <w:sz w:val="22"/>
      </w:rPr>
      <w:tblPr/>
      <w:tcPr>
        <w:tcBorders>
          <w:top w:val="nil"/>
          <w:left w:val="single" w:sz="4" w:space="0" w:color="F4B184" w:themeColor="accent2" w:themeTint="97"/>
          <w:bottom w:val="nil"/>
          <w:right w:val="nil"/>
        </w:tcBorders>
        <w:shd w:val="clear" w:color="FFFFFF" w:fill="FFFFFF"/>
      </w:tcPr>
    </w:tblStylePr>
    <w:tblStylePr w:type="band1Vert">
      <w:pPr>
        <w:snapToGrid/>
      </w:pPr>
      <w:tblPr/>
      <w:tcPr>
        <w:shd w:val="clear" w:color="FFFFFF" w:fill="FADECB" w:themeFill="accent2" w:themeFillTint="40"/>
      </w:tcPr>
    </w:tblStylePr>
    <w:tblStylePr w:type="band2Vert">
      <w:pPr>
        <w:snapToGrid/>
      </w:pPr>
    </w:tblStylePr>
    <w:tblStylePr w:type="band1Horz">
      <w:pPr>
        <w:snapToGrid/>
      </w:pPr>
      <w:rPr>
        <w:rFonts w:ascii="Arial" w:hAnsi="Arial"/>
        <w:color w:val="F4B184" w:themeColor="accent2" w:themeShade="95" w:themeTint="97"/>
        <w:sz w:val="22"/>
      </w:rPr>
      <w:tblPr/>
      <w:tcPr>
        <w:shd w:val="clear" w:color="FFFFFF" w:fill="FADECB" w:themeFill="accent2" w:themeFillTint="40"/>
      </w:tcPr>
    </w:tblStylePr>
    <w:tblStylePr w:type="band2Horz">
      <w:pPr>
        <w:snapToGrid/>
      </w:pPr>
      <w:rPr>
        <w:rFonts w:ascii="Arial" w:hAnsi="Arial"/>
        <w:color w:val="F4B184" w:themeColor="accent2" w:themeShade="95" w:themeTint="97"/>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3">
    <w:name w:val="List Table 7 Colorful - Accent 3"/>
    <w:basedOn w:val="TableNormal"/>
    <w:uiPriority w:val="99"/>
    <w:tblPr>
      <w:tblStyleRowBandSize w:val="1"/>
      <w:tblStyleColBandSize w:val="1"/>
      <w:tblBorders>
        <w:right w:val="single" w:sz="4" w:space="0" w:color="C9C9C9" w:themeColor="accent3" w:themeTint="98"/>
      </w:tblBorders>
    </w:tblPr>
    <w:tblStylePr w:type="firstRow">
      <w:pPr>
        <w:snapToGrid/>
      </w:pPr>
      <w:rPr>
        <w:rFonts w:ascii="Arial" w:hAnsi="Arial"/>
        <w:i/>
        <w:color w:val="C9C9C9" w:themeColor="accent3" w:themeShade="95" w:themeTint="98"/>
        <w:sz w:val="22"/>
      </w:rPr>
      <w:tblPr/>
      <w:tcPr>
        <w:tcBorders>
          <w:top w:val="nil"/>
          <w:left w:val="nil"/>
          <w:bottom w:val="single" w:sz="4" w:space="0" w:color="C9C9C9" w:themeColor="accent3" w:themeTint="98"/>
          <w:right w:val="nil"/>
        </w:tcBorders>
        <w:shd w:val="clear" w:color="FFFFFF" w:fill="FFFFFF" w:themeFill="light1"/>
      </w:tcPr>
    </w:tblStylePr>
    <w:tblStylePr w:type="lastRow">
      <w:pPr>
        <w:snapToGrid/>
      </w:pPr>
      <w:rPr>
        <w:rFonts w:ascii="Arial" w:hAnsi="Arial"/>
        <w:i/>
        <w:color w:val="C9C9C9" w:themeColor="accent3" w:themeShade="95" w:themeTint="98"/>
        <w:sz w:val="22"/>
      </w:rPr>
      <w:tblPr/>
      <w:tcPr>
        <w:tcBorders>
          <w:top w:val="single" w:sz="4" w:space="0" w:color="C9C9C9" w:themeColor="accent3" w:themeTint="98"/>
          <w:left w:val="nil"/>
          <w:bottom w:val="nil"/>
          <w:right w:val="nil"/>
        </w:tcBorders>
        <w:shd w:val="clear" w:color="FFFFFF" w:fill="FFFFFF" w:themeFill="light1"/>
      </w:tcPr>
    </w:tblStylePr>
    <w:tblStylePr w:type="firstCol">
      <w:pPr>
        <w:snapToGrid/>
        <w:jc w:val="right"/>
      </w:pPr>
      <w:rPr>
        <w:rFonts w:ascii="Arial" w:hAnsi="Arial"/>
        <w:i/>
        <w:color w:val="C9C9C9" w:themeColor="accent3" w:themeShade="95" w:themeTint="98"/>
        <w:sz w:val="22"/>
      </w:rPr>
      <w:tblPr/>
      <w:tcPr>
        <w:tcBorders>
          <w:top w:val="nil"/>
          <w:left w:val="nil"/>
          <w:bottom w:val="nil"/>
          <w:right w:val="single" w:sz="4" w:space="0" w:color="C9C9C9" w:themeColor="accent3" w:themeTint="98"/>
        </w:tcBorders>
        <w:shd w:val="clear" w:color="FFFFFF" w:fill="FFFFFF"/>
      </w:tcPr>
    </w:tblStylePr>
    <w:tblStylePr w:type="lastCol">
      <w:pPr>
        <w:snapToGrid/>
      </w:pPr>
      <w:rPr>
        <w:rFonts w:ascii="Arial" w:hAnsi="Arial"/>
        <w:i/>
        <w:color w:val="C9C9C9" w:themeColor="accent3" w:themeShade="95" w:themeTint="98"/>
        <w:sz w:val="22"/>
      </w:rPr>
      <w:tblPr/>
      <w:tcPr>
        <w:tcBorders>
          <w:top w:val="nil"/>
          <w:left w:val="single" w:sz="4" w:space="0" w:color="C9C9C9" w:themeColor="accent3" w:themeTint="98"/>
          <w:bottom w:val="nil"/>
          <w:right w:val="nil"/>
        </w:tcBorders>
        <w:shd w:val="clear" w:color="FFFFFF" w:fill="FFFFFF"/>
      </w:tcPr>
    </w:tblStylePr>
    <w:tblStylePr w:type="band1Vert">
      <w:pPr>
        <w:snapToGrid/>
      </w:pPr>
      <w:tblPr/>
      <w:tcPr>
        <w:shd w:val="clear" w:color="FFFFFF" w:fill="E8E8E8" w:themeFill="accent3" w:themeFillTint="40"/>
      </w:tcPr>
    </w:tblStylePr>
    <w:tblStylePr w:type="band2Vert">
      <w:pPr>
        <w:snapToGrid/>
      </w:pPr>
    </w:tblStylePr>
    <w:tblStylePr w:type="band1Horz">
      <w:pPr>
        <w:snapToGrid/>
      </w:pPr>
      <w:rPr>
        <w:rFonts w:ascii="Arial" w:hAnsi="Arial"/>
        <w:color w:val="C9C9C9" w:themeColor="accent3" w:themeShade="95" w:themeTint="98"/>
        <w:sz w:val="22"/>
      </w:rPr>
      <w:tblPr/>
      <w:tcPr>
        <w:shd w:val="clear" w:color="FFFFFF" w:fill="E8E8E8" w:themeFill="accent3" w:themeFillTint="40"/>
      </w:tcPr>
    </w:tblStylePr>
    <w:tblStylePr w:type="band2Horz">
      <w:pPr>
        <w:snapToGrid/>
      </w:pPr>
      <w:rPr>
        <w:rFonts w:ascii="Arial" w:hAnsi="Arial"/>
        <w:color w:val="C9C9C9" w:themeColor="accent3"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4">
    <w:name w:val="List Table 7 Colorful - Accent 4"/>
    <w:basedOn w:val="TableNormal"/>
    <w:uiPriority w:val="99"/>
    <w:tblPr>
      <w:tblStyleRowBandSize w:val="1"/>
      <w:tblStyleColBandSize w:val="1"/>
      <w:tblBorders>
        <w:right w:val="single" w:sz="4" w:space="0" w:color="FFD865" w:themeColor="accent4" w:themeTint="9A"/>
      </w:tblBorders>
    </w:tblPr>
    <w:tblStylePr w:type="firstRow">
      <w:pPr>
        <w:snapToGrid/>
      </w:pPr>
      <w:rPr>
        <w:rFonts w:ascii="Arial" w:hAnsi="Arial"/>
        <w:i/>
        <w:color w:val="FFD865" w:themeColor="accent4" w:themeShade="95" w:themeTint="9A"/>
        <w:sz w:val="22"/>
      </w:rPr>
      <w:tblPr/>
      <w:tcPr>
        <w:tcBorders>
          <w:top w:val="nil"/>
          <w:left w:val="nil"/>
          <w:bottom w:val="single" w:sz="4" w:space="0" w:color="FFD865" w:themeColor="accent4" w:themeTint="9A"/>
          <w:right w:val="nil"/>
        </w:tcBorders>
        <w:shd w:val="clear" w:color="FFFFFF" w:fill="FFFFFF" w:themeFill="light1"/>
      </w:tcPr>
    </w:tblStylePr>
    <w:tblStylePr w:type="lastRow">
      <w:pPr>
        <w:snapToGrid/>
      </w:pPr>
      <w:rPr>
        <w:rFonts w:ascii="Arial" w:hAnsi="Arial"/>
        <w:i/>
        <w:color w:val="FFD865" w:themeColor="accent4" w:themeShade="95" w:themeTint="9A"/>
        <w:sz w:val="22"/>
      </w:rPr>
      <w:tblPr/>
      <w:tcPr>
        <w:tcBorders>
          <w:top w:val="single" w:sz="4" w:space="0" w:color="FFD865" w:themeColor="accent4" w:themeTint="9A"/>
          <w:left w:val="nil"/>
          <w:bottom w:val="nil"/>
          <w:right w:val="nil"/>
        </w:tcBorders>
        <w:shd w:val="clear" w:color="FFFFFF" w:fill="FFFFFF" w:themeFill="light1"/>
      </w:tcPr>
    </w:tblStylePr>
    <w:tblStylePr w:type="firstCol">
      <w:pPr>
        <w:snapToGrid/>
        <w:jc w:val="right"/>
      </w:pPr>
      <w:rPr>
        <w:rFonts w:ascii="Arial" w:hAnsi="Arial"/>
        <w:i/>
        <w:color w:val="FFD865" w:themeColor="accent4" w:themeShade="95" w:themeTint="9A"/>
        <w:sz w:val="22"/>
      </w:rPr>
      <w:tblPr/>
      <w:tcPr>
        <w:tcBorders>
          <w:top w:val="nil"/>
          <w:left w:val="nil"/>
          <w:bottom w:val="nil"/>
          <w:right w:val="single" w:sz="4" w:space="0" w:color="FFD865" w:themeColor="accent4" w:themeTint="9A"/>
        </w:tcBorders>
        <w:shd w:val="clear" w:color="FFFFFF" w:fill="FFFFFF"/>
      </w:tcPr>
    </w:tblStylePr>
    <w:tblStylePr w:type="lastCol">
      <w:pPr>
        <w:snapToGrid/>
      </w:pPr>
      <w:rPr>
        <w:rFonts w:ascii="Arial" w:hAnsi="Arial"/>
        <w:i/>
        <w:color w:val="FFD865" w:themeColor="accent4" w:themeShade="95" w:themeTint="9A"/>
        <w:sz w:val="22"/>
      </w:rPr>
      <w:tblPr/>
      <w:tcPr>
        <w:tcBorders>
          <w:top w:val="nil"/>
          <w:left w:val="single" w:sz="4" w:space="0" w:color="FFD865" w:themeColor="accent4" w:themeTint="9A"/>
          <w:bottom w:val="nil"/>
          <w:right w:val="nil"/>
        </w:tcBorders>
        <w:shd w:val="clear" w:color="FFFFFF" w:fill="FFFFFF"/>
      </w:tcPr>
    </w:tblStylePr>
    <w:tblStylePr w:type="band1Vert">
      <w:pPr>
        <w:snapToGrid/>
      </w:pPr>
      <w:tblPr/>
      <w:tcPr>
        <w:shd w:val="clear" w:color="FFFFFF" w:fill="FFEFBF" w:themeFill="accent4" w:themeFillTint="40"/>
      </w:tcPr>
    </w:tblStylePr>
    <w:tblStylePr w:type="band2Vert">
      <w:pPr>
        <w:snapToGrid/>
      </w:pPr>
    </w:tblStylePr>
    <w:tblStylePr w:type="band1Horz">
      <w:pPr>
        <w:snapToGrid/>
      </w:pPr>
      <w:rPr>
        <w:rFonts w:ascii="Arial" w:hAnsi="Arial"/>
        <w:color w:val="FFD865" w:themeColor="accent4" w:themeShade="95" w:themeTint="9A"/>
        <w:sz w:val="22"/>
      </w:rPr>
      <w:tblPr/>
      <w:tcPr>
        <w:shd w:val="clear" w:color="FFFFFF" w:fill="FFEFBF" w:themeFill="accent4" w:themeFillTint="40"/>
      </w:tcPr>
    </w:tblStylePr>
    <w:tblStylePr w:type="band2Horz">
      <w:pPr>
        <w:snapToGrid/>
      </w:pPr>
      <w:rPr>
        <w:rFonts w:ascii="Arial" w:hAnsi="Arial"/>
        <w:color w:val="FFD865" w:themeColor="accent4"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5">
    <w:name w:val="List Table 7 Colorful - Accent 5"/>
    <w:basedOn w:val="TableNormal"/>
    <w:uiPriority w:val="99"/>
    <w:tblPr>
      <w:tblStyleRowBandSize w:val="1"/>
      <w:tblStyleColBandSize w:val="1"/>
      <w:tblBorders>
        <w:right w:val="single" w:sz="4" w:space="0" w:color="8DA9DB" w:themeColor="accent5" w:themeTint="9A"/>
      </w:tblBorders>
    </w:tblPr>
    <w:tblStylePr w:type="firstRow">
      <w:pPr>
        <w:snapToGrid/>
      </w:pPr>
      <w:rPr>
        <w:rFonts w:ascii="Arial" w:hAnsi="Arial"/>
        <w:i/>
        <w:color w:val="8DA9DB" w:themeColor="accent5" w:themeShade="95" w:themeTint="9A"/>
        <w:sz w:val="22"/>
      </w:rPr>
      <w:tblPr/>
      <w:tcPr>
        <w:tcBorders>
          <w:top w:val="nil"/>
          <w:left w:val="nil"/>
          <w:bottom w:val="single" w:sz="4" w:space="0" w:color="8DA9DB" w:themeColor="accent5" w:themeTint="9A"/>
          <w:right w:val="nil"/>
        </w:tcBorders>
        <w:shd w:val="clear" w:color="FFFFFF" w:fill="FFFFFF" w:themeFill="light1"/>
      </w:tcPr>
    </w:tblStylePr>
    <w:tblStylePr w:type="lastRow">
      <w:pPr>
        <w:snapToGrid/>
      </w:pPr>
      <w:rPr>
        <w:rFonts w:ascii="Arial" w:hAnsi="Arial"/>
        <w:i/>
        <w:color w:val="8DA9DB" w:themeColor="accent5" w:themeShade="95" w:themeTint="9A"/>
        <w:sz w:val="22"/>
      </w:rPr>
      <w:tblPr/>
      <w:tcPr>
        <w:tcBorders>
          <w:top w:val="single" w:sz="4" w:space="0" w:color="8DA9DB" w:themeColor="accent5" w:themeTint="9A"/>
          <w:left w:val="nil"/>
          <w:bottom w:val="nil"/>
          <w:right w:val="nil"/>
        </w:tcBorders>
        <w:shd w:val="clear" w:color="FFFFFF" w:fill="FFFFFF" w:themeFill="light1"/>
      </w:tcPr>
    </w:tblStylePr>
    <w:tblStylePr w:type="firstCol">
      <w:pPr>
        <w:snapToGrid/>
        <w:jc w:val="right"/>
      </w:pPr>
      <w:rPr>
        <w:rFonts w:ascii="Arial" w:hAnsi="Arial"/>
        <w:i/>
        <w:color w:val="8DA9DB" w:themeColor="accent5" w:themeShade="95" w:themeTint="9A"/>
        <w:sz w:val="22"/>
      </w:rPr>
      <w:tblPr/>
      <w:tcPr>
        <w:tcBorders>
          <w:top w:val="nil"/>
          <w:left w:val="nil"/>
          <w:bottom w:val="nil"/>
          <w:right w:val="single" w:sz="4" w:space="0" w:color="8DA9DB" w:themeColor="accent5" w:themeTint="9A"/>
        </w:tcBorders>
        <w:shd w:val="clear" w:color="FFFFFF" w:fill="FFFFFF"/>
      </w:tcPr>
    </w:tblStylePr>
    <w:tblStylePr w:type="lastCol">
      <w:pPr>
        <w:snapToGrid/>
      </w:pPr>
      <w:rPr>
        <w:rFonts w:ascii="Arial" w:hAnsi="Arial"/>
        <w:i/>
        <w:color w:val="8DA9DB" w:themeColor="accent5" w:themeShade="95" w:themeTint="9A"/>
        <w:sz w:val="22"/>
      </w:rPr>
      <w:tblPr/>
      <w:tcPr>
        <w:tcBorders>
          <w:top w:val="nil"/>
          <w:left w:val="single" w:sz="4" w:space="0" w:color="8DA9DB" w:themeColor="accent5" w:themeTint="9A"/>
          <w:bottom w:val="nil"/>
          <w:right w:val="nil"/>
        </w:tcBorders>
        <w:shd w:val="clear" w:color="FFFFFF" w:fill="FFFFFF"/>
      </w:tcPr>
    </w:tblStylePr>
    <w:tblStylePr w:type="band1Vert">
      <w:pPr>
        <w:snapToGrid/>
      </w:pPr>
      <w:tblPr/>
      <w:tcPr>
        <w:shd w:val="clear" w:color="FFFFFF" w:fill="CFDBF0" w:themeFill="accent5" w:themeFillTint="40"/>
      </w:tcPr>
    </w:tblStylePr>
    <w:tblStylePr w:type="band2Vert">
      <w:pPr>
        <w:snapToGrid/>
      </w:pPr>
    </w:tblStylePr>
    <w:tblStylePr w:type="band1Horz">
      <w:pPr>
        <w:snapToGrid/>
      </w:pPr>
      <w:rPr>
        <w:rFonts w:ascii="Arial" w:hAnsi="Arial"/>
        <w:color w:val="8DA9DB" w:themeColor="accent5" w:themeShade="95" w:themeTint="9A"/>
        <w:sz w:val="22"/>
      </w:rPr>
      <w:tblPr/>
      <w:tcPr>
        <w:shd w:val="clear" w:color="FFFFFF" w:fill="CFDBF0" w:themeFill="accent5" w:themeFillTint="40"/>
      </w:tcPr>
    </w:tblStylePr>
    <w:tblStylePr w:type="band2Horz">
      <w:pPr>
        <w:snapToGrid/>
      </w:pPr>
      <w:rPr>
        <w:rFonts w:ascii="Arial" w:hAnsi="Arial"/>
        <w:color w:val="8DA9DB" w:themeColor="accent5" w:themeShade="95" w:themeTint="9A"/>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stTable7Colorful-Accent6">
    <w:name w:val="List Table 7 Colorful - Accent 6"/>
    <w:basedOn w:val="TableNormal"/>
    <w:uiPriority w:val="99"/>
    <w:tblPr>
      <w:tblStyleRowBandSize w:val="1"/>
      <w:tblStyleColBandSize w:val="1"/>
      <w:tblBorders>
        <w:right w:val="single" w:sz="4" w:space="0" w:color="A9D08E" w:themeColor="accent6" w:themeTint="98"/>
      </w:tblBorders>
    </w:tblPr>
    <w:tblStylePr w:type="firstRow">
      <w:pPr>
        <w:snapToGrid/>
      </w:pPr>
      <w:rPr>
        <w:rFonts w:ascii="Arial" w:hAnsi="Arial"/>
        <w:i/>
        <w:color w:val="A9D08E" w:themeColor="accent6" w:themeShade="95" w:themeTint="98"/>
        <w:sz w:val="22"/>
      </w:rPr>
      <w:tblPr/>
      <w:tcPr>
        <w:tcBorders>
          <w:top w:val="nil"/>
          <w:left w:val="nil"/>
          <w:bottom w:val="single" w:sz="4" w:space="0" w:color="A9D08E" w:themeColor="accent6" w:themeTint="98"/>
          <w:right w:val="nil"/>
        </w:tcBorders>
        <w:shd w:val="clear" w:color="FFFFFF" w:fill="FFFFFF" w:themeFill="light1"/>
      </w:tcPr>
    </w:tblStylePr>
    <w:tblStylePr w:type="lastRow">
      <w:pPr>
        <w:snapToGrid/>
      </w:pPr>
      <w:rPr>
        <w:rFonts w:ascii="Arial" w:hAnsi="Arial"/>
        <w:i/>
        <w:color w:val="A9D08E" w:themeColor="accent6" w:themeShade="95" w:themeTint="98"/>
        <w:sz w:val="22"/>
      </w:rPr>
      <w:tblPr/>
      <w:tcPr>
        <w:tcBorders>
          <w:top w:val="single" w:sz="4" w:space="0" w:color="A9D08E" w:themeColor="accent6" w:themeTint="98"/>
          <w:left w:val="nil"/>
          <w:bottom w:val="nil"/>
          <w:right w:val="nil"/>
        </w:tcBorders>
        <w:shd w:val="clear" w:color="FFFFFF" w:fill="FFFFFF" w:themeFill="light1"/>
      </w:tcPr>
    </w:tblStylePr>
    <w:tblStylePr w:type="firstCol">
      <w:pPr>
        <w:snapToGrid/>
        <w:jc w:val="right"/>
      </w:pPr>
      <w:rPr>
        <w:rFonts w:ascii="Arial" w:hAnsi="Arial"/>
        <w:i/>
        <w:color w:val="A9D08E" w:themeColor="accent6" w:themeShade="95" w:themeTint="98"/>
        <w:sz w:val="22"/>
      </w:rPr>
      <w:tblPr/>
      <w:tcPr>
        <w:tcBorders>
          <w:top w:val="nil"/>
          <w:left w:val="nil"/>
          <w:bottom w:val="nil"/>
          <w:right w:val="single" w:sz="4" w:space="0" w:color="A9D08E" w:themeColor="accent6" w:themeTint="98"/>
        </w:tcBorders>
        <w:shd w:val="clear" w:color="FFFFFF" w:fill="FFFFFF"/>
      </w:tcPr>
    </w:tblStylePr>
    <w:tblStylePr w:type="lastCol">
      <w:pPr>
        <w:snapToGrid/>
      </w:pPr>
      <w:rPr>
        <w:rFonts w:ascii="Arial" w:hAnsi="Arial"/>
        <w:i/>
        <w:color w:val="A9D08E" w:themeColor="accent6" w:themeShade="95" w:themeTint="98"/>
        <w:sz w:val="22"/>
      </w:rPr>
      <w:tblPr/>
      <w:tcPr>
        <w:tcBorders>
          <w:top w:val="nil"/>
          <w:left w:val="single" w:sz="4" w:space="0" w:color="A9D08E" w:themeColor="accent6" w:themeTint="98"/>
          <w:bottom w:val="nil"/>
          <w:right w:val="nil"/>
        </w:tcBorders>
        <w:shd w:val="clear" w:color="FFFFFF" w:fill="FFFFFF"/>
      </w:tcPr>
    </w:tblStylePr>
    <w:tblStylePr w:type="band1Vert">
      <w:pPr>
        <w:snapToGrid/>
      </w:pPr>
      <w:tblPr/>
      <w:tcPr>
        <w:shd w:val="clear" w:color="FFFFFF" w:fill="DAEBCF" w:themeFill="accent6" w:themeFillTint="40"/>
      </w:tcPr>
    </w:tblStylePr>
    <w:tblStylePr w:type="band2Vert">
      <w:pPr>
        <w:snapToGrid/>
      </w:pPr>
    </w:tblStylePr>
    <w:tblStylePr w:type="band1Horz">
      <w:pPr>
        <w:snapToGrid/>
      </w:pPr>
      <w:rPr>
        <w:rFonts w:ascii="Arial" w:hAnsi="Arial"/>
        <w:color w:val="A9D08E" w:themeColor="accent6" w:themeShade="95" w:themeTint="98"/>
        <w:sz w:val="22"/>
      </w:rPr>
      <w:tblPr/>
      <w:tcPr>
        <w:shd w:val="clear" w:color="FFFFFF" w:fill="DAEBCF" w:themeFill="accent6" w:themeFillTint="40"/>
      </w:tcPr>
    </w:tblStylePr>
    <w:tblStylePr w:type="band2Horz">
      <w:pPr>
        <w:snapToGrid/>
      </w:pPr>
      <w:rPr>
        <w:rFonts w:ascii="Arial" w:hAnsi="Arial"/>
        <w:color w:val="A9D08E" w:themeColor="accent6" w:themeShade="95" w:themeTint="98"/>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
    <w:name w:val="Lined - Accent"/>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1">
    <w:name w:val="Lined - Accent 1"/>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68A2D8" w:themeFill="accent1" w:themeFillTint="EA"/>
      </w:tcPr>
    </w:tblStylePr>
    <w:tblStylePr w:type="lastRow">
      <w:pPr>
        <w:snapToGrid/>
      </w:pPr>
      <w:rPr>
        <w:rFonts w:ascii="Arial" w:hAnsi="Arial"/>
        <w:color w:val="F2F2F2"/>
        <w:sz w:val="22"/>
      </w:rPr>
      <w:tblPr/>
      <w:tcPr>
        <w:shd w:val="clear" w:color="FFFFFF" w:fill="68A2D8" w:themeFill="accent1" w:themeFillTint="EA"/>
      </w:tcPr>
    </w:tblStylePr>
    <w:tblStylePr w:type="firstCol">
      <w:pPr>
        <w:snapToGrid/>
      </w:pPr>
      <w:rPr>
        <w:rFonts w:ascii="Arial" w:hAnsi="Arial"/>
        <w:color w:val="F2F2F2"/>
        <w:sz w:val="22"/>
      </w:rPr>
      <w:tblPr/>
      <w:tcPr>
        <w:shd w:val="clear" w:color="FFFFFF" w:fill="68A2D8" w:themeFill="accent1" w:themeFillTint="EA"/>
      </w:tcPr>
    </w:tblStylePr>
    <w:tblStylePr w:type="lastCol">
      <w:pPr>
        <w:snapToGrid/>
      </w:pPr>
      <w:rPr>
        <w:rFonts w:ascii="Arial" w:hAnsi="Arial"/>
        <w:color w:val="F2F2F2"/>
        <w:sz w:val="22"/>
      </w:rPr>
      <w:tblPr/>
      <w:tcPr>
        <w:shd w:val="clear" w:color="FFFFFF"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2">
    <w:name w:val="Lined - Accent 2"/>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F4B184" w:themeFill="accent2" w:themeFillTint="97"/>
      </w:tcPr>
    </w:tblStylePr>
    <w:tblStylePr w:type="lastRow">
      <w:pPr>
        <w:snapToGrid/>
      </w:pPr>
      <w:rPr>
        <w:rFonts w:ascii="Arial" w:hAnsi="Arial"/>
        <w:color w:val="F2F2F2"/>
        <w:sz w:val="22"/>
      </w:rPr>
      <w:tblPr/>
      <w:tcPr>
        <w:shd w:val="clear" w:color="FFFFFF" w:fill="F4B184" w:themeFill="accent2" w:themeFillTint="97"/>
      </w:tcPr>
    </w:tblStylePr>
    <w:tblStylePr w:type="firstCol">
      <w:pPr>
        <w:snapToGrid/>
      </w:pPr>
      <w:rPr>
        <w:rFonts w:ascii="Arial" w:hAnsi="Arial"/>
        <w:color w:val="F2F2F2"/>
        <w:sz w:val="22"/>
      </w:rPr>
      <w:tblPr/>
      <w:tcPr>
        <w:shd w:val="clear" w:color="FFFFFF" w:fill="F4B184" w:themeFill="accent2" w:themeFillTint="97"/>
      </w:tcPr>
    </w:tblStylePr>
    <w:tblStylePr w:type="lastCol">
      <w:pPr>
        <w:snapToGrid/>
      </w:pPr>
      <w:rPr>
        <w:rFonts w:ascii="Arial" w:hAnsi="Arial"/>
        <w:color w:val="F2F2F2"/>
        <w:sz w:val="22"/>
      </w:rPr>
      <w:tblPr/>
      <w:tcPr>
        <w:shd w:val="clear" w:color="FFFFFF"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3">
    <w:name w:val="Lined - Accent 3"/>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A5A5A5" w:themeFill="accent3" w:themeFillTint="FE"/>
      </w:tcPr>
    </w:tblStylePr>
    <w:tblStylePr w:type="lastRow">
      <w:pPr>
        <w:snapToGrid/>
      </w:pPr>
      <w:rPr>
        <w:rFonts w:ascii="Arial" w:hAnsi="Arial"/>
        <w:color w:val="F2F2F2"/>
        <w:sz w:val="22"/>
      </w:rPr>
      <w:tblPr/>
      <w:tcPr>
        <w:shd w:val="clear" w:color="FFFFFF" w:fill="A5A5A5" w:themeFill="accent3" w:themeFillTint="FE"/>
      </w:tcPr>
    </w:tblStylePr>
    <w:tblStylePr w:type="firstCol">
      <w:pPr>
        <w:snapToGrid/>
      </w:pPr>
      <w:rPr>
        <w:rFonts w:ascii="Arial" w:hAnsi="Arial"/>
        <w:color w:val="F2F2F2"/>
        <w:sz w:val="22"/>
      </w:rPr>
      <w:tblPr/>
      <w:tcPr>
        <w:shd w:val="clear" w:color="FFFFFF" w:fill="A5A5A5" w:themeFill="accent3" w:themeFillTint="FE"/>
      </w:tcPr>
    </w:tblStylePr>
    <w:tblStylePr w:type="lastCol">
      <w:pPr>
        <w:snapToGrid/>
      </w:pPr>
      <w:rPr>
        <w:rFonts w:ascii="Arial" w:hAnsi="Arial"/>
        <w:color w:val="F2F2F2"/>
        <w:sz w:val="22"/>
      </w:rPr>
      <w:tblPr/>
      <w:tcPr>
        <w:shd w:val="clear" w:color="FFFFFF"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4">
    <w:name w:val="Lined - Accent 4"/>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FFD865" w:themeFill="accent4" w:themeFillTint="9A"/>
      </w:tcPr>
    </w:tblStylePr>
    <w:tblStylePr w:type="lastRow">
      <w:pPr>
        <w:snapToGrid/>
      </w:pPr>
      <w:rPr>
        <w:rFonts w:ascii="Arial" w:hAnsi="Arial"/>
        <w:color w:val="F2F2F2"/>
        <w:sz w:val="22"/>
      </w:rPr>
      <w:tblPr/>
      <w:tcPr>
        <w:shd w:val="clear" w:color="FFFFFF" w:fill="FFD865" w:themeFill="accent4" w:themeFillTint="9A"/>
      </w:tcPr>
    </w:tblStylePr>
    <w:tblStylePr w:type="firstCol">
      <w:pPr>
        <w:snapToGrid/>
      </w:pPr>
      <w:rPr>
        <w:rFonts w:ascii="Arial" w:hAnsi="Arial"/>
        <w:color w:val="F2F2F2"/>
        <w:sz w:val="22"/>
      </w:rPr>
      <w:tblPr/>
      <w:tcPr>
        <w:shd w:val="clear" w:color="FFFFFF" w:fill="FFD865" w:themeFill="accent4" w:themeFillTint="9A"/>
      </w:tcPr>
    </w:tblStylePr>
    <w:tblStylePr w:type="lastCol">
      <w:pPr>
        <w:snapToGrid/>
      </w:pPr>
      <w:rPr>
        <w:rFonts w:ascii="Arial" w:hAnsi="Arial"/>
        <w:color w:val="F2F2F2"/>
        <w:sz w:val="22"/>
      </w:rPr>
      <w:tblPr/>
      <w:tcPr>
        <w:shd w:val="clear" w:color="FFFFFF"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5">
    <w:name w:val="Lined - Accent 5"/>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4472C4" w:themeFill="accent5"/>
      </w:tcPr>
    </w:tblStylePr>
    <w:tblStylePr w:type="lastRow">
      <w:pPr>
        <w:snapToGrid/>
      </w:pPr>
      <w:rPr>
        <w:rFonts w:ascii="Arial" w:hAnsi="Arial"/>
        <w:color w:val="F2F2F2"/>
        <w:sz w:val="22"/>
      </w:rPr>
      <w:tblPr/>
      <w:tcPr>
        <w:shd w:val="clear" w:color="FFFFFF" w:fill="4472C4" w:themeFill="accent5"/>
      </w:tcPr>
    </w:tblStylePr>
    <w:tblStylePr w:type="firstCol">
      <w:pPr>
        <w:snapToGrid/>
      </w:pPr>
      <w:rPr>
        <w:rFonts w:ascii="Arial" w:hAnsi="Arial"/>
        <w:color w:val="F2F2F2"/>
        <w:sz w:val="22"/>
      </w:rPr>
      <w:tblPr/>
      <w:tcPr>
        <w:shd w:val="clear" w:color="FFFFFF" w:fill="4472C4" w:themeFill="accent5"/>
      </w:tcPr>
    </w:tblStylePr>
    <w:tblStylePr w:type="lastCol">
      <w:pPr>
        <w:snapToGrid/>
      </w:pPr>
      <w:rPr>
        <w:rFonts w:ascii="Arial" w:hAnsi="Arial"/>
        <w:color w:val="F2F2F2"/>
        <w:sz w:val="22"/>
      </w:rPr>
      <w:tblPr/>
      <w:tcPr>
        <w:shd w:val="clear" w:color="FFFFFF"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Lined-Accent6">
    <w:name w:val="Lined - Accent 6"/>
    <w:basedOn w:val="TableNormal"/>
    <w:uiPriority w:val="99"/>
    <w:rPr>
      <w:color w:val="404040"/>
    </w:rPr>
    <w:tblPr>
      <w:tblStyleRowBandSize w:val="1"/>
      <w:tblStyleColBandSize w:val="1"/>
    </w:tblPr>
    <w:tblStylePr w:type="firstRow">
      <w:pPr>
        <w:snapToGrid/>
      </w:pPr>
      <w:rPr>
        <w:rFonts w:ascii="Arial" w:hAnsi="Arial"/>
        <w:color w:val="F2F2F2"/>
        <w:sz w:val="22"/>
      </w:rPr>
      <w:tblPr/>
      <w:tcPr>
        <w:shd w:val="clear" w:color="FFFFFF" w:fill="70AD47" w:themeFill="accent6"/>
      </w:tcPr>
    </w:tblStylePr>
    <w:tblStylePr w:type="lastRow">
      <w:pPr>
        <w:snapToGrid/>
      </w:pPr>
      <w:rPr>
        <w:rFonts w:ascii="Arial" w:hAnsi="Arial"/>
        <w:color w:val="F2F2F2"/>
        <w:sz w:val="22"/>
      </w:rPr>
      <w:tblPr/>
      <w:tcPr>
        <w:shd w:val="clear" w:color="FFFFFF" w:fill="70AD47" w:themeFill="accent6"/>
      </w:tcPr>
    </w:tblStylePr>
    <w:tblStylePr w:type="firstCol">
      <w:pPr>
        <w:snapToGrid/>
      </w:pPr>
      <w:rPr>
        <w:rFonts w:ascii="Arial" w:hAnsi="Arial"/>
        <w:color w:val="F2F2F2"/>
        <w:sz w:val="22"/>
      </w:rPr>
      <w:tblPr/>
      <w:tcPr>
        <w:shd w:val="clear" w:color="FFFFFF" w:fill="70AD47" w:themeFill="accent6"/>
      </w:tcPr>
    </w:tblStylePr>
    <w:tblStylePr w:type="lastCol">
      <w:pPr>
        <w:snapToGrid/>
      </w:pPr>
      <w:rPr>
        <w:rFonts w:ascii="Arial" w:hAnsi="Arial"/>
        <w:color w:val="F2F2F2"/>
        <w:sz w:val="22"/>
      </w:rPr>
      <w:tblPr/>
      <w:tcPr>
        <w:shd w:val="clear" w:color="FFFFFF"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pPr>
        <w:snapToGrid/>
      </w:pPr>
      <w:rPr>
        <w:rFonts w:ascii="Arial" w:hAnsi="Arial"/>
        <w:color w:val="F2F2F2"/>
        <w:sz w:val="22"/>
      </w:rPr>
      <w:tblPr/>
      <w:tcPr>
        <w:shd w:val="clear" w:color="FFFFFF" w:fill="7F7F7F" w:themeFill="text1" w:themeFillTint="80"/>
      </w:tcPr>
    </w:tblStylePr>
    <w:tblStylePr w:type="lastRow">
      <w:pPr>
        <w:snapToGrid/>
      </w:pPr>
      <w:rPr>
        <w:rFonts w:ascii="Arial" w:hAnsi="Arial"/>
        <w:color w:val="F2F2F2"/>
        <w:sz w:val="22"/>
      </w:rPr>
      <w:tblPr/>
      <w:tcPr>
        <w:shd w:val="clear" w:color="FFFFFF" w:fill="7F7F7F" w:themeFill="text1" w:themeFillTint="80"/>
      </w:tcPr>
    </w:tblStylePr>
    <w:tblStylePr w:type="firstCol">
      <w:pPr>
        <w:snapToGrid/>
      </w:pPr>
      <w:rPr>
        <w:rFonts w:ascii="Arial" w:hAnsi="Arial"/>
        <w:color w:val="F2F2F2"/>
        <w:sz w:val="22"/>
      </w:rPr>
      <w:tblPr/>
      <w:tcPr>
        <w:shd w:val="clear" w:color="FFFFFF" w:fill="7F7F7F" w:themeFill="text1" w:themeFillTint="80"/>
      </w:tcPr>
    </w:tblStylePr>
    <w:tblStylePr w:type="lastCol">
      <w:pPr>
        <w:snapToGrid/>
      </w:pPr>
      <w:rPr>
        <w:rFonts w:ascii="Arial" w:hAnsi="Arial"/>
        <w:color w:val="F2F2F2"/>
        <w:sz w:val="22"/>
      </w:rPr>
      <w:tblPr/>
      <w:tcPr>
        <w:shd w:val="clear" w:color="FFFFFF" w:fill="7F7F7F" w:themeFill="text1" w:themeFillTint="80"/>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2F2F2" w:themeFill="text1" w:themeFillTint="0D"/>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2F2F2" w:themeFill="text1" w:themeFillTint="0D"/>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pPr>
        <w:snapToGrid/>
      </w:pPr>
      <w:rPr>
        <w:rFonts w:ascii="Arial" w:hAnsi="Arial"/>
        <w:color w:val="F2F2F2"/>
        <w:sz w:val="22"/>
      </w:rPr>
      <w:tblPr/>
      <w:tcPr>
        <w:shd w:val="clear" w:color="FFFFFF" w:fill="68A2D8" w:themeFill="accent1" w:themeFillTint="EA"/>
      </w:tcPr>
    </w:tblStylePr>
    <w:tblStylePr w:type="lastRow">
      <w:pPr>
        <w:snapToGrid/>
      </w:pPr>
      <w:rPr>
        <w:rFonts w:ascii="Arial" w:hAnsi="Arial"/>
        <w:color w:val="F2F2F2"/>
        <w:sz w:val="22"/>
      </w:rPr>
      <w:tblPr/>
      <w:tcPr>
        <w:shd w:val="clear" w:color="FFFFFF" w:fill="68A2D8" w:themeFill="accent1" w:themeFillTint="EA"/>
      </w:tcPr>
    </w:tblStylePr>
    <w:tblStylePr w:type="firstCol">
      <w:pPr>
        <w:snapToGrid/>
      </w:pPr>
      <w:rPr>
        <w:rFonts w:ascii="Arial" w:hAnsi="Arial"/>
        <w:color w:val="F2F2F2"/>
        <w:sz w:val="22"/>
      </w:rPr>
      <w:tblPr/>
      <w:tcPr>
        <w:shd w:val="clear" w:color="FFFFFF" w:fill="68A2D8" w:themeFill="accent1" w:themeFillTint="EA"/>
      </w:tcPr>
    </w:tblStylePr>
    <w:tblStylePr w:type="lastCol">
      <w:pPr>
        <w:snapToGrid/>
      </w:pPr>
      <w:rPr>
        <w:rFonts w:ascii="Arial" w:hAnsi="Arial"/>
        <w:color w:val="F2F2F2"/>
        <w:sz w:val="22"/>
      </w:rPr>
      <w:tblPr/>
      <w:tcPr>
        <w:shd w:val="clear" w:color="FFFFFF" w:fill="68A2D8" w:themeFill="accent1" w:themeFillTint="E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CBDFF1" w:themeFill="accent1" w:themeFillTint="50"/>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CBDFF1" w:themeFill="accent1" w:themeFillTint="50"/>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pPr>
        <w:snapToGrid/>
      </w:pPr>
      <w:rPr>
        <w:rFonts w:ascii="Arial" w:hAnsi="Arial"/>
        <w:color w:val="F2F2F2"/>
        <w:sz w:val="22"/>
      </w:rPr>
      <w:tblPr/>
      <w:tcPr>
        <w:shd w:val="clear" w:color="FFFFFF" w:fill="F4B184" w:themeFill="accent2" w:themeFillTint="97"/>
      </w:tcPr>
    </w:tblStylePr>
    <w:tblStylePr w:type="lastRow">
      <w:pPr>
        <w:snapToGrid/>
      </w:pPr>
      <w:rPr>
        <w:rFonts w:ascii="Arial" w:hAnsi="Arial"/>
        <w:color w:val="F2F2F2"/>
        <w:sz w:val="22"/>
      </w:rPr>
      <w:tblPr/>
      <w:tcPr>
        <w:shd w:val="clear" w:color="FFFFFF" w:fill="F4B184" w:themeFill="accent2" w:themeFillTint="97"/>
      </w:tcPr>
    </w:tblStylePr>
    <w:tblStylePr w:type="firstCol">
      <w:pPr>
        <w:snapToGrid/>
      </w:pPr>
      <w:rPr>
        <w:rFonts w:ascii="Arial" w:hAnsi="Arial"/>
        <w:color w:val="F2F2F2"/>
        <w:sz w:val="22"/>
      </w:rPr>
      <w:tblPr/>
      <w:tcPr>
        <w:shd w:val="clear" w:color="FFFFFF" w:fill="F4B184" w:themeFill="accent2" w:themeFillTint="97"/>
      </w:tcPr>
    </w:tblStylePr>
    <w:tblStylePr w:type="lastCol">
      <w:pPr>
        <w:snapToGrid/>
      </w:pPr>
      <w:rPr>
        <w:rFonts w:ascii="Arial" w:hAnsi="Arial"/>
        <w:color w:val="F2F2F2"/>
        <w:sz w:val="22"/>
      </w:rPr>
      <w:tblPr/>
      <w:tcPr>
        <w:shd w:val="clear" w:color="FFFFFF" w:fill="F4B184" w:themeFill="accent2" w:themeFillTint="97"/>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BE5D6" w:themeFill="accent2" w:themeFillTint="32"/>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BE5D6" w:themeFill="accent2" w:themeFillTint="32"/>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pPr>
        <w:snapToGrid/>
      </w:pPr>
      <w:rPr>
        <w:rFonts w:ascii="Arial" w:hAnsi="Arial"/>
        <w:color w:val="F2F2F2"/>
        <w:sz w:val="22"/>
      </w:rPr>
      <w:tblPr/>
      <w:tcPr>
        <w:shd w:val="clear" w:color="FFFFFF" w:fill="A5A5A5" w:themeFill="accent3" w:themeFillTint="FE"/>
      </w:tcPr>
    </w:tblStylePr>
    <w:tblStylePr w:type="lastRow">
      <w:pPr>
        <w:snapToGrid/>
      </w:pPr>
      <w:rPr>
        <w:rFonts w:ascii="Arial" w:hAnsi="Arial"/>
        <w:color w:val="F2F2F2"/>
        <w:sz w:val="22"/>
      </w:rPr>
      <w:tblPr/>
      <w:tcPr>
        <w:shd w:val="clear" w:color="FFFFFF" w:fill="A5A5A5" w:themeFill="accent3" w:themeFillTint="FE"/>
      </w:tcPr>
    </w:tblStylePr>
    <w:tblStylePr w:type="firstCol">
      <w:pPr>
        <w:snapToGrid/>
      </w:pPr>
      <w:rPr>
        <w:rFonts w:ascii="Arial" w:hAnsi="Arial"/>
        <w:color w:val="F2F2F2"/>
        <w:sz w:val="22"/>
      </w:rPr>
      <w:tblPr/>
      <w:tcPr>
        <w:shd w:val="clear" w:color="FFFFFF" w:fill="A5A5A5" w:themeFill="accent3" w:themeFillTint="FE"/>
      </w:tcPr>
    </w:tblStylePr>
    <w:tblStylePr w:type="lastCol">
      <w:pPr>
        <w:snapToGrid/>
      </w:pPr>
      <w:rPr>
        <w:rFonts w:ascii="Arial" w:hAnsi="Arial"/>
        <w:color w:val="F2F2F2"/>
        <w:sz w:val="22"/>
      </w:rPr>
      <w:tblPr/>
      <w:tcPr>
        <w:shd w:val="clear" w:color="FFFFFF" w:fill="A5A5A5" w:themeFill="accent3" w:themeFillTint="FE"/>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CECEC" w:themeFill="accent3"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CECEC" w:themeFill="accent3"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pPr>
        <w:snapToGrid/>
      </w:pPr>
      <w:rPr>
        <w:rFonts w:ascii="Arial" w:hAnsi="Arial"/>
        <w:color w:val="F2F2F2"/>
        <w:sz w:val="22"/>
      </w:rPr>
      <w:tblPr/>
      <w:tcPr>
        <w:shd w:val="clear" w:color="FFFFFF" w:fill="FFD865" w:themeFill="accent4" w:themeFillTint="9A"/>
      </w:tcPr>
    </w:tblStylePr>
    <w:tblStylePr w:type="lastRow">
      <w:pPr>
        <w:snapToGrid/>
      </w:pPr>
      <w:rPr>
        <w:rFonts w:ascii="Arial" w:hAnsi="Arial"/>
        <w:color w:val="F2F2F2"/>
        <w:sz w:val="22"/>
      </w:rPr>
      <w:tblPr/>
      <w:tcPr>
        <w:shd w:val="clear" w:color="FFFFFF" w:fill="FFD865" w:themeFill="accent4" w:themeFillTint="9A"/>
      </w:tcPr>
    </w:tblStylePr>
    <w:tblStylePr w:type="firstCol">
      <w:pPr>
        <w:snapToGrid/>
      </w:pPr>
      <w:rPr>
        <w:rFonts w:ascii="Arial" w:hAnsi="Arial"/>
        <w:color w:val="F2F2F2"/>
        <w:sz w:val="22"/>
      </w:rPr>
      <w:tblPr/>
      <w:tcPr>
        <w:shd w:val="clear" w:color="FFFFFF" w:fill="FFD865" w:themeFill="accent4" w:themeFillTint="9A"/>
      </w:tcPr>
    </w:tblStylePr>
    <w:tblStylePr w:type="lastCol">
      <w:pPr>
        <w:snapToGrid/>
      </w:pPr>
      <w:rPr>
        <w:rFonts w:ascii="Arial" w:hAnsi="Arial"/>
        <w:color w:val="F2F2F2"/>
        <w:sz w:val="22"/>
      </w:rPr>
      <w:tblPr/>
      <w:tcPr>
        <w:shd w:val="clear" w:color="FFFFFF" w:fill="FFD865" w:themeFill="accent4" w:themeFillTint="9A"/>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FFF2CB" w:themeFill="accent4"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FFF2CB" w:themeFill="accent4"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pPr>
        <w:snapToGrid/>
      </w:pPr>
      <w:rPr>
        <w:rFonts w:ascii="Arial" w:hAnsi="Arial"/>
        <w:color w:val="F2F2F2"/>
        <w:sz w:val="22"/>
      </w:rPr>
      <w:tblPr/>
      <w:tcPr>
        <w:shd w:val="clear" w:color="FFFFFF" w:fill="4472C4" w:themeFill="accent5"/>
      </w:tcPr>
    </w:tblStylePr>
    <w:tblStylePr w:type="lastRow">
      <w:pPr>
        <w:snapToGrid/>
      </w:pPr>
      <w:rPr>
        <w:rFonts w:ascii="Arial" w:hAnsi="Arial"/>
        <w:color w:val="F2F2F2"/>
        <w:sz w:val="22"/>
      </w:rPr>
      <w:tblPr/>
      <w:tcPr>
        <w:shd w:val="clear" w:color="FFFFFF" w:fill="4472C4" w:themeFill="accent5"/>
      </w:tcPr>
    </w:tblStylePr>
    <w:tblStylePr w:type="firstCol">
      <w:pPr>
        <w:snapToGrid/>
      </w:pPr>
      <w:rPr>
        <w:rFonts w:ascii="Arial" w:hAnsi="Arial"/>
        <w:color w:val="F2F2F2"/>
        <w:sz w:val="22"/>
      </w:rPr>
      <w:tblPr/>
      <w:tcPr>
        <w:shd w:val="clear" w:color="FFFFFF" w:fill="4472C4" w:themeFill="accent5"/>
      </w:tcPr>
    </w:tblStylePr>
    <w:tblStylePr w:type="lastCol">
      <w:pPr>
        <w:snapToGrid/>
      </w:pPr>
      <w:rPr>
        <w:rFonts w:ascii="Arial" w:hAnsi="Arial"/>
        <w:color w:val="F2F2F2"/>
        <w:sz w:val="22"/>
      </w:rPr>
      <w:tblPr/>
      <w:tcPr>
        <w:shd w:val="clear" w:color="FFFFFF" w:fill="4472C4" w:themeFill="accent5"/>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D8E2F3" w:themeFill="accent5"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D8E2F3" w:themeFill="accent5"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pPr>
        <w:snapToGrid/>
      </w:pPr>
      <w:rPr>
        <w:rFonts w:ascii="Arial" w:hAnsi="Arial"/>
        <w:color w:val="F2F2F2"/>
        <w:sz w:val="22"/>
      </w:rPr>
      <w:tblPr/>
      <w:tcPr>
        <w:shd w:val="clear" w:color="FFFFFF" w:fill="70AD47" w:themeFill="accent6"/>
      </w:tcPr>
    </w:tblStylePr>
    <w:tblStylePr w:type="lastRow">
      <w:pPr>
        <w:snapToGrid/>
      </w:pPr>
      <w:rPr>
        <w:rFonts w:ascii="Arial" w:hAnsi="Arial"/>
        <w:color w:val="F2F2F2"/>
        <w:sz w:val="22"/>
      </w:rPr>
      <w:tblPr/>
      <w:tcPr>
        <w:shd w:val="clear" w:color="FFFFFF" w:fill="70AD47" w:themeFill="accent6"/>
      </w:tcPr>
    </w:tblStylePr>
    <w:tblStylePr w:type="firstCol">
      <w:pPr>
        <w:snapToGrid/>
      </w:pPr>
      <w:rPr>
        <w:rFonts w:ascii="Arial" w:hAnsi="Arial"/>
        <w:color w:val="F2F2F2"/>
        <w:sz w:val="22"/>
      </w:rPr>
      <w:tblPr/>
      <w:tcPr>
        <w:shd w:val="clear" w:color="FFFFFF" w:fill="70AD47" w:themeFill="accent6"/>
      </w:tcPr>
    </w:tblStylePr>
    <w:tblStylePr w:type="lastCol">
      <w:pPr>
        <w:snapToGrid/>
      </w:pPr>
      <w:rPr>
        <w:rFonts w:ascii="Arial" w:hAnsi="Arial"/>
        <w:color w:val="F2F2F2"/>
        <w:sz w:val="22"/>
      </w:rPr>
      <w:tblPr/>
      <w:tcPr>
        <w:shd w:val="clear" w:color="FFFFFF" w:fill="70AD47" w:themeFill="accent6"/>
      </w:tcPr>
    </w:tblStylePr>
    <w:tblStylePr w:type="band1Vert">
      <w:pPr>
        <w:snapToGrid/>
      </w:pPr>
      <w:rPr>
        <w:rFonts w:ascii="Arial" w:hAnsi="Arial"/>
        <w:color w:val="404040"/>
        <w:sz w:val="22"/>
      </w:rPr>
    </w:tblStylePr>
    <w:tblStylePr w:type="band2Vert">
      <w:pPr>
        <w:snapToGrid/>
      </w:pPr>
      <w:rPr>
        <w:rFonts w:ascii="Arial" w:hAnsi="Arial"/>
        <w:color w:val="404040"/>
        <w:sz w:val="22"/>
      </w:rPr>
      <w:tblPr/>
      <w:tcPr>
        <w:shd w:val="clear" w:color="FFFFFF" w:fill="E1EFD8" w:themeFill="accent6" w:themeFillTint="34"/>
      </w:tcPr>
    </w:tblStylePr>
    <w:tblStylePr w:type="band1Horz">
      <w:pPr>
        <w:snapToGrid/>
      </w:pPr>
      <w:rPr>
        <w:rFonts w:ascii="Arial" w:hAnsi="Arial"/>
        <w:color w:val="404040"/>
        <w:sz w:val="22"/>
      </w:rPr>
    </w:tblStylePr>
    <w:tblStylePr w:type="band2Horz">
      <w:pPr>
        <w:snapToGrid/>
      </w:pPr>
      <w:rPr>
        <w:rFonts w:ascii="Arial" w:hAnsi="Arial"/>
        <w:color w:val="404040"/>
        <w:sz w:val="22"/>
      </w:rPr>
      <w:tblPr/>
      <w:tcPr>
        <w:shd w:val="clear" w:color="FFFFFF" w:fill="E1EFD8" w:themeFill="accent6" w:themeFillTint="34"/>
      </w:tc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pPr>
        <w:snapToGrid/>
      </w:pPr>
      <w:rPr>
        <w:rFonts w:ascii="Arial" w:hAnsi="Arial"/>
        <w:color w:val="404040"/>
        <w:sz w:val="22"/>
      </w:rPr>
      <w:tblPr/>
      <w:tcPr>
        <w:tcBorders>
          <w:bottom w:val="single" w:sz="12" w:space="0" w:color="7F7F7F" w:themeColor="text1" w:themeTint="80"/>
        </w:tcBorders>
      </w:tcPr>
    </w:tblStylePr>
    <w:tblStylePr w:type="lastRow">
      <w:pPr>
        <w:snapToGrid/>
      </w:pPr>
      <w:rPr>
        <w:rFonts w:ascii="Arial" w:hAnsi="Arial"/>
        <w:color w:val="404040"/>
        <w:sz w:val="22"/>
      </w:rPr>
      <w:tblPr/>
      <w:tcPr>
        <w:tcBorders>
          <w:top w:val="single" w:sz="12" w:space="0" w:color="7F7F7F" w:themeColor="text1" w:themeTint="80"/>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7F7F7F" w:themeColor="text1" w:themeTint="80"/>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1">
    <w:name w:val="Bordered - Accent 1"/>
    <w:basedOn w:val="TableNormal"/>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pPr>
        <w:snapToGrid/>
      </w:pPr>
      <w:rPr>
        <w:rFonts w:ascii="Arial" w:hAnsi="Arial"/>
        <w:color w:val="404040"/>
        <w:sz w:val="22"/>
      </w:rPr>
      <w:tblPr/>
      <w:tcPr>
        <w:tcBorders>
          <w:bottom w:val="single" w:sz="12" w:space="0" w:color="5B9BD5" w:themeColor="accent1"/>
        </w:tcBorders>
      </w:tcPr>
    </w:tblStylePr>
    <w:tblStylePr w:type="lastRow">
      <w:pPr>
        <w:snapToGrid/>
      </w:pPr>
      <w:rPr>
        <w:rFonts w:ascii="Arial" w:hAnsi="Arial"/>
        <w:color w:val="404040"/>
        <w:sz w:val="22"/>
      </w:rPr>
      <w:tblPr/>
      <w:tcPr>
        <w:tcBorders>
          <w:top w:val="single" w:sz="12" w:space="0" w:color="5B9BD5" w:themeColor="accent1"/>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5B9BD5" w:themeColor="accent1"/>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pPr>
        <w:snapToGrid/>
      </w:pPr>
      <w:rPr>
        <w:rFonts w:ascii="Arial" w:hAnsi="Arial"/>
        <w:color w:val="404040"/>
        <w:sz w:val="22"/>
      </w:rPr>
      <w:tblPr/>
      <w:tcPr>
        <w:tcBorders>
          <w:bottom w:val="single" w:sz="12" w:space="0" w:color="F4B184" w:themeColor="accent2" w:themeTint="97"/>
        </w:tcBorders>
      </w:tcPr>
    </w:tblStylePr>
    <w:tblStylePr w:type="lastRow">
      <w:pPr>
        <w:snapToGrid/>
      </w:pPr>
      <w:rPr>
        <w:rFonts w:ascii="Arial" w:hAnsi="Arial"/>
        <w:color w:val="404040"/>
        <w:sz w:val="22"/>
      </w:rPr>
      <w:tblPr/>
      <w:tcPr>
        <w:tcBorders>
          <w:top w:val="single" w:sz="12" w:space="0" w:color="F4B184" w:themeColor="accent2" w:themeTint="97"/>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4B184" w:themeColor="accent2" w:themeTint="97"/>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pPr>
        <w:snapToGrid/>
      </w:pPr>
      <w:rPr>
        <w:rFonts w:ascii="Arial" w:hAnsi="Arial"/>
        <w:color w:val="404040"/>
        <w:sz w:val="22"/>
      </w:rPr>
      <w:tblPr/>
      <w:tcPr>
        <w:tcBorders>
          <w:bottom w:val="single" w:sz="12" w:space="0" w:color="C9C9C9" w:themeColor="accent3" w:themeTint="98"/>
        </w:tcBorders>
      </w:tcPr>
    </w:tblStylePr>
    <w:tblStylePr w:type="lastRow">
      <w:pPr>
        <w:snapToGrid/>
      </w:pPr>
      <w:rPr>
        <w:rFonts w:ascii="Arial" w:hAnsi="Arial"/>
        <w:color w:val="404040"/>
        <w:sz w:val="22"/>
      </w:rPr>
      <w:tblPr/>
      <w:tcPr>
        <w:tcBorders>
          <w:top w:val="single" w:sz="12" w:space="0" w:color="C9C9C9" w:themeColor="accent3"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C9C9C9" w:themeColor="accent3"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pPr>
        <w:snapToGrid/>
      </w:pPr>
      <w:rPr>
        <w:rFonts w:ascii="Arial" w:hAnsi="Arial"/>
        <w:color w:val="404040"/>
        <w:sz w:val="22"/>
      </w:rPr>
      <w:tblPr/>
      <w:tcPr>
        <w:tcBorders>
          <w:bottom w:val="single" w:sz="12" w:space="0" w:color="FFD865" w:themeColor="accent4" w:themeTint="9A"/>
        </w:tcBorders>
      </w:tcPr>
    </w:tblStylePr>
    <w:tblStylePr w:type="lastRow">
      <w:pPr>
        <w:snapToGrid/>
      </w:pPr>
      <w:rPr>
        <w:rFonts w:ascii="Arial" w:hAnsi="Arial"/>
        <w:color w:val="404040"/>
        <w:sz w:val="22"/>
      </w:rPr>
      <w:tblPr/>
      <w:tcPr>
        <w:tcBorders>
          <w:top w:val="single" w:sz="12" w:space="0" w:color="FFD865" w:themeColor="accent4"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FFD865" w:themeColor="accent4"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5">
    <w:name w:val="Bordered - Accent 5"/>
    <w:basedOn w:val="TableNormal"/>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pPr>
        <w:snapToGrid/>
      </w:pPr>
      <w:rPr>
        <w:rFonts w:ascii="Arial" w:hAnsi="Arial"/>
        <w:color w:val="404040"/>
        <w:sz w:val="22"/>
      </w:rPr>
      <w:tblPr/>
      <w:tcPr>
        <w:tcBorders>
          <w:bottom w:val="single" w:sz="12" w:space="0" w:color="8DA9DB" w:themeColor="accent5" w:themeTint="9A"/>
        </w:tcBorders>
      </w:tcPr>
    </w:tblStylePr>
    <w:tblStylePr w:type="lastRow">
      <w:pPr>
        <w:snapToGrid/>
      </w:pPr>
      <w:rPr>
        <w:rFonts w:ascii="Arial" w:hAnsi="Arial"/>
        <w:color w:val="404040"/>
        <w:sz w:val="22"/>
      </w:rPr>
      <w:tblPr/>
      <w:tcPr>
        <w:tcBorders>
          <w:top w:val="single" w:sz="12" w:space="0" w:color="8DA9DB" w:themeColor="accent5" w:themeTint="9A"/>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8DA9DB" w:themeColor="accent5" w:themeTint="9A"/>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pPr>
        <w:snapToGrid/>
      </w:pPr>
      <w:rPr>
        <w:rFonts w:ascii="Arial" w:hAnsi="Arial"/>
        <w:color w:val="404040"/>
        <w:sz w:val="22"/>
      </w:rPr>
      <w:tblPr/>
      <w:tcPr>
        <w:tcBorders>
          <w:bottom w:val="single" w:sz="12" w:space="0" w:color="A9D08E" w:themeColor="accent6" w:themeTint="98"/>
        </w:tcBorders>
      </w:tcPr>
    </w:tblStylePr>
    <w:tblStylePr w:type="lastRow">
      <w:pPr>
        <w:snapToGrid/>
      </w:pPr>
      <w:rPr>
        <w:rFonts w:ascii="Arial" w:hAnsi="Arial"/>
        <w:color w:val="404040"/>
        <w:sz w:val="22"/>
      </w:rPr>
      <w:tblPr/>
      <w:tcPr>
        <w:tcBorders>
          <w:top w:val="single" w:sz="12" w:space="0" w:color="A9D08E" w:themeColor="accent6" w:themeTint="98"/>
        </w:tcBorders>
      </w:tcPr>
    </w:tblStylePr>
    <w:tblStylePr w:type="firstCol">
      <w:pPr>
        <w:snapToGrid/>
      </w:pPr>
      <w:rPr>
        <w:rFonts w:ascii="Arial" w:hAnsi="Arial"/>
        <w:color w:val="404040"/>
        <w:sz w:val="22"/>
      </w:rPr>
    </w:tblStylePr>
    <w:tblStylePr w:type="lastCol">
      <w:pPr>
        <w:snapToGrid/>
      </w:pPr>
      <w:rPr>
        <w:rFonts w:ascii="Arial" w:hAnsi="Arial"/>
        <w:color w:val="404040"/>
        <w:sz w:val="22"/>
      </w:rPr>
      <w:tblPr/>
      <w:tcPr>
        <w:tcBorders>
          <w:left w:val="single" w:sz="12" w:space="0" w:color="A9D08E" w:themeColor="accent6" w:themeTint="98"/>
        </w:tcBorders>
      </w:tc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0563C1" w:themeColor="hyperlink"/>
      <w:u w:val="single"/>
    </w:rPr>
  </w:style>
  <w:style w:type="paragraph" w:styleId="FootnoteText">
    <w:name w:val="footnote text"/>
    <w:basedOn w:val="Normal"/>
    <w:link w:val="a5"/>
    <w:uiPriority w:val="99"/>
    <w:semiHidden/>
    <w:unhideWhenUsed/>
    <w:pPr>
      <w:spacing w:after="40"/>
    </w:pPr>
    <w:rPr>
      <w:sz w:val="18"/>
    </w:rPr>
  </w:style>
  <w:style w:type="character" w:customStyle="1" w:styleId="a5">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6"/>
    <w:uiPriority w:val="99"/>
    <w:semiHidden/>
    <w:unhideWhenUsed/>
    <w:rPr>
      <w:sz w:val="20"/>
    </w:rPr>
  </w:style>
  <w:style w:type="character" w:customStyle="1" w:styleId="a6">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otalTime>0</TotalTime>
  <Pages>80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2052-11.8.2.1111</vt:lpwstr>
  </property>
</Properties>
</file>