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AECB38" w14:textId="77777777" w:rsidR="002123B7" w:rsidRDefault="002123B7">
      <w:pPr>
        <w:spacing w:line="360" w:lineRule="auto"/>
        <w:ind w:firstLineChars="200" w:firstLine="480"/>
        <w:jc w:val="both"/>
        <w:rPr>
          <w:rFonts w:ascii="仿宋" w:eastAsia="仿宋" w:hAnsi="仿宋"/>
          <w:sz w:val="24"/>
          <w:szCs w:val="24"/>
        </w:rPr>
      </w:pPr>
    </w:p>
    <w:p w14:paraId="7FB70978" w14:textId="77777777" w:rsidR="002123B7" w:rsidRDefault="002123B7">
      <w:pPr>
        <w:spacing w:line="360" w:lineRule="auto"/>
        <w:ind w:firstLineChars="200" w:firstLine="480"/>
        <w:jc w:val="both"/>
        <w:rPr>
          <w:rFonts w:ascii="仿宋" w:eastAsia="仿宋" w:hAnsi="仿宋"/>
          <w:sz w:val="24"/>
          <w:szCs w:val="24"/>
        </w:rPr>
      </w:pPr>
    </w:p>
    <w:p w14:paraId="2BF3308A" w14:textId="77777777" w:rsidR="002123B7" w:rsidRDefault="002123B7">
      <w:pPr>
        <w:spacing w:line="360" w:lineRule="auto"/>
        <w:jc w:val="both"/>
        <w:rPr>
          <w:rFonts w:ascii="微软雅黑" w:eastAsia="微软雅黑"/>
          <w:b/>
          <w:sz w:val="48"/>
        </w:rPr>
      </w:pPr>
    </w:p>
    <w:p w14:paraId="2B99DFFF" w14:textId="77777777" w:rsidR="007302B0" w:rsidRDefault="00D8519F">
      <w:pPr>
        <w:spacing w:line="360" w:lineRule="auto"/>
        <w:jc w:val="center"/>
        <w:rPr>
          <w:rFonts w:ascii="Times New Roman" w:eastAsiaTheme="minorEastAsia" w:hAnsi="Times New Roman"/>
          <w:b/>
          <w:sz w:val="48"/>
        </w:rPr>
      </w:pPr>
      <w:r>
        <w:rPr>
          <w:rFonts w:ascii="Times New Roman" w:eastAsiaTheme="minorEastAsia" w:hAnsi="Times New Roman" w:hint="eastAsia"/>
          <w:b/>
          <w:sz w:val="48"/>
        </w:rPr>
        <w:t>华宝创业板电池</w:t>
      </w:r>
      <w:r>
        <w:rPr>
          <w:rFonts w:ascii="Times New Roman" w:eastAsiaTheme="minorEastAsia" w:hAnsi="Times New Roman"/>
          <w:b/>
          <w:sz w:val="48"/>
        </w:rPr>
        <w:t>交易型开放式指数</w:t>
      </w:r>
    </w:p>
    <w:p w14:paraId="49330683" w14:textId="2DD912EF" w:rsidR="002123B7" w:rsidRDefault="00D8519F">
      <w:pPr>
        <w:spacing w:line="360" w:lineRule="auto"/>
        <w:jc w:val="center"/>
        <w:rPr>
          <w:rFonts w:ascii="Times New Roman" w:eastAsiaTheme="minorEastAsia" w:hAnsi="Times New Roman"/>
          <w:b/>
          <w:sz w:val="48"/>
        </w:rPr>
      </w:pPr>
      <w:r>
        <w:rPr>
          <w:rFonts w:ascii="Times New Roman" w:eastAsiaTheme="minorEastAsia" w:hAnsi="Times New Roman"/>
          <w:b/>
          <w:sz w:val="48"/>
        </w:rPr>
        <w:t>证券投资基金</w:t>
      </w:r>
      <w:r>
        <w:rPr>
          <w:rFonts w:ascii="Times New Roman" w:eastAsiaTheme="minorEastAsia" w:hAnsi="Times New Roman" w:hint="eastAsia"/>
          <w:b/>
          <w:sz w:val="48"/>
        </w:rPr>
        <w:t>托管协议</w:t>
      </w:r>
    </w:p>
    <w:p w14:paraId="458DB75E" w14:textId="77777777" w:rsidR="002123B7" w:rsidRDefault="002123B7">
      <w:pPr>
        <w:spacing w:line="360" w:lineRule="auto"/>
        <w:jc w:val="both"/>
        <w:rPr>
          <w:rFonts w:ascii="微软雅黑" w:eastAsia="微软雅黑"/>
          <w:b/>
          <w:sz w:val="48"/>
        </w:rPr>
      </w:pPr>
    </w:p>
    <w:p w14:paraId="68C05A93" w14:textId="77777777" w:rsidR="002123B7" w:rsidRDefault="002123B7">
      <w:pPr>
        <w:spacing w:line="360" w:lineRule="auto"/>
        <w:jc w:val="both"/>
        <w:rPr>
          <w:rFonts w:ascii="微软雅黑" w:eastAsia="微软雅黑"/>
          <w:b/>
          <w:sz w:val="48"/>
        </w:rPr>
      </w:pPr>
    </w:p>
    <w:p w14:paraId="365FB9E8" w14:textId="77777777" w:rsidR="002123B7" w:rsidRDefault="002123B7">
      <w:pPr>
        <w:spacing w:line="360" w:lineRule="auto"/>
        <w:jc w:val="both"/>
        <w:rPr>
          <w:rFonts w:ascii="微软雅黑" w:eastAsia="微软雅黑"/>
          <w:b/>
          <w:sz w:val="48"/>
        </w:rPr>
      </w:pPr>
    </w:p>
    <w:p w14:paraId="116BC077" w14:textId="77777777" w:rsidR="002123B7" w:rsidRDefault="002123B7">
      <w:pPr>
        <w:spacing w:line="360" w:lineRule="auto"/>
        <w:jc w:val="both"/>
        <w:rPr>
          <w:rFonts w:ascii="微软雅黑" w:eastAsia="微软雅黑"/>
          <w:b/>
          <w:sz w:val="48"/>
        </w:rPr>
      </w:pPr>
    </w:p>
    <w:p w14:paraId="6DC35E22" w14:textId="77777777" w:rsidR="002123B7" w:rsidRDefault="002123B7">
      <w:pPr>
        <w:spacing w:line="360" w:lineRule="auto"/>
        <w:jc w:val="both"/>
        <w:rPr>
          <w:rFonts w:ascii="微软雅黑" w:eastAsia="微软雅黑"/>
          <w:b/>
          <w:sz w:val="48"/>
        </w:rPr>
      </w:pPr>
    </w:p>
    <w:p w14:paraId="7AFF346F" w14:textId="77777777" w:rsidR="002123B7" w:rsidRDefault="00D8519F">
      <w:pPr>
        <w:spacing w:line="360" w:lineRule="auto"/>
        <w:ind w:right="120" w:firstLineChars="500" w:firstLine="1807"/>
        <w:jc w:val="both"/>
        <w:rPr>
          <w:rFonts w:ascii="Times New Roman" w:eastAsiaTheme="minorEastAsia" w:hAnsi="Times New Roman"/>
          <w:b/>
          <w:sz w:val="36"/>
        </w:rPr>
      </w:pPr>
      <w:r>
        <w:rPr>
          <w:rFonts w:ascii="Times New Roman" w:eastAsiaTheme="minorEastAsia" w:hAnsi="Times New Roman"/>
          <w:b/>
          <w:sz w:val="36"/>
        </w:rPr>
        <w:t>基金管理人：华宝基金管理有限公司</w:t>
      </w:r>
    </w:p>
    <w:p w14:paraId="2B8B90B8" w14:textId="77777777" w:rsidR="002123B7" w:rsidRDefault="00D8519F">
      <w:pPr>
        <w:spacing w:line="360" w:lineRule="auto"/>
        <w:ind w:right="120" w:firstLineChars="500" w:firstLine="1807"/>
        <w:jc w:val="both"/>
        <w:rPr>
          <w:rFonts w:ascii="Times New Roman" w:eastAsiaTheme="minorEastAsia" w:hAnsi="Times New Roman"/>
          <w:b/>
          <w:sz w:val="36"/>
        </w:rPr>
      </w:pPr>
      <w:r>
        <w:rPr>
          <w:rFonts w:ascii="Times New Roman" w:eastAsiaTheme="minorEastAsia" w:hAnsi="Times New Roman"/>
          <w:b/>
          <w:sz w:val="36"/>
        </w:rPr>
        <w:t>基金托管人：</w:t>
      </w:r>
      <w:r w:rsidR="00010F00">
        <w:rPr>
          <w:rFonts w:ascii="Times New Roman" w:eastAsiaTheme="minorEastAsia" w:hAnsi="Times New Roman"/>
          <w:b/>
          <w:sz w:val="36"/>
        </w:rPr>
        <w:t>中国建设银行股份有限公司</w:t>
      </w:r>
    </w:p>
    <w:p w14:paraId="243BA934" w14:textId="77777777" w:rsidR="002123B7" w:rsidRDefault="002123B7">
      <w:pPr>
        <w:spacing w:line="360" w:lineRule="auto"/>
        <w:ind w:firstLineChars="200" w:firstLine="480"/>
        <w:jc w:val="both"/>
        <w:rPr>
          <w:rFonts w:ascii="仿宋" w:eastAsia="仿宋" w:hAnsi="仿宋"/>
          <w:sz w:val="24"/>
          <w:szCs w:val="24"/>
        </w:rPr>
        <w:sectPr w:rsidR="002123B7">
          <w:type w:val="continuous"/>
          <w:pgSz w:w="11910" w:h="16840"/>
          <w:pgMar w:top="1580" w:right="1560" w:bottom="280" w:left="1680" w:header="737" w:footer="992" w:gutter="0"/>
          <w:cols w:space="720"/>
          <w:docGrid w:linePitch="299"/>
        </w:sectPr>
      </w:pPr>
    </w:p>
    <w:p w14:paraId="1FD6F8E0" w14:textId="77777777" w:rsidR="002123B7" w:rsidRDefault="00D8519F">
      <w:pPr>
        <w:pStyle w:val="2"/>
        <w:tabs>
          <w:tab w:val="left" w:pos="837"/>
        </w:tabs>
        <w:spacing w:line="360" w:lineRule="auto"/>
        <w:ind w:right="118"/>
        <w:rPr>
          <w:rFonts w:ascii="宋体" w:eastAsia="宋体" w:hAnsi="宋体" w:cs="宋体"/>
          <w:bCs w:val="0"/>
        </w:rPr>
      </w:pPr>
      <w:r>
        <w:rPr>
          <w:rFonts w:ascii="宋体" w:eastAsia="宋体" w:hAnsi="宋体" w:cs="宋体"/>
          <w:bCs w:val="0"/>
        </w:rPr>
        <w:lastRenderedPageBreak/>
        <w:t>目</w:t>
      </w:r>
      <w:r>
        <w:rPr>
          <w:bCs w:val="0"/>
        </w:rPr>
        <w:t xml:space="preserve">    </w:t>
      </w:r>
      <w:r>
        <w:rPr>
          <w:rFonts w:ascii="宋体" w:eastAsia="宋体" w:hAnsi="宋体" w:cs="宋体"/>
          <w:bCs w:val="0"/>
        </w:rPr>
        <w:t>录</w:t>
      </w:r>
    </w:p>
    <w:sdt>
      <w:sdtPr>
        <w:rPr>
          <w:b/>
          <w:bCs/>
          <w:sz w:val="22"/>
          <w:szCs w:val="22"/>
        </w:rPr>
        <w:id w:val="769508220"/>
        <w:docPartObj>
          <w:docPartGallery w:val="Table of Contents"/>
          <w:docPartUnique/>
        </w:docPartObj>
      </w:sdtPr>
      <w:sdtEndPr/>
      <w:sdtContent>
        <w:p w14:paraId="151659B5" w14:textId="77777777" w:rsidR="002123B7" w:rsidRDefault="00D8519F">
          <w:pPr>
            <w:pStyle w:val="10"/>
            <w:tabs>
              <w:tab w:val="right" w:leader="dot" w:pos="8660"/>
            </w:tabs>
            <w:jc w:val="both"/>
            <w:rPr>
              <w:rFonts w:eastAsiaTheme="minorEastAsia" w:hAnsi="Times New Roman" w:cstheme="minorBidi"/>
              <w:noProof/>
              <w:kern w:val="2"/>
              <w:sz w:val="24"/>
              <w:szCs w:val="22"/>
              <w:lang w:val="en-US" w:bidi="ar-SA"/>
            </w:rPr>
          </w:pPr>
          <w:r>
            <w:fldChar w:fldCharType="begin"/>
          </w:r>
          <w:r>
            <w:instrText xml:space="preserve"> TOC \o "1-3" \h \z \u </w:instrText>
          </w:r>
          <w:r>
            <w:fldChar w:fldCharType="separate"/>
          </w:r>
          <w:hyperlink w:anchor="_Toc516502486" w:history="1">
            <w:r>
              <w:rPr>
                <w:rStyle w:val="aa"/>
                <w:rFonts w:hAnsi="Times New Roman" w:cs="Times New Roman" w:hint="eastAsia"/>
                <w:noProof/>
                <w:sz w:val="24"/>
                <w:lang w:val="en-US"/>
              </w:rPr>
              <w:t>一、基金托管协议当事人</w:t>
            </w:r>
            <w:r>
              <w:rPr>
                <w:rFonts w:hAnsi="Times New Roman"/>
                <w:noProof/>
                <w:sz w:val="24"/>
              </w:rPr>
              <w:tab/>
            </w:r>
            <w:r>
              <w:rPr>
                <w:rFonts w:hAnsi="Times New Roman"/>
                <w:noProof/>
                <w:sz w:val="24"/>
              </w:rPr>
              <w:fldChar w:fldCharType="begin"/>
            </w:r>
            <w:r>
              <w:rPr>
                <w:rFonts w:hAnsi="Times New Roman"/>
                <w:noProof/>
                <w:sz w:val="24"/>
              </w:rPr>
              <w:instrText xml:space="preserve"> PAGEREF _Toc516502486 \h </w:instrText>
            </w:r>
            <w:r>
              <w:rPr>
                <w:rFonts w:hAnsi="Times New Roman"/>
                <w:noProof/>
                <w:sz w:val="24"/>
              </w:rPr>
            </w:r>
            <w:r>
              <w:rPr>
                <w:rFonts w:hAnsi="Times New Roman"/>
                <w:noProof/>
                <w:sz w:val="24"/>
              </w:rPr>
              <w:fldChar w:fldCharType="separate"/>
            </w:r>
            <w:r w:rsidR="00361868">
              <w:rPr>
                <w:rFonts w:hAnsi="Times New Roman"/>
                <w:noProof/>
                <w:sz w:val="24"/>
              </w:rPr>
              <w:t>2</w:t>
            </w:r>
            <w:r>
              <w:rPr>
                <w:rFonts w:hAnsi="Times New Roman"/>
                <w:noProof/>
                <w:sz w:val="24"/>
              </w:rPr>
              <w:fldChar w:fldCharType="end"/>
            </w:r>
          </w:hyperlink>
        </w:p>
        <w:p w14:paraId="157C2E4D"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87" w:history="1">
            <w:r w:rsidR="00D8519F">
              <w:rPr>
                <w:rStyle w:val="aa"/>
                <w:rFonts w:hAnsi="Times New Roman" w:cs="Times New Roman" w:hint="eastAsia"/>
                <w:noProof/>
                <w:sz w:val="24"/>
                <w:lang w:val="en-US"/>
              </w:rPr>
              <w:t>二、基金托管协议的依据、目的和原则</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_Toc516502487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2</w:t>
            </w:r>
            <w:r w:rsidR="00D8519F">
              <w:rPr>
                <w:rFonts w:hAnsi="Times New Roman"/>
                <w:noProof/>
                <w:sz w:val="24"/>
              </w:rPr>
              <w:fldChar w:fldCharType="end"/>
            </w:r>
          </w:hyperlink>
        </w:p>
        <w:p w14:paraId="580906A1"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88" w:history="1">
            <w:r w:rsidR="00D8519F">
              <w:rPr>
                <w:rStyle w:val="aa"/>
                <w:rFonts w:hAnsi="Times New Roman" w:cs="Times New Roman" w:hint="eastAsia"/>
                <w:noProof/>
                <w:sz w:val="24"/>
                <w:lang w:val="en-US"/>
              </w:rPr>
              <w:t>三、基金托管人对基金管理人的业务监督和核查</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_Toc516502488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4</w:t>
            </w:r>
            <w:r w:rsidR="00D8519F">
              <w:rPr>
                <w:rFonts w:hAnsi="Times New Roman"/>
                <w:noProof/>
                <w:sz w:val="24"/>
              </w:rPr>
              <w:fldChar w:fldCharType="end"/>
            </w:r>
          </w:hyperlink>
        </w:p>
        <w:p w14:paraId="6D503357"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89" w:history="1">
            <w:r w:rsidR="00D8519F">
              <w:rPr>
                <w:rStyle w:val="aa"/>
                <w:rFonts w:hAnsi="Times New Roman" w:cs="Times New Roman" w:hint="eastAsia"/>
                <w:noProof/>
                <w:sz w:val="24"/>
                <w:lang w:val="en-US"/>
              </w:rPr>
              <w:t>四、基金管理人对基金托管人的业务核查</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_Toc516502489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10</w:t>
            </w:r>
            <w:r w:rsidR="00D8519F">
              <w:rPr>
                <w:rFonts w:hAnsi="Times New Roman"/>
                <w:noProof/>
                <w:sz w:val="24"/>
              </w:rPr>
              <w:fldChar w:fldCharType="end"/>
            </w:r>
          </w:hyperlink>
        </w:p>
        <w:p w14:paraId="38CE7D2D"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0" w:history="1">
            <w:r w:rsidR="00D8519F">
              <w:rPr>
                <w:rStyle w:val="aa"/>
                <w:rFonts w:hAnsi="Times New Roman" w:cs="Times New Roman" w:hint="eastAsia"/>
                <w:noProof/>
                <w:sz w:val="24"/>
                <w:lang w:val="en-US"/>
              </w:rPr>
              <w:t>五、基金财产的保管</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_Toc516502490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11</w:t>
            </w:r>
            <w:r w:rsidR="00D8519F">
              <w:rPr>
                <w:rFonts w:hAnsi="Times New Roman"/>
                <w:noProof/>
                <w:sz w:val="24"/>
              </w:rPr>
              <w:fldChar w:fldCharType="end"/>
            </w:r>
          </w:hyperlink>
        </w:p>
        <w:p w14:paraId="64A508D4"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1" w:history="1">
            <w:r w:rsidR="00D8519F">
              <w:rPr>
                <w:rStyle w:val="aa"/>
                <w:rFonts w:hAnsi="Times New Roman" w:cs="Times New Roman" w:hint="eastAsia"/>
                <w:noProof/>
                <w:sz w:val="24"/>
                <w:lang w:val="en-US"/>
              </w:rPr>
              <w:t>六、指令的发送、确认及执行</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_Toc516502491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14</w:t>
            </w:r>
            <w:r w:rsidR="00D8519F">
              <w:rPr>
                <w:rFonts w:hAnsi="Times New Roman"/>
                <w:noProof/>
                <w:sz w:val="24"/>
              </w:rPr>
              <w:fldChar w:fldCharType="end"/>
            </w:r>
          </w:hyperlink>
        </w:p>
        <w:p w14:paraId="2A5092EB"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2" w:history="1">
            <w:r w:rsidR="00D8519F">
              <w:rPr>
                <w:rStyle w:val="aa"/>
                <w:rFonts w:hAnsi="Times New Roman" w:cs="Times New Roman" w:hint="eastAsia"/>
                <w:noProof/>
                <w:sz w:val="24"/>
                <w:lang w:val="en-US"/>
              </w:rPr>
              <w:t>七、交易及清算交收安排</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_Toc516502492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17</w:t>
            </w:r>
            <w:r w:rsidR="00D8519F">
              <w:rPr>
                <w:rFonts w:hAnsi="Times New Roman"/>
                <w:noProof/>
                <w:sz w:val="24"/>
              </w:rPr>
              <w:fldChar w:fldCharType="end"/>
            </w:r>
          </w:hyperlink>
        </w:p>
        <w:p w14:paraId="70211C68"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3" w:history="1">
            <w:r w:rsidR="00D8519F">
              <w:rPr>
                <w:rStyle w:val="aa"/>
                <w:rFonts w:hAnsi="Times New Roman" w:cs="Times New Roman" w:hint="eastAsia"/>
                <w:noProof/>
                <w:sz w:val="24"/>
                <w:lang w:val="en-US"/>
              </w:rPr>
              <w:t>八、基金资产净值计算和会计核算</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_Toc516502493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20</w:t>
            </w:r>
            <w:r w:rsidR="00D8519F">
              <w:rPr>
                <w:rFonts w:hAnsi="Times New Roman"/>
                <w:noProof/>
                <w:sz w:val="24"/>
              </w:rPr>
              <w:fldChar w:fldCharType="end"/>
            </w:r>
          </w:hyperlink>
          <w:bookmarkStart w:id="0" w:name="_GoBack"/>
          <w:bookmarkEnd w:id="0"/>
        </w:p>
        <w:p w14:paraId="414BB638"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4" w:history="1">
            <w:r w:rsidR="00D8519F">
              <w:rPr>
                <w:rStyle w:val="aa"/>
                <w:rFonts w:hAnsi="Times New Roman" w:cs="Times New Roman" w:hint="eastAsia"/>
                <w:noProof/>
                <w:sz w:val="24"/>
                <w:lang w:val="en-US"/>
              </w:rPr>
              <w:t>九、基金收益分配</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_Toc516502494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26</w:t>
            </w:r>
            <w:r w:rsidR="00D8519F">
              <w:rPr>
                <w:rFonts w:hAnsi="Times New Roman"/>
                <w:noProof/>
                <w:sz w:val="24"/>
              </w:rPr>
              <w:fldChar w:fldCharType="end"/>
            </w:r>
          </w:hyperlink>
        </w:p>
        <w:p w14:paraId="109A66AD"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5" w:history="1">
            <w:r w:rsidR="00D8519F">
              <w:rPr>
                <w:rStyle w:val="aa"/>
                <w:rFonts w:hAnsi="Times New Roman" w:cs="Times New Roman" w:hint="eastAsia"/>
                <w:noProof/>
                <w:sz w:val="24"/>
                <w:lang w:val="en-US"/>
              </w:rPr>
              <w:t>十、基金信息披露</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_Toc516502495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27</w:t>
            </w:r>
            <w:r w:rsidR="00D8519F">
              <w:rPr>
                <w:rFonts w:hAnsi="Times New Roman"/>
                <w:noProof/>
                <w:sz w:val="24"/>
              </w:rPr>
              <w:fldChar w:fldCharType="end"/>
            </w:r>
          </w:hyperlink>
        </w:p>
        <w:p w14:paraId="0E61B6A5"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6" w:history="1">
            <w:r w:rsidR="00D8519F">
              <w:rPr>
                <w:rStyle w:val="aa"/>
                <w:rFonts w:hAnsi="Times New Roman" w:cs="Times New Roman" w:hint="eastAsia"/>
                <w:noProof/>
                <w:sz w:val="24"/>
                <w:lang w:val="en-US"/>
              </w:rPr>
              <w:t>十一、基金费用</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_Toc516502496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29</w:t>
            </w:r>
            <w:r w:rsidR="00D8519F">
              <w:rPr>
                <w:rFonts w:hAnsi="Times New Roman"/>
                <w:noProof/>
                <w:sz w:val="24"/>
              </w:rPr>
              <w:fldChar w:fldCharType="end"/>
            </w:r>
          </w:hyperlink>
        </w:p>
        <w:p w14:paraId="55A88978"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7" w:history="1">
            <w:r w:rsidR="00D8519F">
              <w:rPr>
                <w:rStyle w:val="aa"/>
                <w:rFonts w:hAnsi="Times New Roman" w:cs="Times New Roman" w:hint="eastAsia"/>
                <w:noProof/>
                <w:sz w:val="24"/>
                <w:lang w:val="en-US"/>
              </w:rPr>
              <w:t>十二、基金份额持有人名册的登记与保管</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_Toc516502497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30</w:t>
            </w:r>
            <w:r w:rsidR="00D8519F">
              <w:rPr>
                <w:rFonts w:hAnsi="Times New Roman"/>
                <w:noProof/>
                <w:sz w:val="24"/>
              </w:rPr>
              <w:fldChar w:fldCharType="end"/>
            </w:r>
          </w:hyperlink>
        </w:p>
        <w:p w14:paraId="3DAE9CE8"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8" w:history="1">
            <w:r w:rsidR="00D8519F">
              <w:rPr>
                <w:rStyle w:val="aa"/>
                <w:rFonts w:hAnsi="Times New Roman" w:cs="Times New Roman" w:hint="eastAsia"/>
                <w:noProof/>
                <w:sz w:val="24"/>
                <w:lang w:val="en-US"/>
              </w:rPr>
              <w:t>十三、基金有关文件档案的保存</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_Toc516502498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30</w:t>
            </w:r>
            <w:r w:rsidR="00D8519F">
              <w:rPr>
                <w:rFonts w:hAnsi="Times New Roman"/>
                <w:noProof/>
                <w:sz w:val="24"/>
              </w:rPr>
              <w:fldChar w:fldCharType="end"/>
            </w:r>
          </w:hyperlink>
        </w:p>
        <w:p w14:paraId="6EC641BA"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499" w:history="1">
            <w:r w:rsidR="00D8519F">
              <w:rPr>
                <w:rStyle w:val="aa"/>
                <w:rFonts w:hAnsi="Times New Roman" w:cs="Times New Roman" w:hint="eastAsia"/>
                <w:noProof/>
                <w:sz w:val="24"/>
                <w:lang w:val="en-US"/>
              </w:rPr>
              <w:t>十四、基金管理人和基金托管人的更换</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_Toc516502499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31</w:t>
            </w:r>
            <w:r w:rsidR="00D8519F">
              <w:rPr>
                <w:rFonts w:hAnsi="Times New Roman"/>
                <w:noProof/>
                <w:sz w:val="24"/>
              </w:rPr>
              <w:fldChar w:fldCharType="end"/>
            </w:r>
          </w:hyperlink>
        </w:p>
        <w:p w14:paraId="46D4676B"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500" w:history="1">
            <w:r w:rsidR="00D8519F">
              <w:rPr>
                <w:rStyle w:val="aa"/>
                <w:rFonts w:hAnsi="Times New Roman" w:cs="Times New Roman" w:hint="eastAsia"/>
                <w:noProof/>
                <w:sz w:val="24"/>
                <w:lang w:val="en-US"/>
              </w:rPr>
              <w:t>十五、禁止行为</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_Toc516502500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33</w:t>
            </w:r>
            <w:r w:rsidR="00D8519F">
              <w:rPr>
                <w:rFonts w:hAnsi="Times New Roman"/>
                <w:noProof/>
                <w:sz w:val="24"/>
              </w:rPr>
              <w:fldChar w:fldCharType="end"/>
            </w:r>
          </w:hyperlink>
        </w:p>
        <w:p w14:paraId="5D904E9C"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501" w:history="1">
            <w:r w:rsidR="00D8519F">
              <w:rPr>
                <w:rStyle w:val="aa"/>
                <w:rFonts w:hAnsi="Times New Roman" w:cs="Times New Roman" w:hint="eastAsia"/>
                <w:noProof/>
                <w:sz w:val="24"/>
                <w:lang w:val="en-US"/>
              </w:rPr>
              <w:t>十六、托管协议的变更、终止与基金财产的清算</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_Toc516502501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34</w:t>
            </w:r>
            <w:r w:rsidR="00D8519F">
              <w:rPr>
                <w:rFonts w:hAnsi="Times New Roman"/>
                <w:noProof/>
                <w:sz w:val="24"/>
              </w:rPr>
              <w:fldChar w:fldCharType="end"/>
            </w:r>
          </w:hyperlink>
        </w:p>
        <w:p w14:paraId="04248F3E"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502" w:history="1">
            <w:r w:rsidR="00D8519F">
              <w:rPr>
                <w:rStyle w:val="aa"/>
                <w:rFonts w:hAnsi="Times New Roman" w:cs="Times New Roman" w:hint="eastAsia"/>
                <w:noProof/>
                <w:sz w:val="24"/>
                <w:lang w:val="en-US"/>
              </w:rPr>
              <w:t>十七、违约责任</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_Toc516502502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36</w:t>
            </w:r>
            <w:r w:rsidR="00D8519F">
              <w:rPr>
                <w:rFonts w:hAnsi="Times New Roman"/>
                <w:noProof/>
                <w:sz w:val="24"/>
              </w:rPr>
              <w:fldChar w:fldCharType="end"/>
            </w:r>
          </w:hyperlink>
        </w:p>
        <w:p w14:paraId="0997E577"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503" w:history="1">
            <w:r w:rsidR="00D8519F">
              <w:rPr>
                <w:rStyle w:val="aa"/>
                <w:rFonts w:hAnsi="Times New Roman" w:cs="Times New Roman" w:hint="eastAsia"/>
                <w:noProof/>
                <w:sz w:val="24"/>
                <w:lang w:val="en-US"/>
              </w:rPr>
              <w:t>十八、争议解决方式</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_Toc516502503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37</w:t>
            </w:r>
            <w:r w:rsidR="00D8519F">
              <w:rPr>
                <w:rFonts w:hAnsi="Times New Roman"/>
                <w:noProof/>
                <w:sz w:val="24"/>
              </w:rPr>
              <w:fldChar w:fldCharType="end"/>
            </w:r>
          </w:hyperlink>
        </w:p>
        <w:p w14:paraId="234AB297"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504" w:history="1">
            <w:r w:rsidR="00D8519F">
              <w:rPr>
                <w:rStyle w:val="aa"/>
                <w:rFonts w:hAnsi="Times New Roman" w:cs="Times New Roman" w:hint="eastAsia"/>
                <w:noProof/>
                <w:sz w:val="24"/>
                <w:lang w:val="en-US"/>
              </w:rPr>
              <w:t>十九、托管协议的效力</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_Toc516502504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37</w:t>
            </w:r>
            <w:r w:rsidR="00D8519F">
              <w:rPr>
                <w:rFonts w:hAnsi="Times New Roman"/>
                <w:noProof/>
                <w:sz w:val="24"/>
              </w:rPr>
              <w:fldChar w:fldCharType="end"/>
            </w:r>
          </w:hyperlink>
        </w:p>
        <w:p w14:paraId="03B212B7" w14:textId="77777777" w:rsidR="002123B7" w:rsidRDefault="00E45E17">
          <w:pPr>
            <w:pStyle w:val="10"/>
            <w:tabs>
              <w:tab w:val="right" w:leader="dot" w:pos="8660"/>
            </w:tabs>
            <w:jc w:val="both"/>
            <w:rPr>
              <w:rFonts w:eastAsiaTheme="minorEastAsia" w:hAnsi="Times New Roman" w:cstheme="minorBidi"/>
              <w:noProof/>
              <w:kern w:val="2"/>
              <w:sz w:val="24"/>
              <w:szCs w:val="22"/>
              <w:lang w:val="en-US" w:bidi="ar-SA"/>
            </w:rPr>
          </w:pPr>
          <w:hyperlink w:anchor="_Toc516502505" w:history="1">
            <w:r w:rsidR="00D8519F">
              <w:rPr>
                <w:rStyle w:val="aa"/>
                <w:rFonts w:hAnsi="Times New Roman" w:cs="Times New Roman" w:hint="eastAsia"/>
                <w:noProof/>
                <w:sz w:val="24"/>
                <w:lang w:val="en-US"/>
              </w:rPr>
              <w:t>二十、其他事项</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_Toc516502505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38</w:t>
            </w:r>
            <w:r w:rsidR="00D8519F">
              <w:rPr>
                <w:rFonts w:hAnsi="Times New Roman"/>
                <w:noProof/>
                <w:sz w:val="24"/>
              </w:rPr>
              <w:fldChar w:fldCharType="end"/>
            </w:r>
          </w:hyperlink>
        </w:p>
        <w:p w14:paraId="6184B15F" w14:textId="77777777" w:rsidR="002123B7" w:rsidRDefault="00E45E17">
          <w:pPr>
            <w:pStyle w:val="10"/>
            <w:tabs>
              <w:tab w:val="right" w:leader="dot" w:pos="8660"/>
            </w:tabs>
            <w:jc w:val="both"/>
            <w:rPr>
              <w:rFonts w:asciiTheme="minorHAnsi" w:eastAsiaTheme="minorEastAsia" w:hAnsiTheme="minorHAnsi" w:cstheme="minorBidi"/>
              <w:noProof/>
              <w:kern w:val="2"/>
              <w:szCs w:val="22"/>
              <w:lang w:val="en-US" w:bidi="ar-SA"/>
            </w:rPr>
          </w:pPr>
          <w:hyperlink w:anchor="_Toc516502506" w:history="1">
            <w:r w:rsidR="00D8519F">
              <w:rPr>
                <w:rStyle w:val="aa"/>
                <w:rFonts w:hAnsi="Times New Roman" w:cs="Times New Roman" w:hint="eastAsia"/>
                <w:noProof/>
                <w:sz w:val="24"/>
                <w:lang w:val="en-US"/>
              </w:rPr>
              <w:t>二十一、托管协议的签订</w:t>
            </w:r>
            <w:r w:rsidR="00D8519F">
              <w:rPr>
                <w:rFonts w:hAnsi="Times New Roman"/>
                <w:noProof/>
                <w:sz w:val="24"/>
              </w:rPr>
              <w:tab/>
            </w:r>
            <w:r w:rsidR="00D8519F">
              <w:rPr>
                <w:rFonts w:hAnsi="Times New Roman"/>
                <w:noProof/>
                <w:sz w:val="24"/>
              </w:rPr>
              <w:fldChar w:fldCharType="begin"/>
            </w:r>
            <w:r w:rsidR="00D8519F">
              <w:rPr>
                <w:rFonts w:hAnsi="Times New Roman"/>
                <w:noProof/>
                <w:sz w:val="24"/>
              </w:rPr>
              <w:instrText xml:space="preserve"> PAGEREF _Toc516502506 \h </w:instrText>
            </w:r>
            <w:r w:rsidR="00D8519F">
              <w:rPr>
                <w:rFonts w:hAnsi="Times New Roman"/>
                <w:noProof/>
                <w:sz w:val="24"/>
              </w:rPr>
            </w:r>
            <w:r w:rsidR="00D8519F">
              <w:rPr>
                <w:rFonts w:hAnsi="Times New Roman"/>
                <w:noProof/>
                <w:sz w:val="24"/>
              </w:rPr>
              <w:fldChar w:fldCharType="separate"/>
            </w:r>
            <w:r w:rsidR="00361868">
              <w:rPr>
                <w:rFonts w:hAnsi="Times New Roman"/>
                <w:noProof/>
                <w:sz w:val="24"/>
              </w:rPr>
              <w:t>38</w:t>
            </w:r>
            <w:r w:rsidR="00D8519F">
              <w:rPr>
                <w:rFonts w:hAnsi="Times New Roman"/>
                <w:noProof/>
                <w:sz w:val="24"/>
              </w:rPr>
              <w:fldChar w:fldCharType="end"/>
            </w:r>
          </w:hyperlink>
        </w:p>
        <w:p w14:paraId="3A9580E0" w14:textId="77777777" w:rsidR="002123B7" w:rsidRDefault="00D8519F">
          <w:pPr>
            <w:jc w:val="both"/>
          </w:pPr>
          <w:r>
            <w:rPr>
              <w:b/>
              <w:bCs/>
            </w:rPr>
            <w:fldChar w:fldCharType="end"/>
          </w:r>
        </w:p>
      </w:sdtContent>
    </w:sdt>
    <w:p w14:paraId="147DD26A" w14:textId="77777777" w:rsidR="002123B7" w:rsidRDefault="002123B7">
      <w:pPr>
        <w:spacing w:line="360" w:lineRule="auto"/>
        <w:ind w:firstLineChars="200" w:firstLine="480"/>
        <w:jc w:val="both"/>
        <w:rPr>
          <w:rFonts w:ascii="仿宋" w:eastAsia="仿宋" w:hAnsi="仿宋"/>
          <w:sz w:val="24"/>
          <w:szCs w:val="24"/>
        </w:rPr>
      </w:pPr>
    </w:p>
    <w:p w14:paraId="39FDF976" w14:textId="77777777" w:rsidR="002123B7" w:rsidRDefault="002123B7">
      <w:pPr>
        <w:jc w:val="both"/>
        <w:rPr>
          <w:rFonts w:ascii="仿宋" w:eastAsia="仿宋" w:hAnsi="仿宋"/>
          <w:sz w:val="24"/>
          <w:szCs w:val="24"/>
        </w:rPr>
      </w:pPr>
    </w:p>
    <w:p w14:paraId="5F57EC3F" w14:textId="77777777" w:rsidR="002123B7" w:rsidRDefault="002123B7">
      <w:pPr>
        <w:jc w:val="both"/>
        <w:rPr>
          <w:rFonts w:ascii="仿宋" w:eastAsia="仿宋" w:hAnsi="仿宋"/>
          <w:sz w:val="24"/>
          <w:szCs w:val="24"/>
        </w:rPr>
      </w:pPr>
    </w:p>
    <w:p w14:paraId="4B0F188F" w14:textId="77777777" w:rsidR="002123B7" w:rsidRDefault="002123B7">
      <w:pPr>
        <w:jc w:val="both"/>
        <w:rPr>
          <w:rFonts w:ascii="仿宋" w:eastAsia="仿宋" w:hAnsi="仿宋"/>
          <w:sz w:val="24"/>
          <w:szCs w:val="24"/>
        </w:rPr>
      </w:pPr>
    </w:p>
    <w:p w14:paraId="1D2E0077" w14:textId="77777777" w:rsidR="002123B7" w:rsidRDefault="00D8519F">
      <w:pPr>
        <w:tabs>
          <w:tab w:val="left" w:pos="5328"/>
        </w:tabs>
        <w:jc w:val="both"/>
        <w:rPr>
          <w:rFonts w:ascii="仿宋" w:eastAsia="仿宋" w:hAnsi="仿宋"/>
          <w:sz w:val="24"/>
          <w:szCs w:val="24"/>
        </w:rPr>
      </w:pPr>
      <w:r>
        <w:rPr>
          <w:rFonts w:ascii="仿宋" w:eastAsia="仿宋" w:hAnsi="仿宋"/>
          <w:sz w:val="24"/>
          <w:szCs w:val="24"/>
        </w:rPr>
        <w:tab/>
      </w:r>
    </w:p>
    <w:p w14:paraId="08D498E5" w14:textId="77777777" w:rsidR="002123B7" w:rsidRDefault="002123B7">
      <w:pPr>
        <w:jc w:val="both"/>
        <w:rPr>
          <w:rFonts w:ascii="仿宋" w:eastAsia="仿宋" w:hAnsi="仿宋"/>
          <w:sz w:val="24"/>
          <w:szCs w:val="24"/>
        </w:rPr>
      </w:pPr>
    </w:p>
    <w:p w14:paraId="5EFA3D7D" w14:textId="77777777" w:rsidR="002123B7" w:rsidRDefault="002123B7">
      <w:pPr>
        <w:jc w:val="both"/>
        <w:rPr>
          <w:rFonts w:ascii="仿宋" w:eastAsia="仿宋" w:hAnsi="仿宋"/>
          <w:sz w:val="24"/>
          <w:szCs w:val="24"/>
        </w:rPr>
        <w:sectPr w:rsidR="002123B7">
          <w:headerReference w:type="even" r:id="rId8"/>
          <w:headerReference w:type="default" r:id="rId9"/>
          <w:footerReference w:type="default" r:id="rId10"/>
          <w:headerReference w:type="first" r:id="rId11"/>
          <w:pgSz w:w="11910" w:h="16840"/>
          <w:pgMar w:top="1520" w:right="1560" w:bottom="1400" w:left="1680" w:header="737" w:footer="992" w:gutter="0"/>
          <w:pgNumType w:start="1"/>
          <w:cols w:space="720"/>
          <w:docGrid w:linePitch="299"/>
        </w:sectPr>
      </w:pPr>
    </w:p>
    <w:p w14:paraId="4115DC5F"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lastRenderedPageBreak/>
        <w:t>鉴于华宝基金管理有限公司系一家依照中国法律合法成立并有效存续的有限责任公司，按照相关法律法规的规定具备担任基金管理人的资格和能力</w:t>
      </w:r>
      <w:r>
        <w:rPr>
          <w:rFonts w:ascii="Times New Roman" w:hAnsi="Times New Roman"/>
          <w:spacing w:val="-4"/>
          <w:sz w:val="24"/>
          <w:szCs w:val="24"/>
        </w:rPr>
        <w:t>,</w:t>
      </w:r>
      <w:r>
        <w:rPr>
          <w:rFonts w:ascii="Times New Roman" w:hAnsi="Times New Roman"/>
          <w:spacing w:val="-4"/>
          <w:sz w:val="24"/>
          <w:szCs w:val="24"/>
        </w:rPr>
        <w:t>拟募集发行</w:t>
      </w:r>
      <w:r>
        <w:rPr>
          <w:rFonts w:ascii="Times New Roman" w:hAnsi="Times New Roman" w:hint="eastAsia"/>
          <w:spacing w:val="-4"/>
          <w:sz w:val="24"/>
          <w:szCs w:val="24"/>
        </w:rPr>
        <w:t>华宝创业板电池</w:t>
      </w:r>
      <w:r>
        <w:rPr>
          <w:rFonts w:ascii="Times New Roman" w:hAnsi="Times New Roman"/>
          <w:spacing w:val="-4"/>
          <w:sz w:val="24"/>
          <w:szCs w:val="24"/>
        </w:rPr>
        <w:t>交易型开放式指数证券投资基金；</w:t>
      </w:r>
    </w:p>
    <w:p w14:paraId="7EB3FAEE"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鉴于</w:t>
      </w:r>
      <w:r w:rsidR="00010F00">
        <w:rPr>
          <w:rFonts w:ascii="Times New Roman" w:hAnsi="Times New Roman"/>
          <w:spacing w:val="-4"/>
          <w:sz w:val="24"/>
          <w:szCs w:val="24"/>
        </w:rPr>
        <w:t>中国建设银行股份有限公司</w:t>
      </w:r>
      <w:r>
        <w:rPr>
          <w:rFonts w:ascii="Times New Roman" w:hAnsi="Times New Roman"/>
          <w:spacing w:val="-4"/>
          <w:sz w:val="24"/>
          <w:szCs w:val="24"/>
        </w:rPr>
        <w:t>系一家依照中国法律合法成立并有效存续的</w:t>
      </w:r>
      <w:r>
        <w:rPr>
          <w:rFonts w:ascii="Times New Roman" w:hAnsi="Times New Roman" w:hint="eastAsia"/>
          <w:spacing w:val="-4"/>
          <w:sz w:val="24"/>
          <w:szCs w:val="24"/>
        </w:rPr>
        <w:t>商业银行</w:t>
      </w:r>
      <w:r>
        <w:rPr>
          <w:rFonts w:ascii="Times New Roman" w:hAnsi="Times New Roman"/>
          <w:spacing w:val="-4"/>
          <w:sz w:val="24"/>
          <w:szCs w:val="24"/>
        </w:rPr>
        <w:t>，按照相关法律法规的规定具备担任基金托管人的资格和能力；</w:t>
      </w:r>
    </w:p>
    <w:p w14:paraId="59AE752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鉴于华宝基金管理有限公司拟担任华</w:t>
      </w:r>
      <w:r>
        <w:rPr>
          <w:rFonts w:ascii="Times New Roman" w:hAnsi="Times New Roman" w:hint="eastAsia"/>
          <w:spacing w:val="-4"/>
          <w:sz w:val="24"/>
          <w:szCs w:val="24"/>
        </w:rPr>
        <w:t>宝创业板电池</w:t>
      </w:r>
      <w:r>
        <w:rPr>
          <w:rFonts w:ascii="Times New Roman" w:hAnsi="Times New Roman"/>
          <w:spacing w:val="-4"/>
          <w:sz w:val="24"/>
          <w:szCs w:val="24"/>
        </w:rPr>
        <w:t>交易型开放式指数证券投资基金的基金管理人，</w:t>
      </w:r>
      <w:r w:rsidR="00010F00">
        <w:rPr>
          <w:rFonts w:ascii="Times New Roman" w:hAnsi="Times New Roman"/>
          <w:spacing w:val="-4"/>
          <w:sz w:val="24"/>
          <w:szCs w:val="24"/>
        </w:rPr>
        <w:t>中国建设银行股份有限公司</w:t>
      </w:r>
      <w:r>
        <w:rPr>
          <w:rFonts w:ascii="Times New Roman" w:hAnsi="Times New Roman"/>
          <w:spacing w:val="-4"/>
          <w:sz w:val="24"/>
          <w:szCs w:val="24"/>
        </w:rPr>
        <w:t>拟担任华</w:t>
      </w:r>
      <w:r>
        <w:rPr>
          <w:rFonts w:ascii="Times New Roman" w:hAnsi="Times New Roman" w:hint="eastAsia"/>
          <w:spacing w:val="-4"/>
          <w:sz w:val="24"/>
          <w:szCs w:val="24"/>
        </w:rPr>
        <w:t>宝创业板电池</w:t>
      </w:r>
      <w:r>
        <w:rPr>
          <w:rFonts w:ascii="Times New Roman" w:hAnsi="Times New Roman"/>
          <w:spacing w:val="-4"/>
          <w:sz w:val="24"/>
          <w:szCs w:val="24"/>
        </w:rPr>
        <w:t>交易型开放式指数证券投资基金的基金托管人；</w:t>
      </w:r>
    </w:p>
    <w:p w14:paraId="14D1E471"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为明确华</w:t>
      </w:r>
      <w:r>
        <w:rPr>
          <w:rFonts w:ascii="Times New Roman" w:hAnsi="Times New Roman" w:hint="eastAsia"/>
          <w:spacing w:val="-4"/>
          <w:sz w:val="24"/>
          <w:szCs w:val="24"/>
        </w:rPr>
        <w:t>宝创业板电池</w:t>
      </w:r>
      <w:r>
        <w:rPr>
          <w:rFonts w:ascii="Times New Roman" w:hAnsi="Times New Roman"/>
          <w:spacing w:val="-4"/>
          <w:sz w:val="24"/>
          <w:szCs w:val="24"/>
        </w:rPr>
        <w:t>交易型开放式指数证券投资基金的基金管理人和基金托管人之间的权利义务关系，特制订本托管协议；</w:t>
      </w:r>
    </w:p>
    <w:p w14:paraId="53357327"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除非另有约定，《华</w:t>
      </w:r>
      <w:r>
        <w:rPr>
          <w:rFonts w:ascii="Times New Roman" w:hAnsi="Times New Roman" w:hint="eastAsia"/>
          <w:spacing w:val="-4"/>
          <w:sz w:val="24"/>
          <w:szCs w:val="24"/>
        </w:rPr>
        <w:t>宝创业板电池</w:t>
      </w:r>
      <w:r>
        <w:rPr>
          <w:rFonts w:ascii="Times New Roman" w:hAnsi="Times New Roman"/>
          <w:spacing w:val="-4"/>
          <w:sz w:val="24"/>
          <w:szCs w:val="24"/>
        </w:rPr>
        <w:t>交易型开放式指数证券投资基金基金合同》</w:t>
      </w:r>
      <w:r>
        <w:rPr>
          <w:rFonts w:ascii="Times New Roman" w:hAnsi="Times New Roman"/>
          <w:spacing w:val="-4"/>
          <w:sz w:val="24"/>
          <w:szCs w:val="24"/>
        </w:rPr>
        <w:t>(</w:t>
      </w:r>
      <w:r>
        <w:rPr>
          <w:rFonts w:ascii="Times New Roman" w:hAnsi="Times New Roman"/>
          <w:spacing w:val="-4"/>
          <w:sz w:val="24"/>
          <w:szCs w:val="24"/>
        </w:rPr>
        <w:t>以下简称</w:t>
      </w:r>
      <w:r>
        <w:rPr>
          <w:rFonts w:ascii="Times New Roman" w:hAnsi="Times New Roman"/>
          <w:spacing w:val="-4"/>
          <w:sz w:val="24"/>
          <w:szCs w:val="24"/>
        </w:rPr>
        <w:t>“</w:t>
      </w:r>
      <w:r>
        <w:rPr>
          <w:rFonts w:ascii="Times New Roman" w:hAnsi="Times New Roman"/>
          <w:spacing w:val="-4"/>
          <w:sz w:val="24"/>
          <w:szCs w:val="24"/>
        </w:rPr>
        <w:t>《基金合同》</w:t>
      </w:r>
      <w:r>
        <w:rPr>
          <w:rFonts w:ascii="Times New Roman" w:hAnsi="Times New Roman"/>
          <w:spacing w:val="-4"/>
          <w:sz w:val="24"/>
          <w:szCs w:val="24"/>
        </w:rPr>
        <w:t>”</w:t>
      </w:r>
      <w:r>
        <w:rPr>
          <w:rFonts w:ascii="Times New Roman" w:hAnsi="Times New Roman" w:hint="eastAsia"/>
          <w:spacing w:val="-4"/>
          <w:sz w:val="24"/>
          <w:szCs w:val="24"/>
        </w:rPr>
        <w:t>或“基金合同”</w:t>
      </w:r>
      <w:r>
        <w:rPr>
          <w:rFonts w:ascii="Times New Roman" w:hAnsi="Times New Roman"/>
          <w:spacing w:val="-4"/>
          <w:sz w:val="24"/>
          <w:szCs w:val="24"/>
        </w:rPr>
        <w:t>)</w:t>
      </w:r>
      <w:r>
        <w:rPr>
          <w:rFonts w:ascii="Times New Roman" w:hAnsi="Times New Roman"/>
          <w:spacing w:val="-4"/>
          <w:sz w:val="24"/>
          <w:szCs w:val="24"/>
        </w:rPr>
        <w:t>中定义的术语在用于本托管协议时应具有相同的含义；若有抵触应以《基金合同》为准，并依其条款解释。</w:t>
      </w:r>
    </w:p>
    <w:p w14:paraId="448F9089"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1" w:name="_Toc516502486"/>
      <w:r>
        <w:rPr>
          <w:rFonts w:ascii="Times New Roman" w:eastAsia="宋体" w:hAnsi="Times New Roman" w:cs="Times New Roman"/>
          <w:bCs w:val="0"/>
          <w:color w:val="000000" w:themeColor="text1"/>
          <w:kern w:val="2"/>
          <w:lang w:val="en-US" w:bidi="ar-SA"/>
        </w:rPr>
        <w:t>一、基金托管协议当事人</w:t>
      </w:r>
      <w:bookmarkEnd w:id="1"/>
    </w:p>
    <w:p w14:paraId="52A8AACA"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（一）基金管理人</w:t>
      </w:r>
    </w:p>
    <w:p w14:paraId="2BACEB1D"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名称：华宝基金管理有限公司</w:t>
      </w:r>
    </w:p>
    <w:p w14:paraId="23C4884F"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注册地址：</w:t>
      </w:r>
      <w:r>
        <w:rPr>
          <w:rFonts w:ascii="Times New Roman" w:hAnsi="Times New Roman" w:hint="eastAsia"/>
          <w:spacing w:val="-4"/>
          <w:sz w:val="24"/>
          <w:szCs w:val="24"/>
        </w:rPr>
        <w:t>中国（上海）自由贸易试验区世纪大道</w:t>
      </w:r>
      <w:r>
        <w:rPr>
          <w:rFonts w:ascii="Times New Roman" w:hAnsi="Times New Roman"/>
          <w:spacing w:val="-4"/>
          <w:sz w:val="24"/>
          <w:szCs w:val="24"/>
        </w:rPr>
        <w:t>100</w:t>
      </w:r>
      <w:r>
        <w:rPr>
          <w:rFonts w:ascii="Times New Roman" w:hAnsi="Times New Roman"/>
          <w:spacing w:val="-4"/>
          <w:sz w:val="24"/>
          <w:szCs w:val="24"/>
        </w:rPr>
        <w:t>号上海环球金融中心</w:t>
      </w:r>
      <w:r>
        <w:rPr>
          <w:rFonts w:ascii="Times New Roman" w:hAnsi="Times New Roman"/>
          <w:spacing w:val="-4"/>
          <w:sz w:val="24"/>
          <w:szCs w:val="24"/>
        </w:rPr>
        <w:t>58</w:t>
      </w:r>
      <w:r>
        <w:rPr>
          <w:rFonts w:ascii="Times New Roman" w:hAnsi="Times New Roman"/>
          <w:spacing w:val="-4"/>
          <w:sz w:val="24"/>
          <w:szCs w:val="24"/>
        </w:rPr>
        <w:t>楼</w:t>
      </w:r>
    </w:p>
    <w:p w14:paraId="45AE113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办公地址：</w:t>
      </w:r>
      <w:r>
        <w:rPr>
          <w:rFonts w:ascii="Times New Roman" w:hAnsi="Times New Roman" w:hint="eastAsia"/>
          <w:spacing w:val="-4"/>
          <w:sz w:val="24"/>
          <w:szCs w:val="24"/>
        </w:rPr>
        <w:t>中国（上海）自由贸易试验区世纪大道</w:t>
      </w:r>
      <w:r>
        <w:rPr>
          <w:rFonts w:ascii="Times New Roman" w:hAnsi="Times New Roman"/>
          <w:spacing w:val="-4"/>
          <w:sz w:val="24"/>
          <w:szCs w:val="24"/>
        </w:rPr>
        <w:t>100</w:t>
      </w:r>
      <w:r>
        <w:rPr>
          <w:rFonts w:ascii="Times New Roman" w:hAnsi="Times New Roman"/>
          <w:spacing w:val="-4"/>
          <w:sz w:val="24"/>
          <w:szCs w:val="24"/>
        </w:rPr>
        <w:t>号上海环球金融中心</w:t>
      </w:r>
      <w:r>
        <w:rPr>
          <w:rFonts w:ascii="Times New Roman" w:hAnsi="Times New Roman"/>
          <w:spacing w:val="-4"/>
          <w:sz w:val="24"/>
          <w:szCs w:val="24"/>
        </w:rPr>
        <w:t>58</w:t>
      </w:r>
      <w:r>
        <w:rPr>
          <w:rFonts w:ascii="Times New Roman" w:hAnsi="Times New Roman"/>
          <w:spacing w:val="-4"/>
          <w:sz w:val="24"/>
          <w:szCs w:val="24"/>
        </w:rPr>
        <w:t>楼</w:t>
      </w:r>
    </w:p>
    <w:p w14:paraId="41D6847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法定代表人：</w:t>
      </w:r>
      <w:r w:rsidR="00A92E70">
        <w:rPr>
          <w:rFonts w:ascii="Times New Roman" w:hAnsi="Times New Roman"/>
          <w:bCs/>
          <w:spacing w:val="-4"/>
          <w:sz w:val="24"/>
          <w:szCs w:val="24"/>
          <w:lang w:bidi="en-US"/>
        </w:rPr>
        <w:t>夏雪松</w:t>
      </w:r>
    </w:p>
    <w:p w14:paraId="5DA529F0"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成立日期：</w:t>
      </w:r>
      <w:r>
        <w:rPr>
          <w:rFonts w:ascii="Times New Roman" w:hAnsi="Times New Roman"/>
          <w:spacing w:val="-4"/>
          <w:sz w:val="24"/>
          <w:szCs w:val="24"/>
        </w:rPr>
        <w:t>2003</w:t>
      </w:r>
      <w:r>
        <w:rPr>
          <w:rFonts w:ascii="Times New Roman" w:hAnsi="Times New Roman"/>
          <w:spacing w:val="-4"/>
          <w:sz w:val="24"/>
          <w:szCs w:val="24"/>
        </w:rPr>
        <w:t>年</w:t>
      </w:r>
      <w:r>
        <w:rPr>
          <w:rFonts w:ascii="Times New Roman" w:hAnsi="Times New Roman"/>
          <w:spacing w:val="-4"/>
          <w:sz w:val="24"/>
          <w:szCs w:val="24"/>
        </w:rPr>
        <w:t>3</w:t>
      </w:r>
      <w:r>
        <w:rPr>
          <w:rFonts w:ascii="Times New Roman" w:hAnsi="Times New Roman"/>
          <w:spacing w:val="-4"/>
          <w:sz w:val="24"/>
          <w:szCs w:val="24"/>
        </w:rPr>
        <w:t>月</w:t>
      </w:r>
      <w:r>
        <w:rPr>
          <w:rFonts w:ascii="Times New Roman" w:hAnsi="Times New Roman"/>
          <w:spacing w:val="-4"/>
          <w:sz w:val="24"/>
          <w:szCs w:val="24"/>
        </w:rPr>
        <w:t>7</w:t>
      </w:r>
      <w:r>
        <w:rPr>
          <w:rFonts w:ascii="Times New Roman" w:hAnsi="Times New Roman"/>
          <w:spacing w:val="-4"/>
          <w:sz w:val="24"/>
          <w:szCs w:val="24"/>
        </w:rPr>
        <w:t>日</w:t>
      </w:r>
    </w:p>
    <w:p w14:paraId="2446D26D"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批准设立机关及批准设立文号：</w:t>
      </w:r>
      <w:r>
        <w:rPr>
          <w:rFonts w:ascii="Times New Roman" w:hAnsi="Times New Roman" w:hint="eastAsia"/>
          <w:spacing w:val="-4"/>
          <w:sz w:val="24"/>
          <w:szCs w:val="24"/>
        </w:rPr>
        <w:t>中国证监会证</w:t>
      </w:r>
      <w:proofErr w:type="gramStart"/>
      <w:r>
        <w:rPr>
          <w:rFonts w:ascii="Times New Roman" w:hAnsi="Times New Roman" w:hint="eastAsia"/>
          <w:spacing w:val="-4"/>
          <w:sz w:val="24"/>
          <w:szCs w:val="24"/>
        </w:rPr>
        <w:t>监基金字</w:t>
      </w:r>
      <w:proofErr w:type="gramEnd"/>
      <w:r>
        <w:rPr>
          <w:rFonts w:ascii="Times New Roman" w:hAnsi="Times New Roman"/>
          <w:spacing w:val="-4"/>
          <w:sz w:val="24"/>
          <w:szCs w:val="24"/>
        </w:rPr>
        <w:t>[2003]19</w:t>
      </w:r>
      <w:r>
        <w:rPr>
          <w:rFonts w:ascii="Times New Roman" w:hAnsi="Times New Roman"/>
          <w:spacing w:val="-4"/>
          <w:sz w:val="24"/>
          <w:szCs w:val="24"/>
        </w:rPr>
        <w:t>号</w:t>
      </w:r>
    </w:p>
    <w:p w14:paraId="4C036B33"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组织形式：有限责任公司</w:t>
      </w:r>
    </w:p>
    <w:p w14:paraId="3A3467EF"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注册资本：</w:t>
      </w:r>
      <w:r>
        <w:rPr>
          <w:rFonts w:ascii="Times New Roman" w:hAnsi="Times New Roman"/>
          <w:spacing w:val="-4"/>
          <w:sz w:val="24"/>
          <w:szCs w:val="24"/>
        </w:rPr>
        <w:t>1.5</w:t>
      </w:r>
      <w:r>
        <w:rPr>
          <w:rFonts w:ascii="Times New Roman" w:hAnsi="Times New Roman"/>
          <w:spacing w:val="-4"/>
          <w:sz w:val="24"/>
          <w:szCs w:val="24"/>
        </w:rPr>
        <w:t>亿元人民币</w:t>
      </w:r>
    </w:p>
    <w:p w14:paraId="0783FE97"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存续期间：</w:t>
      </w:r>
      <w:r>
        <w:rPr>
          <w:rFonts w:ascii="Times New Roman" w:hAnsi="Times New Roman" w:hint="eastAsia"/>
          <w:spacing w:val="-4"/>
          <w:sz w:val="24"/>
          <w:szCs w:val="24"/>
        </w:rPr>
        <w:t>持续经营</w:t>
      </w:r>
    </w:p>
    <w:p w14:paraId="6DCA944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经营范围：公</w:t>
      </w:r>
      <w:proofErr w:type="gramStart"/>
      <w:r>
        <w:rPr>
          <w:rFonts w:ascii="Times New Roman" w:hAnsi="Times New Roman"/>
          <w:spacing w:val="-4"/>
          <w:sz w:val="24"/>
          <w:szCs w:val="24"/>
        </w:rPr>
        <w:t>募基金</w:t>
      </w:r>
      <w:proofErr w:type="gramEnd"/>
      <w:r>
        <w:rPr>
          <w:rFonts w:ascii="Times New Roman" w:hAnsi="Times New Roman"/>
          <w:spacing w:val="-4"/>
          <w:sz w:val="24"/>
          <w:szCs w:val="24"/>
        </w:rPr>
        <w:t>管理，资产管理。</w:t>
      </w:r>
    </w:p>
    <w:p w14:paraId="0FA6AB08"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（二）基金托管人</w:t>
      </w:r>
    </w:p>
    <w:p w14:paraId="07FBF98C"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bookmarkStart w:id="2" w:name="_Toc516502487"/>
      <w:r w:rsidRPr="00010F00">
        <w:rPr>
          <w:rFonts w:ascii="Times New Roman" w:hAnsi="Times New Roman" w:hint="eastAsia"/>
          <w:spacing w:val="-4"/>
          <w:sz w:val="24"/>
          <w:szCs w:val="24"/>
        </w:rPr>
        <w:t>名称：中国建设银行股份有限公司</w:t>
      </w:r>
      <w:r w:rsidRPr="00010F00">
        <w:rPr>
          <w:rFonts w:ascii="Times New Roman" w:hAnsi="Times New Roman" w:hint="eastAsia"/>
          <w:spacing w:val="-4"/>
          <w:sz w:val="24"/>
          <w:szCs w:val="24"/>
        </w:rPr>
        <w:t>(</w:t>
      </w:r>
      <w:r w:rsidRPr="00010F00">
        <w:rPr>
          <w:rFonts w:ascii="Times New Roman" w:hAnsi="Times New Roman" w:hint="eastAsia"/>
          <w:spacing w:val="-4"/>
          <w:sz w:val="24"/>
          <w:szCs w:val="24"/>
        </w:rPr>
        <w:t>简称：中国建设银行</w:t>
      </w:r>
      <w:r w:rsidRPr="00010F00">
        <w:rPr>
          <w:rFonts w:ascii="Times New Roman" w:hAnsi="Times New Roman" w:hint="eastAsia"/>
          <w:spacing w:val="-4"/>
          <w:sz w:val="24"/>
          <w:szCs w:val="24"/>
        </w:rPr>
        <w:t>)</w:t>
      </w:r>
    </w:p>
    <w:p w14:paraId="68A126B4"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住所：北京市西城区金融大街</w:t>
      </w:r>
      <w:r w:rsidRPr="00010F00">
        <w:rPr>
          <w:rFonts w:ascii="Times New Roman" w:hAnsi="Times New Roman" w:hint="eastAsia"/>
          <w:spacing w:val="-4"/>
          <w:sz w:val="24"/>
          <w:szCs w:val="24"/>
        </w:rPr>
        <w:t>25</w:t>
      </w:r>
      <w:r w:rsidRPr="00010F00">
        <w:rPr>
          <w:rFonts w:ascii="Times New Roman" w:hAnsi="Times New Roman" w:hint="eastAsia"/>
          <w:spacing w:val="-4"/>
          <w:sz w:val="24"/>
          <w:szCs w:val="24"/>
        </w:rPr>
        <w:t>号</w:t>
      </w:r>
    </w:p>
    <w:p w14:paraId="0956C619"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办公地址：北京市西城区闹市口大街</w:t>
      </w:r>
      <w:r w:rsidRPr="00010F00">
        <w:rPr>
          <w:rFonts w:ascii="Times New Roman" w:hAnsi="Times New Roman" w:hint="eastAsia"/>
          <w:spacing w:val="-4"/>
          <w:sz w:val="24"/>
          <w:szCs w:val="24"/>
        </w:rPr>
        <w:t>1</w:t>
      </w:r>
      <w:r w:rsidRPr="00010F00">
        <w:rPr>
          <w:rFonts w:ascii="Times New Roman" w:hAnsi="Times New Roman" w:hint="eastAsia"/>
          <w:spacing w:val="-4"/>
          <w:sz w:val="24"/>
          <w:szCs w:val="24"/>
        </w:rPr>
        <w:t>号院</w:t>
      </w:r>
      <w:r w:rsidRPr="00010F00">
        <w:rPr>
          <w:rFonts w:ascii="Times New Roman" w:hAnsi="Times New Roman" w:hint="eastAsia"/>
          <w:spacing w:val="-4"/>
          <w:sz w:val="24"/>
          <w:szCs w:val="24"/>
        </w:rPr>
        <w:t>1</w:t>
      </w:r>
      <w:r w:rsidRPr="00010F00">
        <w:rPr>
          <w:rFonts w:ascii="Times New Roman" w:hAnsi="Times New Roman" w:hint="eastAsia"/>
          <w:spacing w:val="-4"/>
          <w:sz w:val="24"/>
          <w:szCs w:val="24"/>
        </w:rPr>
        <w:t>号楼</w:t>
      </w:r>
    </w:p>
    <w:p w14:paraId="60FA667A"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lastRenderedPageBreak/>
        <w:t>邮政编码：</w:t>
      </w:r>
      <w:r w:rsidRPr="00010F00">
        <w:rPr>
          <w:rFonts w:ascii="Times New Roman" w:hAnsi="Times New Roman" w:hint="eastAsia"/>
          <w:spacing w:val="-4"/>
          <w:sz w:val="24"/>
          <w:szCs w:val="24"/>
        </w:rPr>
        <w:t>100033</w:t>
      </w:r>
    </w:p>
    <w:p w14:paraId="013A3569"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法定代表人：张金良</w:t>
      </w:r>
    </w:p>
    <w:p w14:paraId="311F9D84"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成立日期：</w:t>
      </w:r>
      <w:r w:rsidRPr="00010F00">
        <w:rPr>
          <w:rFonts w:ascii="Times New Roman" w:hAnsi="Times New Roman" w:hint="eastAsia"/>
          <w:spacing w:val="-4"/>
          <w:sz w:val="24"/>
          <w:szCs w:val="24"/>
        </w:rPr>
        <w:t>2004</w:t>
      </w:r>
      <w:r w:rsidRPr="00010F00">
        <w:rPr>
          <w:rFonts w:ascii="Times New Roman" w:hAnsi="Times New Roman" w:hint="eastAsia"/>
          <w:spacing w:val="-4"/>
          <w:sz w:val="24"/>
          <w:szCs w:val="24"/>
        </w:rPr>
        <w:t>年</w:t>
      </w:r>
      <w:r w:rsidRPr="00010F00">
        <w:rPr>
          <w:rFonts w:ascii="Times New Roman" w:hAnsi="Times New Roman" w:hint="eastAsia"/>
          <w:spacing w:val="-4"/>
          <w:sz w:val="24"/>
          <w:szCs w:val="24"/>
        </w:rPr>
        <w:t>09</w:t>
      </w:r>
      <w:r w:rsidRPr="00010F00">
        <w:rPr>
          <w:rFonts w:ascii="Times New Roman" w:hAnsi="Times New Roman" w:hint="eastAsia"/>
          <w:spacing w:val="-4"/>
          <w:sz w:val="24"/>
          <w:szCs w:val="24"/>
        </w:rPr>
        <w:t>月</w:t>
      </w:r>
      <w:r w:rsidRPr="00010F00">
        <w:rPr>
          <w:rFonts w:ascii="Times New Roman" w:hAnsi="Times New Roman" w:hint="eastAsia"/>
          <w:spacing w:val="-4"/>
          <w:sz w:val="24"/>
          <w:szCs w:val="24"/>
        </w:rPr>
        <w:t>17</w:t>
      </w:r>
      <w:r w:rsidRPr="00010F00">
        <w:rPr>
          <w:rFonts w:ascii="Times New Roman" w:hAnsi="Times New Roman" w:hint="eastAsia"/>
          <w:spacing w:val="-4"/>
          <w:sz w:val="24"/>
          <w:szCs w:val="24"/>
        </w:rPr>
        <w:t>日</w:t>
      </w:r>
    </w:p>
    <w:p w14:paraId="24EA966A"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批准设立机关和批准设立文号：中国银行业监督管理委员会</w:t>
      </w:r>
      <w:proofErr w:type="gramStart"/>
      <w:r w:rsidRPr="00010F00">
        <w:rPr>
          <w:rFonts w:ascii="Times New Roman" w:hAnsi="Times New Roman" w:hint="eastAsia"/>
          <w:spacing w:val="-4"/>
          <w:sz w:val="24"/>
          <w:szCs w:val="24"/>
        </w:rPr>
        <w:t>银监复【</w:t>
      </w:r>
      <w:r w:rsidRPr="00010F00">
        <w:rPr>
          <w:rFonts w:ascii="Times New Roman" w:hAnsi="Times New Roman" w:hint="eastAsia"/>
          <w:spacing w:val="-4"/>
          <w:sz w:val="24"/>
          <w:szCs w:val="24"/>
        </w:rPr>
        <w:t>2004</w:t>
      </w:r>
      <w:r w:rsidRPr="00010F00">
        <w:rPr>
          <w:rFonts w:ascii="Times New Roman" w:hAnsi="Times New Roman" w:hint="eastAsia"/>
          <w:spacing w:val="-4"/>
          <w:sz w:val="24"/>
          <w:szCs w:val="24"/>
        </w:rPr>
        <w:t>】</w:t>
      </w:r>
      <w:proofErr w:type="gramEnd"/>
      <w:r w:rsidRPr="00010F00">
        <w:rPr>
          <w:rFonts w:ascii="Times New Roman" w:hAnsi="Times New Roman" w:hint="eastAsia"/>
          <w:spacing w:val="-4"/>
          <w:sz w:val="24"/>
          <w:szCs w:val="24"/>
        </w:rPr>
        <w:t>143</w:t>
      </w:r>
      <w:r w:rsidRPr="00010F00">
        <w:rPr>
          <w:rFonts w:ascii="Times New Roman" w:hAnsi="Times New Roman" w:hint="eastAsia"/>
          <w:spacing w:val="-4"/>
          <w:sz w:val="24"/>
          <w:szCs w:val="24"/>
        </w:rPr>
        <w:t>号</w:t>
      </w:r>
    </w:p>
    <w:p w14:paraId="56992E18"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基金托管业务批准文号：中国证监会</w:t>
      </w:r>
      <w:proofErr w:type="gramStart"/>
      <w:r w:rsidRPr="00010F00">
        <w:rPr>
          <w:rFonts w:ascii="Times New Roman" w:hAnsi="Times New Roman" w:hint="eastAsia"/>
          <w:spacing w:val="-4"/>
          <w:sz w:val="24"/>
          <w:szCs w:val="24"/>
        </w:rPr>
        <w:t>证监基字</w:t>
      </w:r>
      <w:proofErr w:type="gramEnd"/>
      <w:r w:rsidRPr="00010F00">
        <w:rPr>
          <w:rFonts w:ascii="Times New Roman" w:hAnsi="Times New Roman" w:hint="eastAsia"/>
          <w:spacing w:val="-4"/>
          <w:sz w:val="24"/>
          <w:szCs w:val="24"/>
        </w:rPr>
        <w:t>[1998</w:t>
      </w:r>
      <w:bookmarkStart w:id="3" w:name="OLE_LINK3"/>
      <w:r w:rsidRPr="00010F00">
        <w:rPr>
          <w:rFonts w:ascii="Times New Roman" w:hAnsi="Times New Roman" w:hint="eastAsia"/>
          <w:spacing w:val="-4"/>
          <w:sz w:val="24"/>
          <w:szCs w:val="24"/>
        </w:rPr>
        <w:t>]</w:t>
      </w:r>
      <w:bookmarkEnd w:id="3"/>
      <w:r w:rsidRPr="00010F00">
        <w:rPr>
          <w:rFonts w:ascii="Times New Roman" w:hAnsi="Times New Roman" w:hint="eastAsia"/>
          <w:spacing w:val="-4"/>
          <w:sz w:val="24"/>
          <w:szCs w:val="24"/>
        </w:rPr>
        <w:t>12</w:t>
      </w:r>
      <w:r w:rsidRPr="00010F00">
        <w:rPr>
          <w:rFonts w:ascii="Times New Roman" w:hAnsi="Times New Roman" w:hint="eastAsia"/>
          <w:spacing w:val="-4"/>
          <w:sz w:val="24"/>
          <w:szCs w:val="24"/>
        </w:rPr>
        <w:t>号</w:t>
      </w:r>
    </w:p>
    <w:p w14:paraId="4D8A3F26"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组织形式：股份有限公司</w:t>
      </w:r>
    </w:p>
    <w:p w14:paraId="4BA570AB"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注册资本：人民币</w:t>
      </w:r>
      <w:proofErr w:type="gramStart"/>
      <w:r w:rsidRPr="00010F00">
        <w:rPr>
          <w:rFonts w:ascii="Times New Roman" w:hAnsi="Times New Roman" w:hint="eastAsia"/>
          <w:spacing w:val="-4"/>
          <w:sz w:val="24"/>
          <w:szCs w:val="24"/>
        </w:rPr>
        <w:t>贰仟伍佰亿壹仟零玖拾柒万柒仟肆佰捌拾陆</w:t>
      </w:r>
      <w:proofErr w:type="gramEnd"/>
      <w:r w:rsidRPr="00010F00">
        <w:rPr>
          <w:rFonts w:ascii="Times New Roman" w:hAnsi="Times New Roman" w:hint="eastAsia"/>
          <w:spacing w:val="-4"/>
          <w:sz w:val="24"/>
          <w:szCs w:val="24"/>
        </w:rPr>
        <w:t>元整</w:t>
      </w:r>
    </w:p>
    <w:p w14:paraId="24E01E20"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存续期间：持续经营</w:t>
      </w:r>
    </w:p>
    <w:p w14:paraId="44F06879" w14:textId="77777777" w:rsidR="00010F00" w:rsidRPr="00010F00" w:rsidRDefault="00010F00" w:rsidP="00010F00">
      <w:pPr>
        <w:spacing w:line="360" w:lineRule="auto"/>
        <w:ind w:firstLineChars="200" w:firstLine="472"/>
        <w:jc w:val="both"/>
        <w:rPr>
          <w:rFonts w:ascii="Times New Roman" w:hAnsi="Times New Roman"/>
          <w:spacing w:val="-4"/>
          <w:sz w:val="24"/>
          <w:szCs w:val="24"/>
        </w:rPr>
      </w:pPr>
      <w:r w:rsidRPr="00010F00">
        <w:rPr>
          <w:rFonts w:ascii="Times New Roman" w:hAnsi="Times New Roman" w:hint="eastAsia"/>
          <w:spacing w:val="-4"/>
          <w:sz w:val="24"/>
          <w:szCs w:val="24"/>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55E4C24C" w14:textId="77777777" w:rsidR="002123B7" w:rsidRDefault="00D8519F" w:rsidP="00010F00">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r>
        <w:rPr>
          <w:rFonts w:ascii="Times New Roman" w:eastAsia="宋体" w:hAnsi="Times New Roman" w:cs="Times New Roman"/>
          <w:bCs w:val="0"/>
          <w:color w:val="000000" w:themeColor="text1"/>
          <w:kern w:val="2"/>
          <w:lang w:val="en-US" w:bidi="ar-SA"/>
        </w:rPr>
        <w:t>二、基金托管协议的依据、目的和原则</w:t>
      </w:r>
      <w:bookmarkEnd w:id="2"/>
    </w:p>
    <w:p w14:paraId="43FEBD5E" w14:textId="77777777" w:rsidR="002123B7" w:rsidRPr="00CB37EE" w:rsidRDefault="00D8519F"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color w:val="000000"/>
          <w:sz w:val="24"/>
          <w:szCs w:val="24"/>
        </w:rPr>
        <w:t>（一）订立托管协议的依据</w:t>
      </w:r>
    </w:p>
    <w:p w14:paraId="1EB39E3C" w14:textId="77777777" w:rsidR="002123B7" w:rsidRPr="00CB37EE"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本协议依据</w:t>
      </w:r>
      <w:r w:rsidRPr="00CB37EE">
        <w:rPr>
          <w:rFonts w:ascii="Times New Roman" w:hAnsi="Times New Roman" w:hint="eastAsia"/>
          <w:color w:val="000000"/>
          <w:sz w:val="24"/>
          <w:szCs w:val="24"/>
        </w:rPr>
        <w:t>《中华人民共和国民法典》、</w:t>
      </w:r>
      <w:r>
        <w:rPr>
          <w:rFonts w:ascii="Times New Roman" w:hAnsi="Times New Roman"/>
          <w:color w:val="000000"/>
          <w:sz w:val="24"/>
          <w:szCs w:val="24"/>
        </w:rPr>
        <w:t>《中华人民共和国证券投资基金法》（以下简称</w:t>
      </w:r>
      <w:r>
        <w:rPr>
          <w:rFonts w:ascii="Times New Roman" w:hAnsi="Times New Roman"/>
          <w:color w:val="000000"/>
          <w:sz w:val="24"/>
          <w:szCs w:val="24"/>
        </w:rPr>
        <w:t>“</w:t>
      </w:r>
      <w:r>
        <w:rPr>
          <w:rFonts w:ascii="Times New Roman" w:hAnsi="Times New Roman"/>
          <w:color w:val="000000"/>
          <w:sz w:val="24"/>
          <w:szCs w:val="24"/>
        </w:rPr>
        <w:t>《基金法》</w:t>
      </w:r>
      <w:r>
        <w:rPr>
          <w:rFonts w:ascii="Times New Roman" w:hAnsi="Times New Roman"/>
          <w:color w:val="000000"/>
          <w:sz w:val="24"/>
          <w:szCs w:val="24"/>
        </w:rPr>
        <w:t>”</w:t>
      </w:r>
      <w:r>
        <w:rPr>
          <w:rFonts w:ascii="Times New Roman" w:hAnsi="Times New Roman"/>
          <w:color w:val="000000"/>
          <w:sz w:val="24"/>
          <w:szCs w:val="24"/>
        </w:rPr>
        <w:t>）</w:t>
      </w:r>
      <w:r>
        <w:rPr>
          <w:rFonts w:ascii="Times New Roman" w:hAnsi="Times New Roman" w:hint="eastAsia"/>
          <w:color w:val="000000"/>
          <w:sz w:val="24"/>
          <w:szCs w:val="24"/>
        </w:rPr>
        <w:t>、</w:t>
      </w:r>
      <w:r w:rsidRPr="00CB37EE">
        <w:rPr>
          <w:rFonts w:ascii="Times New Roman" w:hAnsi="Times New Roman"/>
          <w:color w:val="000000"/>
          <w:sz w:val="24"/>
          <w:szCs w:val="24"/>
        </w:rPr>
        <w:t>《公开募集证券投资基金</w:t>
      </w:r>
      <w:r w:rsidRPr="00CB37EE">
        <w:rPr>
          <w:rFonts w:ascii="Times New Roman" w:hAnsi="Times New Roman" w:hint="eastAsia"/>
          <w:color w:val="000000"/>
          <w:sz w:val="24"/>
          <w:szCs w:val="24"/>
        </w:rPr>
        <w:t>运作</w:t>
      </w:r>
      <w:r w:rsidRPr="00CB37EE">
        <w:rPr>
          <w:rFonts w:ascii="Times New Roman" w:hAnsi="Times New Roman"/>
          <w:color w:val="000000"/>
          <w:sz w:val="24"/>
          <w:szCs w:val="24"/>
        </w:rPr>
        <w:t>管理</w:t>
      </w:r>
      <w:r w:rsidRPr="00CB37EE">
        <w:rPr>
          <w:rFonts w:ascii="Times New Roman" w:hAnsi="Times New Roman" w:hint="eastAsia"/>
          <w:color w:val="000000"/>
          <w:sz w:val="24"/>
          <w:szCs w:val="24"/>
        </w:rPr>
        <w:t>办法</w:t>
      </w:r>
      <w:r w:rsidRPr="00CB37EE">
        <w:rPr>
          <w:rFonts w:ascii="Times New Roman" w:hAnsi="Times New Roman"/>
          <w:color w:val="000000"/>
          <w:sz w:val="24"/>
          <w:szCs w:val="24"/>
        </w:rPr>
        <w:t>》</w:t>
      </w:r>
      <w:r w:rsidRPr="00CB37EE">
        <w:rPr>
          <w:rFonts w:ascii="Times New Roman" w:hAnsi="Times New Roman" w:hint="eastAsia"/>
          <w:color w:val="000000"/>
          <w:sz w:val="24"/>
          <w:szCs w:val="24"/>
        </w:rPr>
        <w:t>（以下简称“《运作办法》”）、《公开募集证券投资基金信息披露管理办法》</w:t>
      </w:r>
      <w:r w:rsidRPr="00CB37EE">
        <w:rPr>
          <w:rFonts w:ascii="Times New Roman" w:hAnsi="Times New Roman"/>
          <w:color w:val="000000"/>
          <w:sz w:val="24"/>
          <w:szCs w:val="24"/>
        </w:rPr>
        <w:t>（以下简称</w:t>
      </w:r>
      <w:r w:rsidRPr="00CB37EE">
        <w:rPr>
          <w:rFonts w:ascii="Times New Roman" w:hAnsi="Times New Roman" w:hint="eastAsia"/>
          <w:color w:val="000000"/>
          <w:sz w:val="24"/>
          <w:szCs w:val="24"/>
        </w:rPr>
        <w:t>“</w:t>
      </w:r>
      <w:r w:rsidRPr="00CB37EE">
        <w:rPr>
          <w:rFonts w:ascii="Times New Roman" w:hAnsi="Times New Roman"/>
          <w:color w:val="000000"/>
          <w:sz w:val="24"/>
          <w:szCs w:val="24"/>
        </w:rPr>
        <w:t>《信息披露办法》</w:t>
      </w:r>
      <w:r w:rsidRPr="00CB37EE">
        <w:rPr>
          <w:rFonts w:ascii="Times New Roman" w:hAnsi="Times New Roman" w:hint="eastAsia"/>
          <w:color w:val="000000"/>
          <w:sz w:val="24"/>
          <w:szCs w:val="24"/>
        </w:rPr>
        <w:t>”</w:t>
      </w:r>
      <w:r w:rsidRPr="00CB37EE">
        <w:rPr>
          <w:rFonts w:ascii="Times New Roman" w:hAnsi="Times New Roman"/>
          <w:color w:val="000000"/>
          <w:sz w:val="24"/>
          <w:szCs w:val="24"/>
        </w:rPr>
        <w:t>）、《公开募集开放式证券投资基金流动性风险管理规定》</w:t>
      </w:r>
      <w:r w:rsidRPr="00CB37EE">
        <w:rPr>
          <w:rFonts w:ascii="Times New Roman" w:hAnsi="Times New Roman" w:hint="eastAsia"/>
          <w:color w:val="000000"/>
          <w:sz w:val="24"/>
          <w:szCs w:val="24"/>
        </w:rPr>
        <w:t>（以下简称“《流动性风险管理规定》”）</w:t>
      </w:r>
      <w:r>
        <w:rPr>
          <w:rFonts w:ascii="Times New Roman" w:hAnsi="Times New Roman"/>
          <w:color w:val="000000"/>
          <w:sz w:val="24"/>
          <w:szCs w:val="24"/>
        </w:rPr>
        <w:t>等有关法律、法规（以下简称</w:t>
      </w:r>
      <w:r>
        <w:rPr>
          <w:rFonts w:ascii="Times New Roman" w:hAnsi="Times New Roman"/>
          <w:color w:val="000000"/>
          <w:sz w:val="24"/>
          <w:szCs w:val="24"/>
        </w:rPr>
        <w:t>“</w:t>
      </w:r>
      <w:r>
        <w:rPr>
          <w:rFonts w:ascii="Times New Roman" w:hAnsi="Times New Roman"/>
          <w:color w:val="000000"/>
          <w:sz w:val="24"/>
          <w:szCs w:val="24"/>
        </w:rPr>
        <w:t>法律法规</w:t>
      </w:r>
      <w:r>
        <w:rPr>
          <w:rFonts w:ascii="Times New Roman" w:hAnsi="Times New Roman"/>
          <w:color w:val="000000"/>
          <w:sz w:val="24"/>
          <w:szCs w:val="24"/>
        </w:rPr>
        <w:t>”</w:t>
      </w:r>
      <w:r>
        <w:rPr>
          <w:rFonts w:ascii="Times New Roman" w:hAnsi="Times New Roman"/>
          <w:color w:val="000000"/>
          <w:sz w:val="24"/>
          <w:szCs w:val="24"/>
        </w:rPr>
        <w:t>）、《基金合同》及其他有关规定制订。</w:t>
      </w:r>
    </w:p>
    <w:p w14:paraId="6BCA2A87" w14:textId="77777777" w:rsidR="002123B7" w:rsidRPr="00CB37EE" w:rsidRDefault="00D8519F"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color w:val="000000"/>
          <w:sz w:val="24"/>
          <w:szCs w:val="24"/>
        </w:rPr>
        <w:t>（二）订立托管协议的目的</w:t>
      </w:r>
    </w:p>
    <w:p w14:paraId="45CE68DD" w14:textId="77777777" w:rsidR="002123B7" w:rsidRPr="00CB37EE" w:rsidRDefault="00D8519F"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color w:val="000000"/>
          <w:sz w:val="24"/>
          <w:szCs w:val="24"/>
        </w:rPr>
        <w:t>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1A99CED0" w14:textId="77777777" w:rsidR="002123B7" w:rsidRPr="00CB37EE" w:rsidRDefault="00D8519F"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color w:val="000000"/>
          <w:sz w:val="24"/>
          <w:szCs w:val="24"/>
        </w:rPr>
        <w:t>（三）订立托管协议的原则</w:t>
      </w:r>
    </w:p>
    <w:p w14:paraId="199FC3F4" w14:textId="77777777" w:rsidR="002123B7" w:rsidRPr="00CB37EE" w:rsidRDefault="00D8519F"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color w:val="000000"/>
          <w:sz w:val="24"/>
          <w:szCs w:val="24"/>
        </w:rPr>
        <w:t>基金管理人和基金托管人本着平等自愿、诚实信用、充分保护基金投资者合法权益的原则，经协商一致，签订本协议。</w:t>
      </w:r>
    </w:p>
    <w:p w14:paraId="28BC16C7"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lastRenderedPageBreak/>
        <w:t>(</w:t>
      </w:r>
      <w:r w:rsidRPr="00CB37EE">
        <w:rPr>
          <w:rFonts w:ascii="Times New Roman" w:hAnsi="Times New Roman" w:hint="eastAsia"/>
          <w:color w:val="000000"/>
          <w:sz w:val="24"/>
          <w:szCs w:val="24"/>
        </w:rPr>
        <w:t>四</w:t>
      </w:r>
      <w:r w:rsidRPr="00CB37EE">
        <w:rPr>
          <w:rFonts w:ascii="Times New Roman" w:hAnsi="Times New Roman" w:hint="eastAsia"/>
          <w:color w:val="000000"/>
          <w:sz w:val="24"/>
          <w:szCs w:val="24"/>
        </w:rPr>
        <w:t>)</w:t>
      </w:r>
      <w:r w:rsidRPr="00CB37EE">
        <w:rPr>
          <w:rFonts w:ascii="Times New Roman" w:hAnsi="Times New Roman" w:hint="eastAsia"/>
          <w:color w:val="000000"/>
          <w:sz w:val="24"/>
          <w:szCs w:val="24"/>
        </w:rPr>
        <w:t>托管人免责声明</w:t>
      </w:r>
    </w:p>
    <w:p w14:paraId="52C28ABC"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 xml:space="preserve"> </w:t>
      </w:r>
      <w:r w:rsidRPr="00CB37EE">
        <w:rPr>
          <w:rFonts w:ascii="Times New Roman" w:hAnsi="Times New Roman" w:hint="eastAsia"/>
          <w:color w:val="000000"/>
          <w:sz w:val="24"/>
          <w:szCs w:val="24"/>
        </w:rPr>
        <w:t>基金托管人开展托管业务，不得承担以下职责：</w:t>
      </w:r>
    </w:p>
    <w:p w14:paraId="0C514237"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1.</w:t>
      </w:r>
      <w:r w:rsidRPr="00CB37EE">
        <w:rPr>
          <w:rFonts w:ascii="Times New Roman" w:hAnsi="Times New Roman" w:hint="eastAsia"/>
          <w:color w:val="000000"/>
          <w:sz w:val="24"/>
          <w:szCs w:val="24"/>
        </w:rPr>
        <w:t>承担基金财产的信用风险、市场风险等；</w:t>
      </w:r>
    </w:p>
    <w:p w14:paraId="2465EB62"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2.</w:t>
      </w:r>
      <w:r w:rsidRPr="00CB37EE">
        <w:rPr>
          <w:rFonts w:ascii="Times New Roman" w:hAnsi="Times New Roman" w:hint="eastAsia"/>
          <w:color w:val="000000"/>
          <w:sz w:val="24"/>
          <w:szCs w:val="24"/>
        </w:rPr>
        <w:t>为基金提供直接或间接、显性或隐性担保，包括承诺本金或保证收益；</w:t>
      </w:r>
    </w:p>
    <w:p w14:paraId="7503D94D"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3.</w:t>
      </w:r>
      <w:r w:rsidRPr="00CB37EE">
        <w:rPr>
          <w:rFonts w:ascii="Times New Roman" w:hAnsi="Times New Roman" w:hint="eastAsia"/>
          <w:color w:val="000000"/>
          <w:sz w:val="24"/>
          <w:szCs w:val="24"/>
        </w:rPr>
        <w:t>为基金垫付资金、提供流动性支持或融资承诺等；</w:t>
      </w:r>
    </w:p>
    <w:p w14:paraId="2FB462D9"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4.</w:t>
      </w:r>
      <w:r w:rsidRPr="00CB37EE">
        <w:rPr>
          <w:rFonts w:ascii="Times New Roman" w:hAnsi="Times New Roman" w:hint="eastAsia"/>
          <w:color w:val="000000"/>
          <w:sz w:val="24"/>
          <w:szCs w:val="24"/>
        </w:rPr>
        <w:t>参与投资者适当性管理；</w:t>
      </w:r>
    </w:p>
    <w:p w14:paraId="3640ECAF"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5.</w:t>
      </w:r>
      <w:r w:rsidRPr="00CB37EE">
        <w:rPr>
          <w:rFonts w:ascii="Times New Roman" w:hAnsi="Times New Roman" w:hint="eastAsia"/>
          <w:color w:val="000000"/>
          <w:sz w:val="24"/>
          <w:szCs w:val="24"/>
        </w:rPr>
        <w:t>保证投资项目及交易信息真实性；</w:t>
      </w:r>
    </w:p>
    <w:p w14:paraId="73C4C4D8"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6.</w:t>
      </w:r>
      <w:r w:rsidRPr="00CB37EE">
        <w:rPr>
          <w:rFonts w:ascii="Times New Roman" w:hAnsi="Times New Roman" w:hint="eastAsia"/>
          <w:color w:val="000000"/>
          <w:sz w:val="24"/>
          <w:szCs w:val="24"/>
        </w:rPr>
        <w:t>保证基金资金来源的合法合</w:t>
      </w:r>
      <w:proofErr w:type="gramStart"/>
      <w:r w:rsidRPr="00CB37EE">
        <w:rPr>
          <w:rFonts w:ascii="Times New Roman" w:hAnsi="Times New Roman" w:hint="eastAsia"/>
          <w:color w:val="000000"/>
          <w:sz w:val="24"/>
          <w:szCs w:val="24"/>
        </w:rPr>
        <w:t>规</w:t>
      </w:r>
      <w:proofErr w:type="gramEnd"/>
      <w:r w:rsidRPr="00CB37EE">
        <w:rPr>
          <w:rFonts w:ascii="Times New Roman" w:hAnsi="Times New Roman" w:hint="eastAsia"/>
          <w:color w:val="000000"/>
          <w:sz w:val="24"/>
          <w:szCs w:val="24"/>
        </w:rPr>
        <w:t>性；</w:t>
      </w:r>
    </w:p>
    <w:p w14:paraId="5EC0996A"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7.</w:t>
      </w:r>
      <w:r w:rsidRPr="00CB37EE">
        <w:rPr>
          <w:rFonts w:ascii="Times New Roman" w:hAnsi="Times New Roman" w:hint="eastAsia"/>
          <w:color w:val="000000"/>
          <w:sz w:val="24"/>
          <w:szCs w:val="24"/>
        </w:rPr>
        <w:t>对已划出托管账户以及处于基金托管人实际控制之外的资产承担保管责任；</w:t>
      </w:r>
    </w:p>
    <w:p w14:paraId="1DCA5698"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8.</w:t>
      </w:r>
      <w:r w:rsidRPr="00CB37EE">
        <w:rPr>
          <w:rFonts w:ascii="Times New Roman" w:hAnsi="Times New Roman" w:hint="eastAsia"/>
          <w:color w:val="000000"/>
          <w:sz w:val="24"/>
          <w:szCs w:val="24"/>
        </w:rPr>
        <w:t>参与基金管理人对基金的投资决策；</w:t>
      </w:r>
    </w:p>
    <w:p w14:paraId="7668CBF3"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9.</w:t>
      </w:r>
      <w:r w:rsidRPr="00CB37EE">
        <w:rPr>
          <w:rFonts w:ascii="Times New Roman" w:hAnsi="Times New Roman" w:hint="eastAsia"/>
          <w:color w:val="000000"/>
          <w:sz w:val="24"/>
          <w:szCs w:val="24"/>
        </w:rPr>
        <w:t>违规代替基金管理人向其他机构或者个人进行基金信息披露或提供相关数据信息；</w:t>
      </w:r>
    </w:p>
    <w:p w14:paraId="2D65151A"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10.</w:t>
      </w:r>
      <w:r w:rsidRPr="00CB37EE">
        <w:rPr>
          <w:rFonts w:ascii="Times New Roman" w:hAnsi="Times New Roman" w:hint="eastAsia"/>
          <w:color w:val="000000"/>
          <w:sz w:val="24"/>
          <w:szCs w:val="24"/>
        </w:rPr>
        <w:t>基金管理人未接受基金托管人的复核意见进行信息披露产生的相应责任；</w:t>
      </w:r>
    </w:p>
    <w:p w14:paraId="19E7489C"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11.</w:t>
      </w:r>
      <w:r w:rsidRPr="00CB37EE">
        <w:rPr>
          <w:rFonts w:ascii="Times New Roman" w:hAnsi="Times New Roman" w:hint="eastAsia"/>
          <w:color w:val="000000"/>
          <w:sz w:val="24"/>
          <w:szCs w:val="24"/>
        </w:rPr>
        <w:t>负责未兑付产品的资金追偿、财产保全、诉讼仲裁、债务重组和破产程序等，法律另有规定的除外；</w:t>
      </w:r>
    </w:p>
    <w:p w14:paraId="58D94B0F"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12.</w:t>
      </w:r>
      <w:r w:rsidRPr="00CB37EE">
        <w:rPr>
          <w:rFonts w:ascii="Times New Roman" w:hAnsi="Times New Roman" w:hint="eastAsia"/>
          <w:color w:val="000000"/>
          <w:sz w:val="24"/>
          <w:szCs w:val="24"/>
        </w:rPr>
        <w:t>因不可抗力，以及非本机构履职错误或过失造成的托管资产损失；</w:t>
      </w:r>
    </w:p>
    <w:p w14:paraId="232155BE" w14:textId="77777777" w:rsidR="00230466" w:rsidRPr="00CB37EE" w:rsidRDefault="00230466" w:rsidP="00CB37EE">
      <w:pPr>
        <w:adjustRightInd w:val="0"/>
        <w:snapToGrid w:val="0"/>
        <w:spacing w:line="360" w:lineRule="auto"/>
        <w:ind w:firstLineChars="200" w:firstLine="480"/>
        <w:jc w:val="both"/>
        <w:rPr>
          <w:rFonts w:ascii="Times New Roman" w:hAnsi="Times New Roman"/>
          <w:color w:val="000000"/>
          <w:sz w:val="24"/>
          <w:szCs w:val="24"/>
        </w:rPr>
      </w:pPr>
      <w:r w:rsidRPr="00CB37EE">
        <w:rPr>
          <w:rFonts w:ascii="Times New Roman" w:hAnsi="Times New Roman" w:hint="eastAsia"/>
          <w:color w:val="000000"/>
          <w:sz w:val="24"/>
          <w:szCs w:val="24"/>
        </w:rPr>
        <w:t>13.</w:t>
      </w:r>
      <w:r w:rsidRPr="00CB37EE">
        <w:rPr>
          <w:rFonts w:ascii="Times New Roman" w:hAnsi="Times New Roman" w:hint="eastAsia"/>
          <w:color w:val="000000"/>
          <w:sz w:val="24"/>
          <w:szCs w:val="24"/>
        </w:rPr>
        <w:t>国务院金融监管部门规定的不属于基金托管人托管业务范围的其他职责。</w:t>
      </w:r>
    </w:p>
    <w:p w14:paraId="6E9B5470" w14:textId="77777777" w:rsidR="00230466" w:rsidRDefault="00230466">
      <w:pPr>
        <w:spacing w:line="360" w:lineRule="auto"/>
        <w:ind w:firstLineChars="200" w:firstLine="472"/>
        <w:jc w:val="both"/>
        <w:rPr>
          <w:rFonts w:ascii="Times New Roman" w:hAnsi="Times New Roman"/>
          <w:spacing w:val="-4"/>
          <w:sz w:val="24"/>
          <w:szCs w:val="24"/>
        </w:rPr>
      </w:pPr>
    </w:p>
    <w:p w14:paraId="212D1892" w14:textId="77777777" w:rsidR="002123B7" w:rsidRDefault="002123B7">
      <w:pPr>
        <w:spacing w:line="360" w:lineRule="auto"/>
        <w:jc w:val="both"/>
        <w:rPr>
          <w:rFonts w:ascii="Times New Roman" w:hAnsi="Times New Roman"/>
          <w:spacing w:val="-4"/>
          <w:sz w:val="24"/>
          <w:szCs w:val="24"/>
        </w:rPr>
      </w:pPr>
    </w:p>
    <w:p w14:paraId="5A1463F7"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4" w:name="_Toc516502488"/>
      <w:r>
        <w:rPr>
          <w:rFonts w:ascii="Times New Roman" w:eastAsia="宋体" w:hAnsi="Times New Roman" w:cs="Times New Roman"/>
          <w:bCs w:val="0"/>
          <w:color w:val="000000" w:themeColor="text1"/>
          <w:kern w:val="2"/>
          <w:lang w:val="en-US" w:bidi="ar-SA"/>
        </w:rPr>
        <w:t>三、基金托管人对基金管理人的业务监督和核查</w:t>
      </w:r>
      <w:bookmarkEnd w:id="4"/>
    </w:p>
    <w:p w14:paraId="5B4BED25" w14:textId="77777777" w:rsidR="00010F00" w:rsidRDefault="00D8519F" w:rsidP="00010F00">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w:t>
      </w:r>
      <w:bookmarkStart w:id="5" w:name="_Hlk179966680"/>
      <w:bookmarkStart w:id="6" w:name="_Hlk206676061"/>
      <w:r w:rsidR="00010F00" w:rsidRPr="00010F00">
        <w:rPr>
          <w:rFonts w:ascii="Times New Roman" w:hAnsi="Times New Roman" w:hint="eastAsia"/>
          <w:spacing w:val="-4"/>
          <w:sz w:val="24"/>
          <w:szCs w:val="24"/>
        </w:rPr>
        <w:t>基金托管人根据有关法律法规的规定及《基金合同》的约定，对基金投资范围、投资对象进行监督。《基金合同》明确约定基金投资风格或证券选择标准的，基金管理人应按照基金托管人要求的格式，将拟投资的标的证券</w:t>
      </w:r>
      <w:proofErr w:type="gramStart"/>
      <w:r w:rsidR="00010F00" w:rsidRPr="00010F00">
        <w:rPr>
          <w:rFonts w:ascii="Times New Roman" w:hAnsi="Times New Roman" w:hint="eastAsia"/>
          <w:spacing w:val="-4"/>
          <w:sz w:val="24"/>
          <w:szCs w:val="24"/>
        </w:rPr>
        <w:t>库提供</w:t>
      </w:r>
      <w:proofErr w:type="gramEnd"/>
      <w:r w:rsidR="00010F00" w:rsidRPr="00010F00">
        <w:rPr>
          <w:rFonts w:ascii="Times New Roman" w:hAnsi="Times New Roman" w:hint="eastAsia"/>
          <w:spacing w:val="-4"/>
          <w:sz w:val="24"/>
          <w:szCs w:val="24"/>
        </w:rPr>
        <w:t>给基金托管人，基金管理人可以根据实际情况的变化，对标的证券</w:t>
      </w:r>
      <w:proofErr w:type="gramStart"/>
      <w:r w:rsidR="00010F00" w:rsidRPr="00010F00">
        <w:rPr>
          <w:rFonts w:ascii="Times New Roman" w:hAnsi="Times New Roman" w:hint="eastAsia"/>
          <w:spacing w:val="-4"/>
          <w:sz w:val="24"/>
          <w:szCs w:val="24"/>
        </w:rPr>
        <w:t>库予以</w:t>
      </w:r>
      <w:proofErr w:type="gramEnd"/>
      <w:r w:rsidR="00010F00" w:rsidRPr="00010F00">
        <w:rPr>
          <w:rFonts w:ascii="Times New Roman" w:hAnsi="Times New Roman" w:hint="eastAsia"/>
          <w:spacing w:val="-4"/>
          <w:sz w:val="24"/>
          <w:szCs w:val="24"/>
        </w:rPr>
        <w:t>更新和调整并及时书面通知基金托管人。基金托管人根据上述投资范围对基金实际投资是否符合《基金合同》关于证券选择标准的约定进行监督。</w:t>
      </w:r>
    </w:p>
    <w:p w14:paraId="0AD58C4C" w14:textId="77777777" w:rsidR="002123B7" w:rsidRDefault="00D8519F" w:rsidP="00010F00">
      <w:pPr>
        <w:spacing w:line="360" w:lineRule="auto"/>
        <w:ind w:firstLineChars="200" w:firstLine="480"/>
        <w:jc w:val="both"/>
        <w:rPr>
          <w:rFonts w:ascii="Times New Roman" w:hAnsi="Times New Roman"/>
          <w:bCs/>
          <w:sz w:val="24"/>
        </w:rPr>
      </w:pPr>
      <w:r>
        <w:rPr>
          <w:rFonts w:ascii="Times New Roman" w:hAnsi="Times New Roman" w:hint="eastAsia"/>
          <w:bCs/>
          <w:sz w:val="24"/>
        </w:rPr>
        <w:t>本基金主要投资于标的指数成份股和备选成份股。</w:t>
      </w:r>
    </w:p>
    <w:p w14:paraId="3D73E9A5"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为更好地实现基金的投资目标，本基金可能会少量投资于国内依法发行上市的非成份股（包括创业板、存托凭证及其他经中国证监会允许上市的股票）、债券</w:t>
      </w:r>
      <w:r>
        <w:rPr>
          <w:rFonts w:ascii="Times New Roman" w:hAnsi="Times New Roman" w:hint="eastAsia"/>
          <w:bCs/>
          <w:sz w:val="24"/>
        </w:rPr>
        <w:lastRenderedPageBreak/>
        <w:t>（包括国内依法发行的国债、央行票据、金融债券、企业债券、公司债券、中期票据、短期融资</w:t>
      </w:r>
      <w:proofErr w:type="gramStart"/>
      <w:r>
        <w:rPr>
          <w:rFonts w:ascii="Times New Roman" w:hAnsi="Times New Roman" w:hint="eastAsia"/>
          <w:bCs/>
          <w:sz w:val="24"/>
        </w:rPr>
        <w:t>券</w:t>
      </w:r>
      <w:proofErr w:type="gramEnd"/>
      <w:r>
        <w:rPr>
          <w:rFonts w:ascii="Times New Roman" w:hAnsi="Times New Roman" w:hint="eastAsia"/>
          <w:bCs/>
          <w:sz w:val="24"/>
        </w:rPr>
        <w:t>、超短期融资</w:t>
      </w:r>
      <w:proofErr w:type="gramStart"/>
      <w:r>
        <w:rPr>
          <w:rFonts w:ascii="Times New Roman" w:hAnsi="Times New Roman" w:hint="eastAsia"/>
          <w:bCs/>
          <w:sz w:val="24"/>
        </w:rPr>
        <w:t>券</w:t>
      </w:r>
      <w:proofErr w:type="gramEnd"/>
      <w:r>
        <w:rPr>
          <w:rFonts w:ascii="Times New Roman" w:hAnsi="Times New Roman" w:hint="eastAsia"/>
          <w:bCs/>
          <w:sz w:val="24"/>
        </w:rPr>
        <w:t>、次级债券、政府支持机构债、政府支持债券、地方政府债、可转换债券及其他经中国证监会允许投资的债券）、货币市场工具、股指期货、资产支持证券</w:t>
      </w:r>
      <w:r>
        <w:rPr>
          <w:rFonts w:ascii="Times New Roman" w:hAnsi="Times New Roman" w:hint="eastAsia"/>
          <w:bCs/>
          <w:sz w:val="24"/>
          <w:lang w:val="en-US"/>
        </w:rPr>
        <w:t>、债券回购</w:t>
      </w:r>
      <w:r>
        <w:rPr>
          <w:rFonts w:ascii="Times New Roman" w:hAnsi="Times New Roman" w:hint="eastAsia"/>
          <w:bCs/>
          <w:sz w:val="24"/>
        </w:rPr>
        <w:t>以及法律法规或中国证监会允许基金投资的其他金融工具（但须符合中国证监会的相关规定）。</w:t>
      </w:r>
    </w:p>
    <w:p w14:paraId="22D734F6"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本基金可根据法律法规的规定参与融资以及转融通证券出借业务。</w:t>
      </w:r>
    </w:p>
    <w:p w14:paraId="351788ED"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如法律法规或监管机构以后允许基金投资其他品种，基金管理人在履行适当程序后，可以将其纳入投资范围。</w:t>
      </w:r>
    </w:p>
    <w:p w14:paraId="62ECB17B"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基金的投资组合比例为：</w:t>
      </w:r>
      <w:r>
        <w:rPr>
          <w:rFonts w:ascii="Times New Roman" w:hAnsi="Times New Roman" w:hint="eastAsia"/>
          <w:bCs/>
          <w:sz w:val="24"/>
        </w:rPr>
        <w:t>本基金投资于标的指数成份股和备选成份股的资产比例不低于基金资产净值的</w:t>
      </w:r>
      <w:r>
        <w:rPr>
          <w:rFonts w:ascii="Times New Roman" w:hAnsi="Times New Roman"/>
          <w:bCs/>
          <w:sz w:val="24"/>
        </w:rPr>
        <w:t>90%</w:t>
      </w:r>
      <w:r>
        <w:rPr>
          <w:rFonts w:ascii="Times New Roman" w:hAnsi="Times New Roman"/>
          <w:bCs/>
          <w:sz w:val="24"/>
        </w:rPr>
        <w:t>，且不低于非现金基金资产的</w:t>
      </w:r>
      <w:r>
        <w:rPr>
          <w:rFonts w:ascii="Times New Roman" w:hAnsi="Times New Roman"/>
          <w:bCs/>
          <w:sz w:val="24"/>
        </w:rPr>
        <w:t>80%</w:t>
      </w:r>
      <w:r>
        <w:rPr>
          <w:rFonts w:ascii="Times New Roman" w:hAnsi="Times New Roman"/>
          <w:bCs/>
          <w:sz w:val="24"/>
        </w:rPr>
        <w:t>；股指期货及其他金融工具的投资比例依照法律法规或监管机构的规定执行。</w:t>
      </w:r>
    </w:p>
    <w:p w14:paraId="2D619D2B"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如果法律法规或中国证监会变更投资品种的投资比例限制，基金管理人在履行适当程序后，可以调整上述投资品种的投资比例。</w:t>
      </w:r>
      <w:bookmarkEnd w:id="5"/>
    </w:p>
    <w:p w14:paraId="14D73A2A"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（二）基金托管人根据有关法律法规的规定及《基金合同》的约定，对基金投资、融资</w:t>
      </w:r>
      <w:r>
        <w:rPr>
          <w:rFonts w:ascii="Times New Roman" w:hAnsi="Times New Roman" w:hint="eastAsia"/>
          <w:color w:val="000000"/>
          <w:sz w:val="24"/>
          <w:szCs w:val="24"/>
        </w:rPr>
        <w:t>、融券</w:t>
      </w:r>
      <w:r>
        <w:rPr>
          <w:rFonts w:ascii="Times New Roman" w:hAnsi="Times New Roman"/>
          <w:color w:val="000000"/>
          <w:sz w:val="24"/>
          <w:szCs w:val="24"/>
        </w:rPr>
        <w:t>比例进行监督。基金托管人按下述比例和调整期限进行监督：</w:t>
      </w:r>
    </w:p>
    <w:p w14:paraId="1FDF11EF" w14:textId="77777777" w:rsidR="002123B7" w:rsidRDefault="00D8519F">
      <w:pPr>
        <w:spacing w:line="360" w:lineRule="auto"/>
        <w:ind w:firstLineChars="200" w:firstLine="480"/>
        <w:jc w:val="both"/>
        <w:rPr>
          <w:rFonts w:ascii="Times New Roman" w:hAnsi="Times New Roman"/>
          <w:bCs/>
          <w:sz w:val="24"/>
        </w:rPr>
      </w:pPr>
      <w:bookmarkStart w:id="7" w:name="_Hlk179966890"/>
      <w:bookmarkStart w:id="8" w:name="_Hlk147752750"/>
      <w:r>
        <w:rPr>
          <w:rFonts w:ascii="Times New Roman" w:hAnsi="Times New Roman" w:hint="eastAsia"/>
          <w:bCs/>
          <w:sz w:val="24"/>
        </w:rPr>
        <w:t>1</w:t>
      </w:r>
      <w:r>
        <w:rPr>
          <w:rFonts w:ascii="Times New Roman" w:hAnsi="Times New Roman" w:hint="eastAsia"/>
          <w:bCs/>
          <w:sz w:val="24"/>
        </w:rPr>
        <w:t>、</w:t>
      </w:r>
      <w:r>
        <w:rPr>
          <w:rFonts w:ascii="Times New Roman" w:hAnsi="Times New Roman"/>
          <w:bCs/>
          <w:sz w:val="24"/>
        </w:rPr>
        <w:t>本基金投资于标的指数成份股和备选成份股的资产比例不低于基金资产净值的</w:t>
      </w:r>
      <w:r>
        <w:rPr>
          <w:rFonts w:ascii="Times New Roman" w:hAnsi="Times New Roman"/>
          <w:bCs/>
          <w:sz w:val="24"/>
        </w:rPr>
        <w:t>90%</w:t>
      </w:r>
      <w:r>
        <w:rPr>
          <w:rFonts w:ascii="Times New Roman" w:hAnsi="Times New Roman"/>
          <w:bCs/>
          <w:sz w:val="24"/>
        </w:rPr>
        <w:t>，且不低于非现金基金资产的</w:t>
      </w:r>
      <w:r>
        <w:rPr>
          <w:rFonts w:ascii="Times New Roman" w:hAnsi="Times New Roman"/>
          <w:bCs/>
          <w:sz w:val="24"/>
        </w:rPr>
        <w:t>80%</w:t>
      </w:r>
      <w:r>
        <w:rPr>
          <w:rFonts w:ascii="Times New Roman" w:hAnsi="Times New Roman"/>
          <w:bCs/>
          <w:sz w:val="24"/>
        </w:rPr>
        <w:t>；</w:t>
      </w:r>
    </w:p>
    <w:p w14:paraId="4BBFCBE6"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2</w:t>
      </w:r>
      <w:r>
        <w:rPr>
          <w:rFonts w:ascii="Times New Roman" w:hAnsi="Times New Roman" w:hint="eastAsia"/>
          <w:bCs/>
          <w:sz w:val="24"/>
        </w:rPr>
        <w:t>、</w:t>
      </w:r>
      <w:r>
        <w:rPr>
          <w:rFonts w:ascii="Times New Roman" w:hAnsi="Times New Roman"/>
          <w:bCs/>
          <w:sz w:val="24"/>
        </w:rPr>
        <w:t>本基金参与股指期货交易依据下列标准建构组合：</w:t>
      </w:r>
    </w:p>
    <w:p w14:paraId="17FE1ABD"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在任何交易日日终，持有的买入股指期货合约价值，不得超过基金资产净值的</w:t>
      </w:r>
      <w:r>
        <w:rPr>
          <w:rFonts w:ascii="Times New Roman" w:hAnsi="Times New Roman"/>
          <w:bCs/>
          <w:sz w:val="24"/>
        </w:rPr>
        <w:t>10%</w:t>
      </w:r>
      <w:r>
        <w:rPr>
          <w:rFonts w:ascii="Times New Roman" w:hAnsi="Times New Roman"/>
          <w:bCs/>
          <w:sz w:val="24"/>
        </w:rPr>
        <w:t>；在任何交易日日终，持有的买入股指期货合约价值与有价证券市值之和，不得超过基金资产净值的</w:t>
      </w:r>
      <w:r>
        <w:rPr>
          <w:rFonts w:ascii="Times New Roman" w:hAnsi="Times New Roman"/>
          <w:bCs/>
          <w:sz w:val="24"/>
        </w:rPr>
        <w:t>100%</w:t>
      </w:r>
      <w:r>
        <w:rPr>
          <w:rFonts w:ascii="Times New Roman" w:hAnsi="Times New Roman"/>
          <w:bCs/>
          <w:sz w:val="24"/>
        </w:rPr>
        <w:t>，其中，有价证券指股票、债券（不含到期日在一年以内的政府债券）、资产支持证券、买入返售金融资产（不含质押式回购）等；在任何交易日日终，持有的卖出股指期货合约价值不得超过基金持有的股票总市值的</w:t>
      </w:r>
      <w:r>
        <w:rPr>
          <w:rFonts w:ascii="Times New Roman" w:hAnsi="Times New Roman"/>
          <w:bCs/>
          <w:sz w:val="24"/>
        </w:rPr>
        <w:t>20%</w:t>
      </w:r>
      <w:r>
        <w:rPr>
          <w:rFonts w:ascii="Times New Roman" w:hAnsi="Times New Roman"/>
          <w:bCs/>
          <w:sz w:val="24"/>
        </w:rPr>
        <w:t>；在任何交易日内交易（不包括平仓）的股指期货合约的成交金额不得超过上一交易日基金资产净值的</w:t>
      </w:r>
      <w:r>
        <w:rPr>
          <w:rFonts w:ascii="Times New Roman" w:hAnsi="Times New Roman"/>
          <w:bCs/>
          <w:sz w:val="24"/>
        </w:rPr>
        <w:t>20%</w:t>
      </w:r>
      <w:r>
        <w:rPr>
          <w:rFonts w:ascii="Times New Roman" w:hAnsi="Times New Roman"/>
          <w:bCs/>
          <w:sz w:val="24"/>
        </w:rPr>
        <w:t>；每个交易日日终在扣除股指期货合约需缴纳的交易保证</w:t>
      </w:r>
      <w:r>
        <w:rPr>
          <w:rFonts w:ascii="Times New Roman" w:hAnsi="Times New Roman" w:hint="eastAsia"/>
          <w:bCs/>
          <w:sz w:val="24"/>
        </w:rPr>
        <w:t>金后，应当保持不低于交易保证金一倍的现金（不包括结算备付金、存出保证金、应收申购款等）；本基金所持有的股票市值和买入、卖出股指期货合约价值，合计（轧差计算）应当符合基金合同关于股票投资比例的有关约定；</w:t>
      </w:r>
    </w:p>
    <w:p w14:paraId="0A547285"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3</w:t>
      </w:r>
      <w:r>
        <w:rPr>
          <w:rFonts w:ascii="Times New Roman" w:hAnsi="Times New Roman" w:hint="eastAsia"/>
          <w:bCs/>
          <w:sz w:val="24"/>
        </w:rPr>
        <w:t>、</w:t>
      </w:r>
      <w:r>
        <w:rPr>
          <w:rFonts w:ascii="Times New Roman" w:hAnsi="Times New Roman"/>
          <w:bCs/>
          <w:sz w:val="24"/>
        </w:rPr>
        <w:t>本基金投资于同一原始权益人的</w:t>
      </w:r>
      <w:r>
        <w:rPr>
          <w:rFonts w:ascii="Times New Roman" w:hAnsi="Times New Roman" w:hint="eastAsia"/>
          <w:bCs/>
          <w:sz w:val="24"/>
        </w:rPr>
        <w:t>各类</w:t>
      </w:r>
      <w:r>
        <w:rPr>
          <w:rFonts w:ascii="Times New Roman" w:hAnsi="Times New Roman"/>
          <w:bCs/>
          <w:sz w:val="24"/>
        </w:rPr>
        <w:t>资产支持证券的比例，不得超过基金资产净值的</w:t>
      </w:r>
      <w:r>
        <w:rPr>
          <w:rFonts w:ascii="Times New Roman" w:hAnsi="Times New Roman"/>
          <w:bCs/>
          <w:sz w:val="24"/>
        </w:rPr>
        <w:t>10</w:t>
      </w:r>
      <w:r>
        <w:rPr>
          <w:rFonts w:ascii="Times New Roman" w:hAnsi="Times New Roman"/>
          <w:bCs/>
          <w:sz w:val="24"/>
        </w:rPr>
        <w:t>％；</w:t>
      </w:r>
    </w:p>
    <w:p w14:paraId="64BA1216"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lastRenderedPageBreak/>
        <w:t>4</w:t>
      </w:r>
      <w:r>
        <w:rPr>
          <w:rFonts w:ascii="Times New Roman" w:hAnsi="Times New Roman" w:hint="eastAsia"/>
          <w:bCs/>
          <w:sz w:val="24"/>
        </w:rPr>
        <w:t>、</w:t>
      </w:r>
      <w:r>
        <w:rPr>
          <w:rFonts w:ascii="Times New Roman" w:hAnsi="Times New Roman"/>
          <w:bCs/>
          <w:sz w:val="24"/>
        </w:rPr>
        <w:t>本基金持有的全部资产支持证券，其市值不得超过基金资产净值的</w:t>
      </w:r>
      <w:r>
        <w:rPr>
          <w:rFonts w:ascii="Times New Roman" w:hAnsi="Times New Roman"/>
          <w:bCs/>
          <w:sz w:val="24"/>
        </w:rPr>
        <w:t>20</w:t>
      </w:r>
      <w:r>
        <w:rPr>
          <w:rFonts w:ascii="Times New Roman" w:hAnsi="Times New Roman"/>
          <w:bCs/>
          <w:sz w:val="24"/>
        </w:rPr>
        <w:t>％；</w:t>
      </w:r>
    </w:p>
    <w:p w14:paraId="5154B18E"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5</w:t>
      </w:r>
      <w:r>
        <w:rPr>
          <w:rFonts w:ascii="Times New Roman" w:hAnsi="Times New Roman" w:hint="eastAsia"/>
          <w:bCs/>
          <w:sz w:val="24"/>
        </w:rPr>
        <w:t>、</w:t>
      </w:r>
      <w:r>
        <w:rPr>
          <w:rFonts w:ascii="Times New Roman" w:hAnsi="Times New Roman"/>
          <w:bCs/>
          <w:sz w:val="24"/>
        </w:rPr>
        <w:t>本基金持有的同一</w:t>
      </w:r>
      <w:r>
        <w:rPr>
          <w:rFonts w:ascii="Times New Roman" w:hAnsi="Times New Roman"/>
          <w:bCs/>
          <w:sz w:val="24"/>
        </w:rPr>
        <w:t>(</w:t>
      </w:r>
      <w:r>
        <w:rPr>
          <w:rFonts w:ascii="Times New Roman" w:hAnsi="Times New Roman"/>
          <w:bCs/>
          <w:sz w:val="24"/>
        </w:rPr>
        <w:t>指同一信用级别</w:t>
      </w:r>
      <w:r>
        <w:rPr>
          <w:rFonts w:ascii="Times New Roman" w:hAnsi="Times New Roman"/>
          <w:bCs/>
          <w:sz w:val="24"/>
        </w:rPr>
        <w:t>)</w:t>
      </w:r>
      <w:r>
        <w:rPr>
          <w:rFonts w:ascii="Times New Roman" w:hAnsi="Times New Roman"/>
          <w:bCs/>
          <w:sz w:val="24"/>
        </w:rPr>
        <w:t>资产支持证券的比例，不得超过该资产支持证券规模的</w:t>
      </w:r>
      <w:r>
        <w:rPr>
          <w:rFonts w:ascii="Times New Roman" w:hAnsi="Times New Roman"/>
          <w:bCs/>
          <w:sz w:val="24"/>
        </w:rPr>
        <w:t>10</w:t>
      </w:r>
      <w:r>
        <w:rPr>
          <w:rFonts w:ascii="Times New Roman" w:hAnsi="Times New Roman"/>
          <w:bCs/>
          <w:sz w:val="24"/>
        </w:rPr>
        <w:t>％；</w:t>
      </w:r>
    </w:p>
    <w:p w14:paraId="392C6D14" w14:textId="26E8EE7D"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6</w:t>
      </w:r>
      <w:r>
        <w:rPr>
          <w:rFonts w:ascii="Times New Roman" w:hAnsi="Times New Roman" w:hint="eastAsia"/>
          <w:bCs/>
          <w:sz w:val="24"/>
        </w:rPr>
        <w:t>、</w:t>
      </w:r>
      <w:r>
        <w:rPr>
          <w:rFonts w:ascii="Times New Roman" w:hAnsi="Times New Roman"/>
          <w:bCs/>
          <w:sz w:val="24"/>
        </w:rPr>
        <w:t>本基金管理人管理的</w:t>
      </w:r>
      <w:r w:rsidR="00A32920" w:rsidRPr="00A32920">
        <w:rPr>
          <w:rFonts w:ascii="Times New Roman" w:hAnsi="Times New Roman" w:hint="eastAsia"/>
          <w:bCs/>
          <w:sz w:val="24"/>
        </w:rPr>
        <w:t>且在本基金托管人处托管的</w:t>
      </w:r>
      <w:r>
        <w:rPr>
          <w:rFonts w:ascii="Times New Roman" w:hAnsi="Times New Roman"/>
          <w:bCs/>
          <w:sz w:val="24"/>
        </w:rPr>
        <w:t>全部基金投资于同一原始权益人的</w:t>
      </w:r>
      <w:r>
        <w:rPr>
          <w:rFonts w:ascii="Times New Roman" w:hAnsi="Times New Roman" w:hint="eastAsia"/>
          <w:bCs/>
          <w:sz w:val="24"/>
        </w:rPr>
        <w:t>各类</w:t>
      </w:r>
      <w:r>
        <w:rPr>
          <w:rFonts w:ascii="Times New Roman" w:hAnsi="Times New Roman"/>
          <w:bCs/>
          <w:sz w:val="24"/>
        </w:rPr>
        <w:t>资产支持证券，不得超过其</w:t>
      </w:r>
      <w:r>
        <w:rPr>
          <w:rFonts w:ascii="Times New Roman" w:hAnsi="Times New Roman" w:hint="eastAsia"/>
          <w:bCs/>
          <w:sz w:val="24"/>
        </w:rPr>
        <w:t>各类</w:t>
      </w:r>
      <w:r>
        <w:rPr>
          <w:rFonts w:ascii="Times New Roman" w:hAnsi="Times New Roman"/>
          <w:bCs/>
          <w:sz w:val="24"/>
        </w:rPr>
        <w:t>资产支持证券合计规模的</w:t>
      </w:r>
      <w:r>
        <w:rPr>
          <w:rFonts w:ascii="Times New Roman" w:hAnsi="Times New Roman"/>
          <w:bCs/>
          <w:sz w:val="24"/>
        </w:rPr>
        <w:t>10</w:t>
      </w:r>
      <w:r>
        <w:rPr>
          <w:rFonts w:ascii="Times New Roman" w:hAnsi="Times New Roman"/>
          <w:bCs/>
          <w:sz w:val="24"/>
        </w:rPr>
        <w:t>％；</w:t>
      </w:r>
    </w:p>
    <w:p w14:paraId="78615F98"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7</w:t>
      </w:r>
      <w:r>
        <w:rPr>
          <w:rFonts w:ascii="Times New Roman" w:hAnsi="Times New Roman" w:hint="eastAsia"/>
          <w:bCs/>
          <w:sz w:val="24"/>
        </w:rPr>
        <w:t>、</w:t>
      </w:r>
      <w:r>
        <w:rPr>
          <w:rFonts w:ascii="Times New Roman" w:hAnsi="Times New Roman"/>
          <w:bCs/>
          <w:sz w:val="24"/>
        </w:rPr>
        <w:t>本基金应投资于信用级别评级为</w:t>
      </w:r>
      <w:r>
        <w:rPr>
          <w:rFonts w:ascii="Times New Roman" w:hAnsi="Times New Roman"/>
          <w:bCs/>
          <w:sz w:val="24"/>
        </w:rPr>
        <w:t>BBB</w:t>
      </w:r>
      <w:r>
        <w:rPr>
          <w:rFonts w:ascii="Times New Roman" w:hAnsi="Times New Roman"/>
          <w:bCs/>
          <w:sz w:val="24"/>
        </w:rPr>
        <w:t>以上</w:t>
      </w:r>
      <w:r>
        <w:rPr>
          <w:rFonts w:ascii="Times New Roman" w:hAnsi="Times New Roman"/>
          <w:bCs/>
          <w:sz w:val="24"/>
        </w:rPr>
        <w:t>(</w:t>
      </w:r>
      <w:r>
        <w:rPr>
          <w:rFonts w:ascii="Times New Roman" w:hAnsi="Times New Roman"/>
          <w:bCs/>
          <w:sz w:val="24"/>
        </w:rPr>
        <w:t>含</w:t>
      </w:r>
      <w:r>
        <w:rPr>
          <w:rFonts w:ascii="Times New Roman" w:hAnsi="Times New Roman"/>
          <w:bCs/>
          <w:sz w:val="24"/>
        </w:rPr>
        <w:t>BBB)</w:t>
      </w:r>
      <w:r>
        <w:rPr>
          <w:rFonts w:ascii="Times New Roman" w:hAnsi="Times New Roman"/>
          <w:bCs/>
          <w:sz w:val="24"/>
        </w:rPr>
        <w:t>的资产支持证券。基金持有资产支持证券期间，如果其信用等级下降、不再符合投资标准，应在评级报告发布之日起</w:t>
      </w:r>
      <w:r>
        <w:rPr>
          <w:rFonts w:ascii="Times New Roman" w:hAnsi="Times New Roman"/>
          <w:bCs/>
          <w:sz w:val="24"/>
        </w:rPr>
        <w:t>3</w:t>
      </w:r>
      <w:r>
        <w:rPr>
          <w:rFonts w:ascii="Times New Roman" w:hAnsi="Times New Roman"/>
          <w:bCs/>
          <w:sz w:val="24"/>
        </w:rPr>
        <w:t>个月内予以全部卖出；</w:t>
      </w:r>
    </w:p>
    <w:p w14:paraId="4A9D476C"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8</w:t>
      </w:r>
      <w:r>
        <w:rPr>
          <w:rFonts w:ascii="Times New Roman" w:hAnsi="Times New Roman" w:hint="eastAsia"/>
          <w:bCs/>
          <w:sz w:val="24"/>
        </w:rPr>
        <w:t>、</w:t>
      </w:r>
      <w:r>
        <w:rPr>
          <w:rFonts w:ascii="Times New Roman" w:hAnsi="Times New Roman"/>
          <w:bCs/>
          <w:sz w:val="24"/>
        </w:rPr>
        <w:t>基金财产参与股票发行申购，本基金所申报的金额不超过本基金的总资产，本基金所申报的股票数量不超过拟发行股票公司本次发行股票的总量；</w:t>
      </w:r>
    </w:p>
    <w:p w14:paraId="0EC9E828"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9</w:t>
      </w:r>
      <w:r>
        <w:rPr>
          <w:rFonts w:ascii="Times New Roman" w:hAnsi="Times New Roman" w:hint="eastAsia"/>
          <w:bCs/>
          <w:sz w:val="24"/>
        </w:rPr>
        <w:t>、</w:t>
      </w:r>
      <w:r>
        <w:rPr>
          <w:rFonts w:ascii="Times New Roman" w:hAnsi="Times New Roman"/>
          <w:bCs/>
          <w:sz w:val="24"/>
        </w:rPr>
        <w:t>本基金进入全国银行间同业市场进行债券回购的最长期限为</w:t>
      </w:r>
      <w:r>
        <w:rPr>
          <w:rFonts w:ascii="Times New Roman" w:hAnsi="Times New Roman"/>
          <w:bCs/>
          <w:sz w:val="24"/>
        </w:rPr>
        <w:t>1</w:t>
      </w:r>
      <w:r>
        <w:rPr>
          <w:rFonts w:ascii="Times New Roman" w:hAnsi="Times New Roman"/>
          <w:bCs/>
          <w:sz w:val="24"/>
        </w:rPr>
        <w:t>年，债券回购到期后不得展期；</w:t>
      </w:r>
    </w:p>
    <w:p w14:paraId="72DC0BE9"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1</w:t>
      </w:r>
      <w:r>
        <w:rPr>
          <w:rFonts w:ascii="Times New Roman" w:hAnsi="Times New Roman"/>
          <w:bCs/>
          <w:sz w:val="24"/>
        </w:rPr>
        <w:t>0</w:t>
      </w:r>
      <w:r>
        <w:rPr>
          <w:rFonts w:ascii="Times New Roman" w:hAnsi="Times New Roman"/>
          <w:bCs/>
          <w:sz w:val="24"/>
        </w:rPr>
        <w:t>、本基金主动投资于流动性受限资产的市值合计不得超过基金资产净值的</w:t>
      </w:r>
      <w:r>
        <w:rPr>
          <w:rFonts w:ascii="Times New Roman" w:hAnsi="Times New Roman"/>
          <w:bCs/>
          <w:sz w:val="24"/>
        </w:rPr>
        <w:t>15%</w:t>
      </w:r>
      <w:r>
        <w:rPr>
          <w:rFonts w:ascii="Times New Roman" w:hAnsi="Times New Roman"/>
          <w:bCs/>
          <w:sz w:val="24"/>
        </w:rPr>
        <w:t>；因证券市场波动、上市公司股票停牌、基金规模变动等基金管理人之外的因素致使基金不符合该比例限制的，基金管理人不得主动新增流动性受限资产的投资；</w:t>
      </w:r>
    </w:p>
    <w:p w14:paraId="715A2E63" w14:textId="0F3427F6" w:rsidR="002123B7" w:rsidRDefault="00F35FE4">
      <w:pPr>
        <w:spacing w:line="360" w:lineRule="auto"/>
        <w:ind w:firstLineChars="200" w:firstLine="480"/>
        <w:jc w:val="both"/>
        <w:rPr>
          <w:rFonts w:ascii="Times New Roman" w:hAnsi="Times New Roman"/>
          <w:bCs/>
          <w:sz w:val="24"/>
        </w:rPr>
      </w:pPr>
      <w:r>
        <w:rPr>
          <w:rFonts w:ascii="Times New Roman" w:hAnsi="Times New Roman" w:hint="eastAsia"/>
          <w:bCs/>
          <w:sz w:val="24"/>
        </w:rPr>
        <w:t>1</w:t>
      </w:r>
      <w:r>
        <w:rPr>
          <w:rFonts w:ascii="Times New Roman" w:hAnsi="Times New Roman"/>
          <w:bCs/>
          <w:sz w:val="24"/>
        </w:rPr>
        <w:t>1</w:t>
      </w:r>
      <w:r w:rsidR="00D8519F">
        <w:rPr>
          <w:rFonts w:ascii="Times New Roman" w:hAnsi="Times New Roman"/>
          <w:bCs/>
          <w:sz w:val="24"/>
        </w:rPr>
        <w:t>、基金资产总值不得超过基金资产净值的</w:t>
      </w:r>
      <w:r w:rsidR="00D8519F">
        <w:rPr>
          <w:rFonts w:ascii="Times New Roman" w:hAnsi="Times New Roman"/>
          <w:bCs/>
          <w:sz w:val="24"/>
        </w:rPr>
        <w:t>140%</w:t>
      </w:r>
      <w:r w:rsidR="00D8519F">
        <w:rPr>
          <w:rFonts w:ascii="Times New Roman" w:hAnsi="Times New Roman"/>
          <w:bCs/>
          <w:sz w:val="24"/>
        </w:rPr>
        <w:t>；</w:t>
      </w:r>
    </w:p>
    <w:p w14:paraId="2BB26E0C" w14:textId="5F4F5608" w:rsidR="002123B7" w:rsidRDefault="00F35FE4">
      <w:pPr>
        <w:spacing w:line="360" w:lineRule="auto"/>
        <w:ind w:firstLineChars="200" w:firstLine="480"/>
        <w:jc w:val="both"/>
        <w:rPr>
          <w:rFonts w:ascii="Times New Roman" w:hAnsi="Times New Roman"/>
          <w:bCs/>
          <w:sz w:val="24"/>
        </w:rPr>
      </w:pPr>
      <w:r>
        <w:rPr>
          <w:rFonts w:ascii="Times New Roman" w:hAnsi="Times New Roman" w:hint="eastAsia"/>
          <w:bCs/>
          <w:sz w:val="24"/>
        </w:rPr>
        <w:t>1</w:t>
      </w:r>
      <w:r>
        <w:rPr>
          <w:rFonts w:ascii="Times New Roman" w:hAnsi="Times New Roman"/>
          <w:bCs/>
          <w:sz w:val="24"/>
        </w:rPr>
        <w:t>2</w:t>
      </w:r>
      <w:r w:rsidR="00D8519F">
        <w:rPr>
          <w:rFonts w:ascii="Times New Roman" w:hAnsi="Times New Roman"/>
          <w:bCs/>
          <w:sz w:val="24"/>
        </w:rPr>
        <w:t>、本基金参与融资，每个交易日日终，本基金持有的融资买入股票与其他有价证券市值之和，不得超过基金资产净值的</w:t>
      </w:r>
      <w:r w:rsidR="00D8519F">
        <w:rPr>
          <w:rFonts w:ascii="Times New Roman" w:hAnsi="Times New Roman"/>
          <w:bCs/>
          <w:sz w:val="24"/>
        </w:rPr>
        <w:t>95%</w:t>
      </w:r>
      <w:r w:rsidR="00D8519F">
        <w:rPr>
          <w:rFonts w:ascii="Times New Roman" w:hAnsi="Times New Roman"/>
          <w:bCs/>
          <w:sz w:val="24"/>
        </w:rPr>
        <w:t>；</w:t>
      </w:r>
    </w:p>
    <w:p w14:paraId="7734935B" w14:textId="16D732EF" w:rsidR="002123B7" w:rsidRDefault="00F35FE4">
      <w:pPr>
        <w:spacing w:line="360" w:lineRule="auto"/>
        <w:ind w:firstLineChars="200" w:firstLine="480"/>
        <w:jc w:val="both"/>
        <w:rPr>
          <w:rFonts w:ascii="Times New Roman" w:hAnsi="Times New Roman"/>
          <w:bCs/>
          <w:sz w:val="24"/>
        </w:rPr>
      </w:pPr>
      <w:r>
        <w:rPr>
          <w:rFonts w:ascii="Times New Roman" w:hAnsi="Times New Roman" w:hint="eastAsia"/>
          <w:bCs/>
          <w:sz w:val="24"/>
        </w:rPr>
        <w:t>1</w:t>
      </w:r>
      <w:r>
        <w:rPr>
          <w:rFonts w:ascii="Times New Roman" w:hAnsi="Times New Roman"/>
          <w:bCs/>
          <w:sz w:val="24"/>
        </w:rPr>
        <w:t>3</w:t>
      </w:r>
      <w:r w:rsidR="00D8519F">
        <w:rPr>
          <w:rFonts w:ascii="Times New Roman" w:hAnsi="Times New Roman"/>
          <w:bCs/>
          <w:sz w:val="24"/>
        </w:rPr>
        <w:t>、本基金参与转融通证券出借业务的，应当符合下列要求：</w:t>
      </w:r>
    </w:p>
    <w:p w14:paraId="3705F176"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hint="eastAsia"/>
          <w:bCs/>
          <w:sz w:val="24"/>
        </w:rPr>
        <w:t>1</w:t>
      </w:r>
      <w:r>
        <w:rPr>
          <w:rFonts w:ascii="Times New Roman" w:hAnsi="Times New Roman"/>
          <w:bCs/>
          <w:sz w:val="24"/>
        </w:rPr>
        <w:t>）参与转融通证券出借业务的资产不得超过基金资产净值的</w:t>
      </w:r>
      <w:r>
        <w:rPr>
          <w:rFonts w:ascii="Times New Roman" w:hAnsi="Times New Roman"/>
          <w:bCs/>
          <w:sz w:val="24"/>
        </w:rPr>
        <w:t>30%</w:t>
      </w:r>
      <w:r>
        <w:rPr>
          <w:rFonts w:ascii="Times New Roman" w:hAnsi="Times New Roman"/>
          <w:bCs/>
          <w:sz w:val="24"/>
        </w:rPr>
        <w:t>，其中出借期限在</w:t>
      </w:r>
      <w:r>
        <w:rPr>
          <w:rFonts w:ascii="Times New Roman" w:hAnsi="Times New Roman"/>
          <w:bCs/>
          <w:sz w:val="24"/>
        </w:rPr>
        <w:t>10</w:t>
      </w:r>
      <w:r>
        <w:rPr>
          <w:rFonts w:ascii="Times New Roman" w:hAnsi="Times New Roman"/>
          <w:bCs/>
          <w:sz w:val="24"/>
        </w:rPr>
        <w:t>个交易日以上的出借证券</w:t>
      </w:r>
      <w:r>
        <w:rPr>
          <w:rFonts w:ascii="Times New Roman" w:hAnsi="Times New Roman" w:hint="eastAsia"/>
          <w:bCs/>
          <w:sz w:val="24"/>
        </w:rPr>
        <w:t>应</w:t>
      </w:r>
      <w:r>
        <w:rPr>
          <w:rFonts w:ascii="Times New Roman" w:hAnsi="Times New Roman"/>
          <w:bCs/>
          <w:sz w:val="24"/>
        </w:rPr>
        <w:t>纳入《流动性风险管理规定》所述流动性受限证券的范围；</w:t>
      </w:r>
    </w:p>
    <w:p w14:paraId="7A0D08D1"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hint="eastAsia"/>
          <w:bCs/>
          <w:sz w:val="24"/>
        </w:rPr>
        <w:t>2</w:t>
      </w:r>
      <w:r>
        <w:rPr>
          <w:rFonts w:ascii="Times New Roman" w:hAnsi="Times New Roman"/>
          <w:bCs/>
          <w:sz w:val="24"/>
        </w:rPr>
        <w:t>）参与转融通证券出借业务的单只证券不得超过基金持有该证券总量的</w:t>
      </w:r>
      <w:r>
        <w:rPr>
          <w:rFonts w:ascii="Times New Roman" w:hAnsi="Times New Roman"/>
          <w:bCs/>
          <w:sz w:val="24"/>
        </w:rPr>
        <w:t>30%</w:t>
      </w:r>
      <w:r>
        <w:rPr>
          <w:rFonts w:ascii="Times New Roman" w:hAnsi="Times New Roman"/>
          <w:bCs/>
          <w:sz w:val="24"/>
        </w:rPr>
        <w:t>；</w:t>
      </w:r>
    </w:p>
    <w:p w14:paraId="611828AB"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hint="eastAsia"/>
          <w:bCs/>
          <w:sz w:val="24"/>
        </w:rPr>
        <w:t>3</w:t>
      </w:r>
      <w:r>
        <w:rPr>
          <w:rFonts w:ascii="Times New Roman" w:hAnsi="Times New Roman"/>
          <w:bCs/>
          <w:sz w:val="24"/>
        </w:rPr>
        <w:t>）最近</w:t>
      </w:r>
      <w:r>
        <w:rPr>
          <w:rFonts w:ascii="Times New Roman" w:hAnsi="Times New Roman"/>
          <w:bCs/>
          <w:sz w:val="24"/>
        </w:rPr>
        <w:t>6</w:t>
      </w:r>
      <w:r>
        <w:rPr>
          <w:rFonts w:ascii="Times New Roman" w:hAnsi="Times New Roman"/>
          <w:bCs/>
          <w:sz w:val="24"/>
        </w:rPr>
        <w:t>个月内日均基金资产净值不得低于</w:t>
      </w:r>
      <w:r>
        <w:rPr>
          <w:rFonts w:ascii="Times New Roman" w:hAnsi="Times New Roman"/>
          <w:bCs/>
          <w:sz w:val="24"/>
        </w:rPr>
        <w:t>2</w:t>
      </w:r>
      <w:r>
        <w:rPr>
          <w:rFonts w:ascii="Times New Roman" w:hAnsi="Times New Roman"/>
          <w:bCs/>
          <w:sz w:val="24"/>
        </w:rPr>
        <w:t>亿元；</w:t>
      </w:r>
    </w:p>
    <w:p w14:paraId="76DD13F1"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hint="eastAsia"/>
          <w:bCs/>
          <w:sz w:val="24"/>
        </w:rPr>
        <w:t>4</w:t>
      </w:r>
      <w:r>
        <w:rPr>
          <w:rFonts w:ascii="Times New Roman" w:hAnsi="Times New Roman"/>
          <w:bCs/>
          <w:sz w:val="24"/>
        </w:rPr>
        <w:t>）证券出借的平均剩余期限不得超过</w:t>
      </w:r>
      <w:r>
        <w:rPr>
          <w:rFonts w:ascii="Times New Roman" w:hAnsi="Times New Roman"/>
          <w:bCs/>
          <w:sz w:val="24"/>
        </w:rPr>
        <w:t>30</w:t>
      </w:r>
      <w:r>
        <w:rPr>
          <w:rFonts w:ascii="Times New Roman" w:hAnsi="Times New Roman"/>
          <w:bCs/>
          <w:sz w:val="24"/>
        </w:rPr>
        <w:t>天，平均剩余期限按照市值加权平均计算；</w:t>
      </w:r>
    </w:p>
    <w:p w14:paraId="1A52ED01" w14:textId="4B814509" w:rsidR="002123B7" w:rsidRDefault="00F35FE4">
      <w:pPr>
        <w:spacing w:line="360" w:lineRule="auto"/>
        <w:ind w:firstLineChars="200" w:firstLine="480"/>
        <w:jc w:val="both"/>
        <w:rPr>
          <w:rFonts w:ascii="Times New Roman" w:hAnsi="Times New Roman"/>
          <w:bCs/>
          <w:sz w:val="24"/>
        </w:rPr>
      </w:pPr>
      <w:r>
        <w:rPr>
          <w:rFonts w:ascii="Times New Roman" w:hAnsi="Times New Roman" w:hint="eastAsia"/>
          <w:bCs/>
          <w:sz w:val="24"/>
        </w:rPr>
        <w:t>1</w:t>
      </w:r>
      <w:r>
        <w:rPr>
          <w:rFonts w:ascii="Times New Roman" w:hAnsi="Times New Roman"/>
          <w:bCs/>
          <w:sz w:val="24"/>
        </w:rPr>
        <w:t>4</w:t>
      </w:r>
      <w:r w:rsidR="00D8519F">
        <w:rPr>
          <w:rFonts w:ascii="Times New Roman" w:hAnsi="Times New Roman"/>
          <w:bCs/>
          <w:sz w:val="24"/>
        </w:rPr>
        <w:t>、本基金投资存托凭证的比例限制依照境内上市交易的股票执行，与境内上市交易的股票合并计算；</w:t>
      </w:r>
    </w:p>
    <w:p w14:paraId="7A5AFAEE" w14:textId="3DCB9CE3" w:rsidR="002123B7" w:rsidRDefault="00F35FE4">
      <w:pPr>
        <w:spacing w:line="360" w:lineRule="auto"/>
        <w:ind w:firstLineChars="200" w:firstLine="480"/>
        <w:jc w:val="both"/>
        <w:rPr>
          <w:rFonts w:ascii="Times New Roman" w:hAnsi="Times New Roman"/>
          <w:bCs/>
          <w:sz w:val="24"/>
        </w:rPr>
      </w:pPr>
      <w:r>
        <w:rPr>
          <w:rFonts w:ascii="Times New Roman" w:hAnsi="Times New Roman" w:hint="eastAsia"/>
          <w:bCs/>
          <w:sz w:val="24"/>
        </w:rPr>
        <w:t>1</w:t>
      </w:r>
      <w:r>
        <w:rPr>
          <w:rFonts w:ascii="Times New Roman" w:hAnsi="Times New Roman"/>
          <w:bCs/>
          <w:sz w:val="24"/>
        </w:rPr>
        <w:t>5</w:t>
      </w:r>
      <w:r w:rsidR="00D8519F">
        <w:rPr>
          <w:rFonts w:ascii="Times New Roman" w:hAnsi="Times New Roman"/>
          <w:bCs/>
          <w:sz w:val="24"/>
        </w:rPr>
        <w:t>、法律法规及中国证监会规定的和《基金合同》约定的其他投资限制。</w:t>
      </w:r>
    </w:p>
    <w:p w14:paraId="0F5965D0" w14:textId="35C437EB"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lastRenderedPageBreak/>
        <w:t>除上述第</w:t>
      </w:r>
      <w:r>
        <w:rPr>
          <w:rFonts w:ascii="Times New Roman" w:hAnsi="Times New Roman"/>
          <w:bCs/>
          <w:sz w:val="24"/>
        </w:rPr>
        <w:t>7</w:t>
      </w:r>
      <w:r>
        <w:rPr>
          <w:rFonts w:ascii="Times New Roman" w:hAnsi="Times New Roman"/>
          <w:bCs/>
          <w:sz w:val="24"/>
        </w:rPr>
        <w:t>、</w:t>
      </w:r>
      <w:r w:rsidR="00F35FE4">
        <w:rPr>
          <w:rFonts w:ascii="Times New Roman" w:hAnsi="Times New Roman"/>
          <w:bCs/>
          <w:sz w:val="24"/>
        </w:rPr>
        <w:t>10</w:t>
      </w:r>
      <w:r w:rsidR="00F35FE4">
        <w:rPr>
          <w:rFonts w:ascii="Times New Roman" w:hAnsi="Times New Roman"/>
          <w:bCs/>
          <w:sz w:val="24"/>
        </w:rPr>
        <w:t>、</w:t>
      </w:r>
      <w:r w:rsidR="00F35FE4">
        <w:rPr>
          <w:rFonts w:ascii="Times New Roman" w:hAnsi="Times New Roman"/>
          <w:bCs/>
          <w:sz w:val="24"/>
        </w:rPr>
        <w:t>13</w:t>
      </w:r>
      <w:r>
        <w:rPr>
          <w:rFonts w:ascii="Times New Roman" w:hAnsi="Times New Roman"/>
          <w:bCs/>
          <w:sz w:val="24"/>
        </w:rPr>
        <w:t>项外，因证券</w:t>
      </w:r>
      <w:r>
        <w:rPr>
          <w:rFonts w:ascii="Times New Roman" w:hAnsi="Times New Roman"/>
          <w:bCs/>
          <w:sz w:val="24"/>
        </w:rPr>
        <w:t>/</w:t>
      </w:r>
      <w:r>
        <w:rPr>
          <w:rFonts w:ascii="Times New Roman" w:hAnsi="Times New Roman"/>
          <w:bCs/>
          <w:sz w:val="24"/>
        </w:rPr>
        <w:t>期货市场波动、证券发行人合并、基金规模变动、标的指数成份股调整、标的指数成份股流动性限制等基金管理人之外的因素致使基金投资比例不符合上述规定投资比例的，基金管理人应当在</w:t>
      </w:r>
      <w:r>
        <w:rPr>
          <w:rFonts w:ascii="Times New Roman" w:hAnsi="Times New Roman"/>
          <w:bCs/>
          <w:sz w:val="24"/>
        </w:rPr>
        <w:t>10</w:t>
      </w:r>
      <w:r>
        <w:rPr>
          <w:rFonts w:ascii="Times New Roman" w:hAnsi="Times New Roman"/>
          <w:bCs/>
          <w:sz w:val="24"/>
        </w:rPr>
        <w:t>个交易日内进行调整，但中国证监会规定的特殊情形除外。因证券</w:t>
      </w:r>
      <w:r>
        <w:rPr>
          <w:rFonts w:ascii="Times New Roman" w:hAnsi="Times New Roman" w:hint="eastAsia"/>
          <w:bCs/>
          <w:sz w:val="24"/>
        </w:rPr>
        <w:t>、</w:t>
      </w:r>
      <w:r>
        <w:rPr>
          <w:rFonts w:ascii="Times New Roman" w:hAnsi="Times New Roman"/>
          <w:bCs/>
          <w:sz w:val="24"/>
        </w:rPr>
        <w:t>期货市场波动、上市公司合并、基金规模变动等基金管理人之外的因素致使基金投资不符合上述</w:t>
      </w:r>
      <w:r w:rsidR="00F35FE4">
        <w:rPr>
          <w:rFonts w:ascii="Times New Roman" w:hAnsi="Times New Roman"/>
          <w:bCs/>
          <w:sz w:val="24"/>
        </w:rPr>
        <w:t>第</w:t>
      </w:r>
      <w:r w:rsidR="00F35FE4">
        <w:rPr>
          <w:rFonts w:ascii="Times New Roman" w:hAnsi="Times New Roman"/>
          <w:bCs/>
          <w:sz w:val="24"/>
        </w:rPr>
        <w:t>13</w:t>
      </w:r>
      <w:r>
        <w:rPr>
          <w:rFonts w:ascii="Times New Roman" w:hAnsi="Times New Roman"/>
          <w:bCs/>
          <w:sz w:val="24"/>
        </w:rPr>
        <w:t>项规定的，基金管理人不得新增出借业务。</w:t>
      </w:r>
    </w:p>
    <w:p w14:paraId="73A39F05"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基金管理人应当自基金合同生效之日起</w:t>
      </w:r>
      <w:r>
        <w:rPr>
          <w:rFonts w:ascii="Times New Roman" w:hAnsi="Times New Roman"/>
          <w:bCs/>
          <w:sz w:val="24"/>
        </w:rPr>
        <w:t>6</w:t>
      </w:r>
      <w:r>
        <w:rPr>
          <w:rFonts w:ascii="Times New Roman" w:hAnsi="Times New Roman"/>
          <w:bCs/>
          <w:sz w:val="24"/>
        </w:rPr>
        <w:t>个月内使基金的投资组合比例符合基金合同的有关约定。在上述期间内，本基金的投资范围、投资策略应当符合基金合同的约定。基金托管人对基金的投资的监督与检查自基金合同生效之日起开始。</w:t>
      </w:r>
    </w:p>
    <w:p w14:paraId="67188770" w14:textId="77777777" w:rsidR="002123B7" w:rsidRDefault="00D8519F">
      <w:pPr>
        <w:spacing w:line="360" w:lineRule="auto"/>
        <w:ind w:firstLineChars="200" w:firstLine="480"/>
        <w:rPr>
          <w:rFonts w:ascii="Times New Roman" w:hAnsi="Times New Roman"/>
          <w:bCs/>
          <w:sz w:val="24"/>
        </w:rPr>
      </w:pPr>
      <w:r>
        <w:rPr>
          <w:rFonts w:ascii="Times New Roman" w:hAnsi="Times New Roman" w:hint="eastAsia"/>
          <w:bCs/>
          <w:sz w:val="24"/>
        </w:rPr>
        <w:t>法律法规或监管部门取消或调整上述限制，如适用于本基金，基金管理人在履行适当程序后，则本基金投资不再受相关限制或按照调整后的规定执行。</w:t>
      </w:r>
      <w:bookmarkEnd w:id="7"/>
    </w:p>
    <w:bookmarkEnd w:id="8"/>
    <w:p w14:paraId="3310C102" w14:textId="77777777" w:rsidR="002123B7" w:rsidRDefault="00D8519F">
      <w:pPr>
        <w:spacing w:line="360" w:lineRule="auto"/>
        <w:ind w:firstLineChars="200" w:firstLine="472"/>
        <w:rPr>
          <w:rFonts w:ascii="Times New Roman" w:hAnsi="Times New Roman"/>
          <w:spacing w:val="-4"/>
          <w:sz w:val="24"/>
          <w:szCs w:val="24"/>
        </w:rPr>
      </w:pPr>
      <w:r>
        <w:rPr>
          <w:rFonts w:ascii="Times New Roman" w:hAnsi="Times New Roman"/>
          <w:spacing w:val="-4"/>
          <w:sz w:val="24"/>
          <w:szCs w:val="24"/>
        </w:rPr>
        <w:t>（三）基金托管人根据有关法律法规的规定及《基金合同》的约定，对</w:t>
      </w:r>
      <w:r>
        <w:rPr>
          <w:rFonts w:ascii="Times New Roman" w:hAnsi="Times New Roman" w:hint="eastAsia"/>
          <w:spacing w:val="-4"/>
          <w:sz w:val="24"/>
          <w:szCs w:val="24"/>
        </w:rPr>
        <w:t>本</w:t>
      </w:r>
      <w:r>
        <w:rPr>
          <w:rFonts w:ascii="Times New Roman" w:hAnsi="Times New Roman"/>
          <w:spacing w:val="-4"/>
          <w:sz w:val="24"/>
          <w:szCs w:val="24"/>
        </w:rPr>
        <w:t>基金投资禁止行为进行监督。</w:t>
      </w:r>
      <w:bookmarkStart w:id="9" w:name="_Hlk179967158"/>
      <w:r>
        <w:rPr>
          <w:bCs/>
          <w:sz w:val="24"/>
        </w:rPr>
        <w:t>为维护基金份额持有人的合法权益，基金财产不得用于下列投资或者活动：</w:t>
      </w:r>
    </w:p>
    <w:p w14:paraId="24C94418" w14:textId="77777777" w:rsidR="002123B7" w:rsidRDefault="00D8519F">
      <w:pPr>
        <w:spacing w:line="360" w:lineRule="auto"/>
        <w:ind w:firstLineChars="200" w:firstLine="480"/>
        <w:rPr>
          <w:bCs/>
          <w:sz w:val="24"/>
        </w:rPr>
      </w:pPr>
      <w:r>
        <w:rPr>
          <w:bCs/>
          <w:sz w:val="24"/>
        </w:rPr>
        <w:t>（1）承销证券；</w:t>
      </w:r>
    </w:p>
    <w:p w14:paraId="58460271" w14:textId="77777777" w:rsidR="002123B7" w:rsidRDefault="00D8519F">
      <w:pPr>
        <w:spacing w:line="360" w:lineRule="auto"/>
        <w:ind w:firstLineChars="200" w:firstLine="480"/>
        <w:rPr>
          <w:bCs/>
          <w:sz w:val="24"/>
        </w:rPr>
      </w:pPr>
      <w:r>
        <w:rPr>
          <w:bCs/>
          <w:sz w:val="24"/>
        </w:rPr>
        <w:t>（</w:t>
      </w:r>
      <w:r>
        <w:rPr>
          <w:rFonts w:hint="eastAsia"/>
          <w:bCs/>
          <w:sz w:val="24"/>
        </w:rPr>
        <w:t>2</w:t>
      </w:r>
      <w:r>
        <w:rPr>
          <w:bCs/>
          <w:sz w:val="24"/>
        </w:rPr>
        <w:t>）</w:t>
      </w:r>
      <w:r>
        <w:rPr>
          <w:rFonts w:hint="eastAsia"/>
          <w:bCs/>
          <w:sz w:val="24"/>
        </w:rPr>
        <w:t>违反规定</w:t>
      </w:r>
      <w:r>
        <w:rPr>
          <w:bCs/>
          <w:sz w:val="24"/>
        </w:rPr>
        <w:t>向他人贷款或者提供担保；</w:t>
      </w:r>
    </w:p>
    <w:p w14:paraId="10D88BF6" w14:textId="77777777" w:rsidR="002123B7" w:rsidRDefault="00D8519F">
      <w:pPr>
        <w:spacing w:line="360" w:lineRule="auto"/>
        <w:ind w:firstLineChars="200" w:firstLine="480"/>
        <w:rPr>
          <w:bCs/>
          <w:sz w:val="24"/>
        </w:rPr>
      </w:pPr>
      <w:r>
        <w:rPr>
          <w:bCs/>
          <w:sz w:val="24"/>
        </w:rPr>
        <w:t>（</w:t>
      </w:r>
      <w:r>
        <w:rPr>
          <w:rFonts w:hint="eastAsia"/>
          <w:bCs/>
          <w:sz w:val="24"/>
        </w:rPr>
        <w:t>3</w:t>
      </w:r>
      <w:r>
        <w:rPr>
          <w:bCs/>
          <w:sz w:val="24"/>
        </w:rPr>
        <w:t>）从事承担无限责任的投资；</w:t>
      </w:r>
    </w:p>
    <w:p w14:paraId="5E7E06DA" w14:textId="77777777" w:rsidR="002123B7" w:rsidRDefault="00D8519F">
      <w:pPr>
        <w:spacing w:line="360" w:lineRule="auto"/>
        <w:ind w:firstLineChars="200" w:firstLine="480"/>
        <w:rPr>
          <w:bCs/>
          <w:sz w:val="24"/>
        </w:rPr>
      </w:pPr>
      <w:r>
        <w:rPr>
          <w:rFonts w:hint="eastAsia"/>
          <w:bCs/>
          <w:sz w:val="24"/>
        </w:rPr>
        <w:t>（</w:t>
      </w:r>
      <w:r>
        <w:rPr>
          <w:bCs/>
          <w:sz w:val="24"/>
        </w:rPr>
        <w:t>4</w:t>
      </w:r>
      <w:r>
        <w:rPr>
          <w:rFonts w:hint="eastAsia"/>
          <w:bCs/>
          <w:sz w:val="24"/>
        </w:rPr>
        <w:t>）买卖其他基金份额，但是中国证监会另有规定的除外；</w:t>
      </w:r>
    </w:p>
    <w:p w14:paraId="23D9B2A9" w14:textId="77777777" w:rsidR="002123B7" w:rsidRDefault="00D8519F">
      <w:pPr>
        <w:spacing w:line="360" w:lineRule="auto"/>
        <w:ind w:firstLineChars="200" w:firstLine="480"/>
        <w:rPr>
          <w:bCs/>
          <w:sz w:val="24"/>
        </w:rPr>
      </w:pPr>
      <w:r>
        <w:rPr>
          <w:rFonts w:hint="eastAsia"/>
          <w:bCs/>
          <w:sz w:val="24"/>
        </w:rPr>
        <w:t>（</w:t>
      </w:r>
      <w:r>
        <w:rPr>
          <w:bCs/>
          <w:sz w:val="24"/>
        </w:rPr>
        <w:t>5</w:t>
      </w:r>
      <w:r>
        <w:rPr>
          <w:rFonts w:hint="eastAsia"/>
          <w:bCs/>
          <w:sz w:val="24"/>
        </w:rPr>
        <w:t>）</w:t>
      </w:r>
      <w:r>
        <w:rPr>
          <w:bCs/>
          <w:sz w:val="24"/>
        </w:rPr>
        <w:t>向</w:t>
      </w:r>
      <w:r>
        <w:rPr>
          <w:rFonts w:hint="eastAsia"/>
          <w:bCs/>
          <w:sz w:val="24"/>
        </w:rPr>
        <w:t>其</w:t>
      </w:r>
      <w:r>
        <w:rPr>
          <w:bCs/>
          <w:sz w:val="24"/>
        </w:rPr>
        <w:t>基金管理人、基金托管人出资；</w:t>
      </w:r>
    </w:p>
    <w:p w14:paraId="71A7D296" w14:textId="77777777" w:rsidR="002123B7" w:rsidRDefault="00D8519F">
      <w:pPr>
        <w:spacing w:line="360" w:lineRule="auto"/>
        <w:ind w:firstLineChars="200" w:firstLine="480"/>
        <w:rPr>
          <w:bCs/>
          <w:sz w:val="24"/>
        </w:rPr>
      </w:pPr>
      <w:r>
        <w:rPr>
          <w:bCs/>
          <w:sz w:val="24"/>
        </w:rPr>
        <w:t>（6）从事内幕交易、操纵证券交易价格及其他不正当的证券交易活动；</w:t>
      </w:r>
    </w:p>
    <w:p w14:paraId="4E46B27D" w14:textId="77777777" w:rsidR="002123B7" w:rsidRDefault="00D8519F">
      <w:pPr>
        <w:spacing w:line="360" w:lineRule="auto"/>
        <w:ind w:firstLineChars="200" w:firstLine="480"/>
        <w:rPr>
          <w:bCs/>
          <w:sz w:val="24"/>
        </w:rPr>
      </w:pPr>
      <w:r>
        <w:rPr>
          <w:bCs/>
          <w:sz w:val="24"/>
        </w:rPr>
        <w:t>（7）法律</w:t>
      </w:r>
      <w:r>
        <w:rPr>
          <w:rFonts w:hint="eastAsia"/>
          <w:bCs/>
          <w:sz w:val="24"/>
        </w:rPr>
        <w:t>、行政</w:t>
      </w:r>
      <w:r>
        <w:rPr>
          <w:bCs/>
          <w:sz w:val="24"/>
        </w:rPr>
        <w:t>法规</w:t>
      </w:r>
      <w:r>
        <w:rPr>
          <w:rFonts w:hint="eastAsia"/>
          <w:bCs/>
          <w:sz w:val="24"/>
        </w:rPr>
        <w:t>和</w:t>
      </w:r>
      <w:r>
        <w:rPr>
          <w:bCs/>
          <w:sz w:val="24"/>
        </w:rPr>
        <w:t>中国证监会规定禁止的其他活动</w:t>
      </w:r>
      <w:r>
        <w:rPr>
          <w:rFonts w:hint="eastAsia"/>
          <w:bCs/>
          <w:sz w:val="24"/>
        </w:rPr>
        <w:t>。</w:t>
      </w:r>
    </w:p>
    <w:p w14:paraId="093A31C4"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基金管理人运用基金财产买卖基金管理人、基金托管人及其控股股东、实际控制人或者与其有重大利害关系的公司发行的证券或</w:t>
      </w:r>
      <w:r>
        <w:rPr>
          <w:rFonts w:ascii="Times New Roman" w:hAnsi="Times New Roman" w:hint="eastAsia"/>
          <w:spacing w:val="-4"/>
          <w:sz w:val="24"/>
          <w:szCs w:val="24"/>
        </w:rPr>
        <w:t>者</w:t>
      </w:r>
      <w:r>
        <w:rPr>
          <w:rFonts w:ascii="Times New Roman" w:hAnsi="Times New Roman"/>
          <w:spacing w:val="-4"/>
          <w:sz w:val="24"/>
          <w:szCs w:val="24"/>
        </w:rPr>
        <w:t>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基金管理人董事会应至少每半年对关联交易事项进行审查。</w:t>
      </w:r>
      <w:bookmarkEnd w:id="9"/>
      <w:r>
        <w:rPr>
          <w:rFonts w:ascii="Times New Roman" w:hAnsi="Times New Roman" w:hint="eastAsia"/>
          <w:spacing w:val="-4"/>
          <w:sz w:val="24"/>
          <w:szCs w:val="24"/>
        </w:rPr>
        <w:t>基金管理人应在基金投资运作之前向基金托管人提供基金管理人关联方名单和关联交易证券名单。如基金管理人关联方名单和关联交易证券名单发生变化的，基金管理人应确保不影</w:t>
      </w:r>
      <w:r>
        <w:rPr>
          <w:rFonts w:ascii="Times New Roman" w:hAnsi="Times New Roman" w:hint="eastAsia"/>
          <w:spacing w:val="-4"/>
          <w:sz w:val="24"/>
          <w:szCs w:val="24"/>
        </w:rPr>
        <w:lastRenderedPageBreak/>
        <w:t>响基金托管人履行投资监督职责，及时将变化情况以书面形式通知基金托管人。</w:t>
      </w:r>
    </w:p>
    <w:p w14:paraId="1893E334" w14:textId="77777777" w:rsidR="00010F00" w:rsidRDefault="00010F00" w:rsidP="00010F00">
      <w:pPr>
        <w:spacing w:line="360" w:lineRule="auto"/>
        <w:ind w:firstLineChars="200" w:firstLine="480"/>
        <w:rPr>
          <w:bCs/>
          <w:sz w:val="24"/>
        </w:rPr>
      </w:pPr>
      <w:r>
        <w:rPr>
          <w:rFonts w:hint="eastAsia"/>
          <w:sz w:val="24"/>
        </w:rPr>
        <w:t>（四）基金</w:t>
      </w:r>
      <w:r>
        <w:rPr>
          <w:rFonts w:hint="eastAsia"/>
          <w:bCs/>
          <w:sz w:val="24"/>
        </w:rPr>
        <w:t>参与转融通证券出借业务，基金管理人应当遵守审慎经营原则，配备技术系统和专业人员，制定科学合理的投资策略和风险管理制度，完善业务流程，有效防范和控制风险。基金托管人将对基金参与出借业务进行监督。</w:t>
      </w:r>
    </w:p>
    <w:p w14:paraId="7C8001CD" w14:textId="77777777" w:rsidR="00010F00" w:rsidRPr="00612B9E" w:rsidRDefault="00010F00" w:rsidP="00010F00">
      <w:pPr>
        <w:spacing w:line="360" w:lineRule="auto"/>
        <w:ind w:firstLineChars="200" w:firstLine="480"/>
        <w:rPr>
          <w:sz w:val="24"/>
        </w:rPr>
      </w:pPr>
      <w:r>
        <w:rPr>
          <w:rFonts w:hint="eastAsia"/>
          <w:bCs/>
          <w:sz w:val="24"/>
        </w:rPr>
        <w:t>（五</w:t>
      </w:r>
      <w:r w:rsidRPr="00612B9E">
        <w:rPr>
          <w:rFonts w:hint="eastAsia"/>
          <w:sz w:val="24"/>
        </w:rPr>
        <w:t>）基金托管人</w:t>
      </w:r>
      <w:bookmarkStart w:id="10" w:name="OLE_LINK1"/>
      <w:r w:rsidRPr="00612B9E">
        <w:rPr>
          <w:rFonts w:hint="eastAsia"/>
          <w:sz w:val="24"/>
        </w:rPr>
        <w:t>根据有关法律法规的规定及《基金合同》的约定，</w:t>
      </w:r>
      <w:bookmarkEnd w:id="10"/>
      <w:r w:rsidRPr="00612B9E">
        <w:rPr>
          <w:rFonts w:hint="eastAsia"/>
          <w:sz w:val="24"/>
        </w:rPr>
        <w:t>对本托管协议第十五条第（九）</w:t>
      </w:r>
      <w:proofErr w:type="gramStart"/>
      <w:r w:rsidRPr="00612B9E">
        <w:rPr>
          <w:rFonts w:hint="eastAsia"/>
          <w:sz w:val="24"/>
        </w:rPr>
        <w:t>款基金</w:t>
      </w:r>
      <w:proofErr w:type="gramEnd"/>
      <w:r w:rsidRPr="00612B9E">
        <w:rPr>
          <w:rFonts w:hint="eastAsia"/>
          <w:sz w:val="24"/>
        </w:rPr>
        <w:t>投资禁止行为通过事后监督方式进行监督。</w:t>
      </w:r>
    </w:p>
    <w:p w14:paraId="55D2135A" w14:textId="77777777" w:rsidR="00010F00" w:rsidRPr="00612B9E" w:rsidRDefault="00010F00" w:rsidP="00010F00">
      <w:pPr>
        <w:spacing w:line="360" w:lineRule="auto"/>
        <w:ind w:firstLineChars="200" w:firstLine="480"/>
        <w:rPr>
          <w:sz w:val="24"/>
        </w:rPr>
      </w:pPr>
      <w:r w:rsidRPr="00612B9E">
        <w:rPr>
          <w:rFonts w:hint="eastAsia"/>
          <w:sz w:val="24"/>
        </w:rPr>
        <w:t>基金管理人运用基金财产买卖基金管理人、基金托管人及其控股股东、实际控制人或者与其有</w:t>
      </w:r>
      <w:r>
        <w:rPr>
          <w:rFonts w:hint="eastAsia"/>
          <w:bCs/>
          <w:sz w:val="24"/>
        </w:rPr>
        <w:t>其</w:t>
      </w:r>
      <w:r>
        <w:rPr>
          <w:rFonts w:hint="eastAsia"/>
          <w:sz w:val="24"/>
        </w:rPr>
        <w:t>他</w:t>
      </w:r>
      <w:r w:rsidRPr="00612B9E">
        <w:rPr>
          <w:rFonts w:hint="eastAsia"/>
          <w:sz w:val="24"/>
        </w:rPr>
        <w:t>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w:t>
      </w:r>
      <w:r>
        <w:rPr>
          <w:rFonts w:hint="eastAsia"/>
          <w:bCs/>
          <w:sz w:val="24"/>
        </w:rPr>
        <w:t>基金管理人董事会应至少每半年对关联交易事项进行审查</w:t>
      </w:r>
      <w:r>
        <w:rPr>
          <w:rFonts w:hint="eastAsia"/>
          <w:sz w:val="24"/>
        </w:rPr>
        <w:t>。</w:t>
      </w:r>
    </w:p>
    <w:p w14:paraId="773D4387" w14:textId="77777777" w:rsidR="00010F00" w:rsidRPr="00612B9E" w:rsidRDefault="00010F00" w:rsidP="00010F00">
      <w:pPr>
        <w:spacing w:line="360" w:lineRule="auto"/>
        <w:ind w:firstLineChars="200" w:firstLine="480"/>
        <w:rPr>
          <w:sz w:val="24"/>
        </w:rPr>
      </w:pPr>
      <w:r w:rsidRPr="00612B9E">
        <w:rPr>
          <w:rFonts w:hint="eastAsia"/>
          <w:sz w:val="24"/>
        </w:rPr>
        <w:t>（</w:t>
      </w:r>
      <w:r>
        <w:rPr>
          <w:rFonts w:hint="eastAsia"/>
          <w:bCs/>
          <w:sz w:val="24"/>
        </w:rPr>
        <w:t>六</w:t>
      </w:r>
      <w:r w:rsidRPr="00612B9E">
        <w:rPr>
          <w:rFonts w:hint="eastAsia"/>
          <w:sz w:val="24"/>
        </w:rPr>
        <w:t>）基金托管人根据有关法律法规的规定及《基金合同》的约定，对基金管理人投资流通受限证券进行监督。</w:t>
      </w:r>
    </w:p>
    <w:p w14:paraId="04547819" w14:textId="77777777" w:rsidR="00010F00" w:rsidRPr="00612B9E" w:rsidRDefault="00010F00" w:rsidP="00010F00">
      <w:pPr>
        <w:spacing w:line="360" w:lineRule="auto"/>
        <w:ind w:firstLineChars="200" w:firstLine="480"/>
        <w:rPr>
          <w:sz w:val="24"/>
        </w:rPr>
      </w:pPr>
      <w:r w:rsidRPr="00612B9E">
        <w:rPr>
          <w:rFonts w:hint="eastAsia"/>
          <w:sz w:val="24"/>
        </w:rPr>
        <w:t>基金管理人投资流通受限证券，应事先根据中国证监会相关规定，明确基金投资流通受限证券的比例，制订严格的投资决策流程和风险控制制度，防范流动性风险、法律风险和操作风险等各种风险。</w:t>
      </w:r>
    </w:p>
    <w:p w14:paraId="379019D8" w14:textId="77777777" w:rsidR="00010F00" w:rsidRPr="00612B9E" w:rsidRDefault="00010F00" w:rsidP="00010F00">
      <w:pPr>
        <w:spacing w:line="360" w:lineRule="auto"/>
        <w:ind w:firstLineChars="200" w:firstLine="480"/>
        <w:rPr>
          <w:sz w:val="24"/>
        </w:rPr>
      </w:pPr>
      <w:r w:rsidRPr="00612B9E">
        <w:rPr>
          <w:sz w:val="24"/>
        </w:rPr>
        <w:t>1</w:t>
      </w:r>
      <w:r>
        <w:rPr>
          <w:bCs/>
          <w:sz w:val="24"/>
        </w:rPr>
        <w:t>、</w:t>
      </w:r>
      <w:r w:rsidRPr="00612B9E">
        <w:rPr>
          <w:rFonts w:hint="eastAsia"/>
          <w:sz w:val="24"/>
        </w:rPr>
        <w:t>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w:t>
      </w:r>
      <w:proofErr w:type="gramStart"/>
      <w:r w:rsidRPr="00612B9E">
        <w:rPr>
          <w:rFonts w:hint="eastAsia"/>
          <w:sz w:val="24"/>
        </w:rPr>
        <w:t>券</w:t>
      </w:r>
      <w:proofErr w:type="gramEnd"/>
      <w:r w:rsidRPr="00612B9E">
        <w:rPr>
          <w:rFonts w:hint="eastAsia"/>
          <w:sz w:val="24"/>
        </w:rPr>
        <w:t>等流通受限证券。本基金不投资有</w:t>
      </w:r>
      <w:proofErr w:type="gramStart"/>
      <w:r w:rsidRPr="00612B9E">
        <w:rPr>
          <w:rFonts w:hint="eastAsia"/>
          <w:sz w:val="24"/>
        </w:rPr>
        <w:t>锁定期但锁定</w:t>
      </w:r>
      <w:proofErr w:type="gramEnd"/>
      <w:r w:rsidRPr="00612B9E">
        <w:rPr>
          <w:rFonts w:hint="eastAsia"/>
          <w:sz w:val="24"/>
        </w:rPr>
        <w:t>期不明确的证券。</w:t>
      </w:r>
    </w:p>
    <w:p w14:paraId="2E3C473D" w14:textId="77777777" w:rsidR="00010F00" w:rsidRPr="00612B9E" w:rsidRDefault="00010F00" w:rsidP="00010F00">
      <w:pPr>
        <w:spacing w:line="360" w:lineRule="auto"/>
        <w:ind w:firstLineChars="200" w:firstLine="480"/>
        <w:rPr>
          <w:sz w:val="24"/>
        </w:rPr>
      </w:pPr>
      <w:r w:rsidRPr="00612B9E">
        <w:rPr>
          <w:rFonts w:hint="eastAsia"/>
          <w:sz w:val="24"/>
        </w:rPr>
        <w:t>本基金投资的流通受限证券限于可由中国证券登记结算有限责任公司或中央国债登记结算有限责任公司负责登记和存管，并可在证券交易所或全国银行间债券市场交易的证券。</w:t>
      </w:r>
    </w:p>
    <w:p w14:paraId="5985CBD8" w14:textId="77777777" w:rsidR="00010F00" w:rsidRPr="00612B9E" w:rsidRDefault="00010F00" w:rsidP="00010F00">
      <w:pPr>
        <w:spacing w:line="360" w:lineRule="auto"/>
        <w:ind w:firstLineChars="200" w:firstLine="480"/>
        <w:rPr>
          <w:sz w:val="24"/>
        </w:rPr>
      </w:pPr>
      <w:r w:rsidRPr="00612B9E">
        <w:rPr>
          <w:rFonts w:hint="eastAsia"/>
          <w:sz w:val="24"/>
        </w:rPr>
        <w:t>本基金投资的流通受限证券应保证登记存管在本基金名下，基金管理人负责相关工作的落实和协调，并确保基金托管人能够正常查询。因基金管理</w:t>
      </w:r>
      <w:proofErr w:type="gramStart"/>
      <w:r w:rsidRPr="00612B9E">
        <w:rPr>
          <w:rFonts w:hint="eastAsia"/>
          <w:sz w:val="24"/>
        </w:rPr>
        <w:t>人原因</w:t>
      </w:r>
      <w:proofErr w:type="gramEnd"/>
      <w:r w:rsidRPr="00612B9E">
        <w:rPr>
          <w:rFonts w:hint="eastAsia"/>
          <w:sz w:val="24"/>
        </w:rPr>
        <w:t>产生的流通受限证券登记存管问题，造成基金托管人无法安全保管本基金资产的责任与损失，及因流通受限证券存管直接影响本基金安全的责任及损失，由基金管理人承担。</w:t>
      </w:r>
    </w:p>
    <w:p w14:paraId="7CEA11C1" w14:textId="77777777" w:rsidR="00010F00" w:rsidRPr="00612B9E" w:rsidRDefault="00010F00" w:rsidP="00010F00">
      <w:pPr>
        <w:spacing w:line="360" w:lineRule="auto"/>
        <w:ind w:firstLineChars="200" w:firstLine="480"/>
        <w:rPr>
          <w:sz w:val="24"/>
        </w:rPr>
      </w:pPr>
      <w:r w:rsidRPr="00612B9E">
        <w:rPr>
          <w:rFonts w:hint="eastAsia"/>
          <w:sz w:val="24"/>
        </w:rPr>
        <w:lastRenderedPageBreak/>
        <w:t>本基金投资流通受限证券，不得预付任何形式的保证金</w:t>
      </w:r>
      <w:r>
        <w:rPr>
          <w:rFonts w:hint="eastAsia"/>
          <w:sz w:val="24"/>
        </w:rPr>
        <w:t>，</w:t>
      </w:r>
      <w:proofErr w:type="gramStart"/>
      <w:r w:rsidRPr="00612B9E">
        <w:rPr>
          <w:rFonts w:hint="eastAsia"/>
          <w:sz w:val="24"/>
        </w:rPr>
        <w:t>若法规</w:t>
      </w:r>
      <w:proofErr w:type="gramEnd"/>
      <w:r>
        <w:rPr>
          <w:rFonts w:hint="eastAsia"/>
          <w:sz w:val="24"/>
        </w:rPr>
        <w:t>有新</w:t>
      </w:r>
      <w:r w:rsidRPr="00612B9E">
        <w:rPr>
          <w:rFonts w:hint="eastAsia"/>
          <w:sz w:val="24"/>
        </w:rPr>
        <w:t>规定的</w:t>
      </w:r>
      <w:r>
        <w:rPr>
          <w:rFonts w:hint="eastAsia"/>
          <w:sz w:val="24"/>
        </w:rPr>
        <w:t>按照新的规定</w:t>
      </w:r>
      <w:r w:rsidRPr="00612B9E">
        <w:rPr>
          <w:rFonts w:hint="eastAsia"/>
          <w:sz w:val="24"/>
        </w:rPr>
        <w:t>执行。</w:t>
      </w:r>
    </w:p>
    <w:p w14:paraId="3AB815B8" w14:textId="77777777" w:rsidR="00010F00" w:rsidRDefault="00010F00" w:rsidP="00010F00">
      <w:pPr>
        <w:spacing w:line="360" w:lineRule="auto"/>
        <w:ind w:firstLineChars="200" w:firstLine="480"/>
        <w:rPr>
          <w:sz w:val="24"/>
        </w:rPr>
      </w:pPr>
      <w:r w:rsidRPr="00612B9E">
        <w:rPr>
          <w:sz w:val="24"/>
        </w:rPr>
        <w:t>2</w:t>
      </w:r>
      <w:r>
        <w:rPr>
          <w:bCs/>
          <w:sz w:val="24"/>
        </w:rPr>
        <w:t>、</w:t>
      </w:r>
      <w:r w:rsidRPr="00612B9E">
        <w:rPr>
          <w:rFonts w:hint="eastAsia"/>
          <w:sz w:val="24"/>
        </w:rPr>
        <w:t>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w:t>
      </w:r>
    </w:p>
    <w:p w14:paraId="43261061" w14:textId="77777777" w:rsidR="00010F00" w:rsidRPr="00612B9E" w:rsidRDefault="00010F00" w:rsidP="00010F00">
      <w:pPr>
        <w:spacing w:line="360" w:lineRule="auto"/>
        <w:ind w:firstLineChars="200" w:firstLine="480"/>
        <w:rPr>
          <w:sz w:val="24"/>
        </w:rPr>
      </w:pPr>
      <w:r w:rsidRPr="00612B9E">
        <w:rPr>
          <w:rFonts w:hint="eastAsia"/>
          <w:sz w:val="24"/>
        </w:rPr>
        <w:t>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w:t>
      </w:r>
      <w:proofErr w:type="gramStart"/>
      <w:r w:rsidRPr="00612B9E">
        <w:rPr>
          <w:rFonts w:hint="eastAsia"/>
          <w:sz w:val="24"/>
        </w:rPr>
        <w:t>人原因</w:t>
      </w:r>
      <w:proofErr w:type="gramEnd"/>
      <w:r w:rsidRPr="00612B9E">
        <w:rPr>
          <w:rFonts w:hint="eastAsia"/>
          <w:sz w:val="24"/>
        </w:rPr>
        <w:t>导致本基金出现损失致使基金托管人承担连带赔偿责任的，基金管理人应赔偿基金托管人由此遭受的损失。</w:t>
      </w:r>
    </w:p>
    <w:p w14:paraId="264F3F98" w14:textId="77777777" w:rsidR="00010F00" w:rsidRPr="00612B9E" w:rsidRDefault="00010F00" w:rsidP="00010F00">
      <w:pPr>
        <w:spacing w:line="360" w:lineRule="auto"/>
        <w:ind w:firstLineChars="200" w:firstLine="480"/>
        <w:rPr>
          <w:sz w:val="24"/>
        </w:rPr>
      </w:pPr>
      <w:r w:rsidRPr="00612B9E">
        <w:rPr>
          <w:sz w:val="24"/>
        </w:rPr>
        <w:t>3</w:t>
      </w:r>
      <w:r>
        <w:rPr>
          <w:bCs/>
          <w:sz w:val="24"/>
        </w:rPr>
        <w:t>、</w:t>
      </w:r>
      <w:r w:rsidRPr="00612B9E">
        <w:rPr>
          <w:rFonts w:hint="eastAsia"/>
          <w:sz w:val="24"/>
        </w:rPr>
        <w:t>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14:paraId="49476257" w14:textId="77777777" w:rsidR="00010F00" w:rsidRPr="00612B9E" w:rsidRDefault="00010F00" w:rsidP="00010F00">
      <w:pPr>
        <w:spacing w:line="360" w:lineRule="auto"/>
        <w:ind w:firstLineChars="200" w:firstLine="480"/>
        <w:rPr>
          <w:sz w:val="24"/>
        </w:rPr>
      </w:pPr>
      <w:r w:rsidRPr="00612B9E">
        <w:rPr>
          <w:rFonts w:hint="eastAsia"/>
          <w:sz w:val="24"/>
        </w:rPr>
        <w:t>（</w:t>
      </w:r>
      <w:r w:rsidRPr="00612B9E">
        <w:rPr>
          <w:sz w:val="24"/>
        </w:rPr>
        <w:t>1</w:t>
      </w:r>
      <w:r w:rsidRPr="00612B9E">
        <w:rPr>
          <w:rFonts w:hint="eastAsia"/>
          <w:sz w:val="24"/>
        </w:rPr>
        <w:t>）中国证监会批准发行非公开发行股票的批准文件。</w:t>
      </w:r>
    </w:p>
    <w:p w14:paraId="52947F51" w14:textId="77777777" w:rsidR="00010F00" w:rsidRPr="00612B9E" w:rsidRDefault="00010F00" w:rsidP="00010F00">
      <w:pPr>
        <w:spacing w:line="360" w:lineRule="auto"/>
        <w:ind w:firstLineChars="200" w:firstLine="480"/>
        <w:rPr>
          <w:sz w:val="24"/>
        </w:rPr>
      </w:pPr>
      <w:r w:rsidRPr="00612B9E">
        <w:rPr>
          <w:rFonts w:hint="eastAsia"/>
          <w:sz w:val="24"/>
        </w:rPr>
        <w:t>（</w:t>
      </w:r>
      <w:r w:rsidRPr="00612B9E">
        <w:rPr>
          <w:sz w:val="24"/>
        </w:rPr>
        <w:t>2</w:t>
      </w:r>
      <w:r w:rsidRPr="00612B9E">
        <w:rPr>
          <w:rFonts w:hint="eastAsia"/>
          <w:sz w:val="24"/>
        </w:rPr>
        <w:t>）非公开发行股票有关发行数量、发行价格、锁定期等发行资料。</w:t>
      </w:r>
    </w:p>
    <w:p w14:paraId="25E52CDB" w14:textId="77777777" w:rsidR="00010F00" w:rsidRPr="00612B9E" w:rsidRDefault="00010F00" w:rsidP="00010F00">
      <w:pPr>
        <w:spacing w:line="360" w:lineRule="auto"/>
        <w:ind w:firstLineChars="200" w:firstLine="480"/>
        <w:rPr>
          <w:sz w:val="24"/>
        </w:rPr>
      </w:pPr>
      <w:r w:rsidRPr="00612B9E">
        <w:rPr>
          <w:rFonts w:hint="eastAsia"/>
          <w:sz w:val="24"/>
        </w:rPr>
        <w:t>（</w:t>
      </w:r>
      <w:r w:rsidRPr="00612B9E">
        <w:rPr>
          <w:sz w:val="24"/>
        </w:rPr>
        <w:t>3</w:t>
      </w:r>
      <w:r w:rsidRPr="00612B9E">
        <w:rPr>
          <w:rFonts w:hint="eastAsia"/>
          <w:sz w:val="24"/>
        </w:rPr>
        <w:t>）基金拟认购的数量、价格、总成本、账面价值。</w:t>
      </w:r>
    </w:p>
    <w:p w14:paraId="63F68CA5" w14:textId="77777777" w:rsidR="00010F00" w:rsidRPr="00612B9E" w:rsidRDefault="00010F00" w:rsidP="00010F00">
      <w:pPr>
        <w:spacing w:line="360" w:lineRule="auto"/>
        <w:ind w:firstLineChars="200" w:firstLine="480"/>
        <w:rPr>
          <w:sz w:val="24"/>
        </w:rPr>
      </w:pPr>
      <w:r w:rsidRPr="00612B9E">
        <w:rPr>
          <w:sz w:val="24"/>
        </w:rPr>
        <w:t>4</w:t>
      </w:r>
      <w:r>
        <w:rPr>
          <w:bCs/>
          <w:sz w:val="24"/>
        </w:rPr>
        <w:t>、</w:t>
      </w:r>
      <w:r w:rsidRPr="00612B9E">
        <w:rPr>
          <w:rFonts w:hint="eastAsia"/>
          <w:sz w:val="24"/>
        </w:rPr>
        <w:t>基金管理人应在本基金投资非公开发行股票后两个交易日内，在中国证监会规定媒介披露所投资非公开发行股票的名称、数量、总成本、账面价值，以及总成本和账面价值占基金资产净值的比例、锁定期等信息。</w:t>
      </w:r>
    </w:p>
    <w:p w14:paraId="047E93E6" w14:textId="77777777" w:rsidR="00010F00" w:rsidRPr="00612B9E" w:rsidRDefault="00010F00" w:rsidP="00010F00">
      <w:pPr>
        <w:spacing w:line="360" w:lineRule="auto"/>
        <w:ind w:firstLineChars="200" w:firstLine="480"/>
        <w:rPr>
          <w:sz w:val="24"/>
        </w:rPr>
      </w:pPr>
      <w:r w:rsidRPr="00612B9E">
        <w:rPr>
          <w:rFonts w:hint="eastAsia"/>
          <w:sz w:val="24"/>
        </w:rPr>
        <w:t>本基金有关投资流通受限证券比例如违反有关限制规定，在合理期限内未能进行及时调整，基金管理人应在两日内编制临时报告书，予以公告。</w:t>
      </w:r>
    </w:p>
    <w:p w14:paraId="06FC9EFF" w14:textId="77777777" w:rsidR="00010F00" w:rsidRPr="00612B9E" w:rsidRDefault="00010F00" w:rsidP="00010F00">
      <w:pPr>
        <w:spacing w:line="360" w:lineRule="auto"/>
        <w:ind w:firstLineChars="200" w:firstLine="480"/>
        <w:rPr>
          <w:sz w:val="24"/>
        </w:rPr>
      </w:pPr>
      <w:r w:rsidRPr="00612B9E">
        <w:rPr>
          <w:sz w:val="24"/>
        </w:rPr>
        <w:t>5</w:t>
      </w:r>
      <w:r>
        <w:rPr>
          <w:bCs/>
          <w:sz w:val="24"/>
        </w:rPr>
        <w:t>、</w:t>
      </w:r>
      <w:r w:rsidRPr="00612B9E">
        <w:rPr>
          <w:rFonts w:hint="eastAsia"/>
          <w:sz w:val="24"/>
        </w:rPr>
        <w:t>相关法律法规对基金投资流通受限证券有新规定的，从其规定。</w:t>
      </w:r>
    </w:p>
    <w:p w14:paraId="246C5835" w14:textId="77777777" w:rsidR="00010F00" w:rsidRPr="00612B9E" w:rsidRDefault="000A56DF" w:rsidP="00010F00">
      <w:pPr>
        <w:spacing w:line="360" w:lineRule="auto"/>
        <w:ind w:firstLineChars="200" w:firstLine="480"/>
        <w:rPr>
          <w:sz w:val="24"/>
        </w:rPr>
      </w:pPr>
      <w:r>
        <w:rPr>
          <w:rFonts w:hint="eastAsia"/>
          <w:sz w:val="24"/>
        </w:rPr>
        <w:t>（七</w:t>
      </w:r>
      <w:r w:rsidR="00010F00" w:rsidRPr="00612B9E">
        <w:rPr>
          <w:rFonts w:hint="eastAsia"/>
          <w:sz w:val="24"/>
        </w:rPr>
        <w:t>）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6B80AC3D" w14:textId="0EEA04C0" w:rsidR="00010F00" w:rsidRPr="00612B9E" w:rsidRDefault="000A56DF" w:rsidP="006A4F06">
      <w:pPr>
        <w:spacing w:line="360" w:lineRule="auto"/>
        <w:ind w:firstLineChars="200" w:firstLine="480"/>
        <w:rPr>
          <w:sz w:val="24"/>
        </w:rPr>
      </w:pPr>
      <w:r>
        <w:rPr>
          <w:rFonts w:hint="eastAsia"/>
          <w:sz w:val="24"/>
        </w:rPr>
        <w:lastRenderedPageBreak/>
        <w:t>（八</w:t>
      </w:r>
      <w:r w:rsidR="00010F00" w:rsidRPr="00612B9E">
        <w:rPr>
          <w:rFonts w:hint="eastAsia"/>
          <w:sz w:val="24"/>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425C88D6" w14:textId="77777777" w:rsidR="00010F00" w:rsidRPr="00612B9E" w:rsidRDefault="000A56DF" w:rsidP="00010F00">
      <w:pPr>
        <w:spacing w:line="360" w:lineRule="auto"/>
        <w:ind w:firstLineChars="200" w:firstLine="480"/>
        <w:rPr>
          <w:sz w:val="24"/>
        </w:rPr>
      </w:pPr>
      <w:r>
        <w:rPr>
          <w:rFonts w:hint="eastAsia"/>
          <w:sz w:val="24"/>
        </w:rPr>
        <w:t>（九</w:t>
      </w:r>
      <w:r w:rsidR="00010F00" w:rsidRPr="00612B9E">
        <w:rPr>
          <w:rFonts w:hint="eastAsia"/>
          <w:sz w:val="24"/>
        </w:rPr>
        <w:t>）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14:paraId="72FA4A23" w14:textId="77777777" w:rsidR="00010F00" w:rsidRPr="00612B9E" w:rsidRDefault="000A56DF" w:rsidP="00010F00">
      <w:pPr>
        <w:spacing w:line="360" w:lineRule="auto"/>
        <w:ind w:firstLineChars="200" w:firstLine="480"/>
        <w:rPr>
          <w:sz w:val="24"/>
        </w:rPr>
      </w:pPr>
      <w:r>
        <w:rPr>
          <w:rFonts w:hint="eastAsia"/>
          <w:sz w:val="24"/>
        </w:rPr>
        <w:t>（十</w:t>
      </w:r>
      <w:r w:rsidR="00010F00" w:rsidRPr="00612B9E">
        <w:rPr>
          <w:rFonts w:hint="eastAsia"/>
          <w:sz w:val="24"/>
        </w:rPr>
        <w:t>）</w:t>
      </w:r>
      <w:proofErr w:type="gramStart"/>
      <w:r w:rsidR="00010F00" w:rsidRPr="00612B9E">
        <w:rPr>
          <w:rFonts w:hint="eastAsia"/>
          <w:sz w:val="24"/>
        </w:rPr>
        <w:t>若基金</w:t>
      </w:r>
      <w:proofErr w:type="gramEnd"/>
      <w:r w:rsidR="00010F00" w:rsidRPr="00612B9E">
        <w:rPr>
          <w:rFonts w:hint="eastAsia"/>
          <w:sz w:val="24"/>
        </w:rPr>
        <w:t>托管人发现基金管理人依据交易程序已经生效的指令违反法律、行政法规和其他有关规定，或者违反《基金合同》约定的，应当</w:t>
      </w:r>
      <w:r w:rsidR="00010F00">
        <w:rPr>
          <w:rFonts w:hint="eastAsia"/>
          <w:sz w:val="24"/>
        </w:rPr>
        <w:t>及时</w:t>
      </w:r>
      <w:r w:rsidR="00010F00" w:rsidRPr="00612B9E">
        <w:rPr>
          <w:rFonts w:hint="eastAsia"/>
          <w:sz w:val="24"/>
        </w:rPr>
        <w:t>通知基金管理人，由此造成的损失由基金管理人承担。</w:t>
      </w:r>
    </w:p>
    <w:p w14:paraId="06FB1D1A" w14:textId="77777777" w:rsidR="00010F00" w:rsidRPr="00010F00" w:rsidRDefault="00010F00" w:rsidP="00010F00">
      <w:pPr>
        <w:spacing w:line="360" w:lineRule="auto"/>
        <w:ind w:firstLineChars="200" w:firstLine="480"/>
        <w:rPr>
          <w:sz w:val="24"/>
        </w:rPr>
      </w:pPr>
      <w:r w:rsidRPr="00612B9E">
        <w:rPr>
          <w:rFonts w:hint="eastAsia"/>
          <w:sz w:val="24"/>
        </w:rPr>
        <w:t>（十</w:t>
      </w:r>
      <w:r w:rsidR="000A56DF">
        <w:rPr>
          <w:rFonts w:hint="eastAsia"/>
          <w:sz w:val="24"/>
        </w:rPr>
        <w:t>一</w:t>
      </w:r>
      <w:r w:rsidRPr="00612B9E">
        <w:rPr>
          <w:rFonts w:hint="eastAsia"/>
          <w:sz w:val="24"/>
        </w:rPr>
        <w:t>）基金托管人发现基金管理人有重大违规行为，应及时报告中国证监会，同时通知基金管理人限期纠正，并将纠正结果报告中国证监会。基金管理人无正当理由，拒绝、阻挠</w:t>
      </w:r>
      <w:r w:rsidRPr="00FD156A">
        <w:rPr>
          <w:rFonts w:hint="eastAsia"/>
          <w:sz w:val="24"/>
        </w:rPr>
        <w:t>基金托管人根据本托管协议规定行使监督权，或采取拖延、欺诈等手段妨碍基金托管人</w:t>
      </w:r>
      <w:r w:rsidRPr="00612B9E">
        <w:rPr>
          <w:rFonts w:hint="eastAsia"/>
          <w:sz w:val="24"/>
        </w:rPr>
        <w:t>进行有效监督，情节严重或经基金托管人提出警告仍不改正的，基金托管人应报告中国证监会。</w:t>
      </w:r>
      <w:bookmarkStart w:id="11" w:name="_Toc516502489"/>
      <w:bookmarkEnd w:id="6"/>
    </w:p>
    <w:p w14:paraId="6A980FA3" w14:textId="77777777" w:rsidR="00010F00" w:rsidRDefault="00010F00" w:rsidP="00010F00">
      <w:pPr>
        <w:pStyle w:val="1"/>
        <w:spacing w:before="100" w:beforeAutospacing="1" w:after="100" w:afterAutospacing="1"/>
        <w:ind w:left="0"/>
        <w:jc w:val="center"/>
        <w:rPr>
          <w:rFonts w:ascii="Times New Roman" w:eastAsia="宋体" w:hAnsi="Times New Roman" w:cs="宋体"/>
          <w:b w:val="0"/>
          <w:bCs w:val="0"/>
          <w:spacing w:val="-4"/>
          <w:sz w:val="24"/>
          <w:szCs w:val="24"/>
        </w:rPr>
      </w:pPr>
    </w:p>
    <w:p w14:paraId="669CCBF6" w14:textId="77777777" w:rsidR="002123B7" w:rsidRDefault="00D8519F" w:rsidP="00010F00">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r>
        <w:rPr>
          <w:rFonts w:ascii="Times New Roman" w:eastAsia="宋体" w:hAnsi="Times New Roman" w:cs="Times New Roman"/>
          <w:bCs w:val="0"/>
          <w:color w:val="000000" w:themeColor="text1"/>
          <w:kern w:val="2"/>
          <w:lang w:val="en-US" w:bidi="ar-SA"/>
        </w:rPr>
        <w:t>四、基金管理人对基金托管人的业务核查</w:t>
      </w:r>
      <w:bookmarkEnd w:id="11"/>
    </w:p>
    <w:p w14:paraId="28497DDA" w14:textId="489F6E9F"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（一）基金管理人对基金托管人履行托管职责情况进行核查，核查事项包括基金托管人安全保管基金财产、开设基金财产的</w:t>
      </w:r>
      <w:r w:rsidR="00296407">
        <w:rPr>
          <w:rFonts w:ascii="Times New Roman" w:hAnsi="Times New Roman"/>
          <w:spacing w:val="-4"/>
          <w:sz w:val="24"/>
          <w:szCs w:val="24"/>
        </w:rPr>
        <w:t>资金</w:t>
      </w:r>
      <w:r>
        <w:rPr>
          <w:rFonts w:ascii="Times New Roman" w:hAnsi="Times New Roman"/>
          <w:spacing w:val="-4"/>
          <w:sz w:val="24"/>
          <w:szCs w:val="24"/>
        </w:rPr>
        <w:t>账户和证券账户等投资所需账户、复核基金管理人计算的基金资产净值和基金份额净值、根据基金管理人指令办理清算交收、相关信息披露和监督基金投资运作等行为。</w:t>
      </w:r>
    </w:p>
    <w:p w14:paraId="266DD3BD"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（二）基金管理人发现基金托管人擅自挪用基金财产、未对基金财产实行分账管理、未执行或无故延迟执行基金管理人资金划拨指令、泄露基金投资信息等违反</w:t>
      </w:r>
      <w:r>
        <w:rPr>
          <w:rFonts w:ascii="Times New Roman" w:hAnsi="Times New Roman"/>
          <w:spacing w:val="-4"/>
          <w:sz w:val="24"/>
          <w:szCs w:val="24"/>
        </w:rPr>
        <w:lastRenderedPageBreak/>
        <w:t>《基金法》、《基金合同》、本协议及其他有关规定时，应及时以书面形式通知基金托管人限期纠正。基金托管人收到通知后应在下一工作日前及时核对并以书面形式给基金管理人发出回函，说明违规原因及纠正期限，并保证在规定期限内及时改正。在上述规定期限内，基金管理人有权随时对通知事项进行复查</w:t>
      </w:r>
      <w:r>
        <w:rPr>
          <w:rFonts w:ascii="Times New Roman" w:hAnsi="Times New Roman"/>
          <w:spacing w:val="-4"/>
          <w:sz w:val="24"/>
          <w:szCs w:val="24"/>
        </w:rPr>
        <w:t>,</w:t>
      </w:r>
      <w:r>
        <w:rPr>
          <w:rFonts w:ascii="Times New Roman" w:hAnsi="Times New Roman"/>
          <w:spacing w:val="-4"/>
          <w:sz w:val="24"/>
          <w:szCs w:val="24"/>
        </w:rPr>
        <w:t>督促基金托管人改正。基金托管人应积极配合基金管理人的核查行为，包括但不限于：提交相关资料以</w:t>
      </w:r>
      <w:proofErr w:type="gramStart"/>
      <w:r>
        <w:rPr>
          <w:rFonts w:ascii="Times New Roman" w:hAnsi="Times New Roman"/>
          <w:spacing w:val="-4"/>
          <w:sz w:val="24"/>
          <w:szCs w:val="24"/>
        </w:rPr>
        <w:t>供基金</w:t>
      </w:r>
      <w:proofErr w:type="gramEnd"/>
      <w:r>
        <w:rPr>
          <w:rFonts w:ascii="Times New Roman" w:hAnsi="Times New Roman"/>
          <w:spacing w:val="-4"/>
          <w:sz w:val="24"/>
          <w:szCs w:val="24"/>
        </w:rPr>
        <w:t>管理人核查托管财产的完整性和真实性，在规定时间内答复基金管理人并改正。</w:t>
      </w:r>
    </w:p>
    <w:p w14:paraId="5E60AE55"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（三）基金管理人发现基金托管人有重大违规行为，应及时报告中国证监会，同时通知基金托管人限期纠正，并将纠正结果报告中国证监会。基金托管人无正当理由，拒绝、阻挠</w:t>
      </w:r>
      <w:r>
        <w:rPr>
          <w:rFonts w:ascii="Times New Roman" w:hAnsi="Times New Roman" w:hint="eastAsia"/>
          <w:spacing w:val="-4"/>
          <w:sz w:val="24"/>
          <w:szCs w:val="24"/>
        </w:rPr>
        <w:t>对方</w:t>
      </w:r>
      <w:r>
        <w:rPr>
          <w:rFonts w:ascii="Times New Roman" w:hAnsi="Times New Roman"/>
          <w:spacing w:val="-4"/>
          <w:sz w:val="24"/>
          <w:szCs w:val="24"/>
        </w:rPr>
        <w:t>根据本协议规定行使监督权，或采取拖延、欺诈等手段妨碍对方进行有效监督，情节严重或经基金管理人提出警告仍不改正的，基金管理人应报告中国证监会。</w:t>
      </w:r>
    </w:p>
    <w:p w14:paraId="3E0CE751"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12" w:name="_Toc516502490"/>
      <w:r>
        <w:rPr>
          <w:rFonts w:ascii="Times New Roman" w:eastAsia="宋体" w:hAnsi="Times New Roman" w:cs="Times New Roman"/>
          <w:bCs w:val="0"/>
          <w:color w:val="000000" w:themeColor="text1"/>
          <w:kern w:val="2"/>
          <w:lang w:val="en-US" w:bidi="ar-SA"/>
        </w:rPr>
        <w:t>五、基金财产的保管</w:t>
      </w:r>
      <w:bookmarkEnd w:id="12"/>
    </w:p>
    <w:p w14:paraId="1012F29C"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（一）基金财产保管的原则</w:t>
      </w:r>
    </w:p>
    <w:p w14:paraId="41F1F887"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1</w:t>
      </w:r>
      <w:r>
        <w:rPr>
          <w:rFonts w:ascii="Times New Roman" w:hAnsi="Times New Roman"/>
          <w:spacing w:val="-4"/>
          <w:sz w:val="24"/>
          <w:szCs w:val="24"/>
        </w:rPr>
        <w:t>、基金财产应独立于基金管理人、基金托管人</w:t>
      </w:r>
      <w:r>
        <w:rPr>
          <w:rFonts w:ascii="Times New Roman" w:hAnsi="Times New Roman" w:hint="eastAsia"/>
          <w:spacing w:val="-4"/>
          <w:sz w:val="24"/>
          <w:szCs w:val="24"/>
        </w:rPr>
        <w:t>、证券经纪机构</w:t>
      </w:r>
      <w:r>
        <w:rPr>
          <w:rFonts w:ascii="Times New Roman" w:hAnsi="Times New Roman"/>
          <w:spacing w:val="-4"/>
          <w:sz w:val="24"/>
          <w:szCs w:val="24"/>
        </w:rPr>
        <w:t>的固有财产。</w:t>
      </w:r>
    </w:p>
    <w:p w14:paraId="7AD8332C" w14:textId="368655B3"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2</w:t>
      </w:r>
      <w:r>
        <w:rPr>
          <w:rFonts w:ascii="Times New Roman" w:hAnsi="Times New Roman"/>
          <w:spacing w:val="-4"/>
          <w:sz w:val="24"/>
          <w:szCs w:val="24"/>
        </w:rPr>
        <w:t>、基金托管人应安全保管基金财产。</w:t>
      </w:r>
    </w:p>
    <w:p w14:paraId="533020E9" w14:textId="5A928E51"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3</w:t>
      </w:r>
      <w:r>
        <w:rPr>
          <w:rFonts w:ascii="Times New Roman" w:hAnsi="Times New Roman"/>
          <w:spacing w:val="-4"/>
          <w:sz w:val="24"/>
          <w:szCs w:val="24"/>
        </w:rPr>
        <w:t>、基金托管人按照规定开设基金财产的</w:t>
      </w:r>
      <w:r w:rsidR="00296407">
        <w:rPr>
          <w:rFonts w:ascii="Times New Roman" w:hAnsi="Times New Roman"/>
          <w:spacing w:val="-4"/>
          <w:sz w:val="24"/>
          <w:szCs w:val="24"/>
        </w:rPr>
        <w:t>资金</w:t>
      </w:r>
      <w:r>
        <w:rPr>
          <w:rFonts w:ascii="Times New Roman" w:hAnsi="Times New Roman"/>
          <w:spacing w:val="-4"/>
          <w:sz w:val="24"/>
          <w:szCs w:val="24"/>
        </w:rPr>
        <w:t>账户和证券账户等投资所需账户。</w:t>
      </w:r>
    </w:p>
    <w:p w14:paraId="786B6348"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4</w:t>
      </w:r>
      <w:r>
        <w:rPr>
          <w:rFonts w:ascii="Times New Roman" w:hAnsi="Times New Roman"/>
          <w:spacing w:val="-4"/>
          <w:sz w:val="24"/>
          <w:szCs w:val="24"/>
        </w:rPr>
        <w:t>、基金托管人对所托管的不同基金财产分别设置账户，</w:t>
      </w:r>
      <w:r>
        <w:rPr>
          <w:rFonts w:ascii="Times New Roman" w:hAnsi="Times New Roman" w:hint="eastAsia"/>
          <w:spacing w:val="-4"/>
          <w:sz w:val="24"/>
          <w:szCs w:val="24"/>
        </w:rPr>
        <w:t>分账管理，独立核算，</w:t>
      </w:r>
      <w:r>
        <w:rPr>
          <w:rFonts w:ascii="Times New Roman" w:hAnsi="Times New Roman"/>
          <w:spacing w:val="-4"/>
          <w:sz w:val="24"/>
          <w:szCs w:val="24"/>
        </w:rPr>
        <w:t>确保基金财产的完整与独立。</w:t>
      </w:r>
    </w:p>
    <w:p w14:paraId="4ACCBCCA" w14:textId="436A8E8B"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5</w:t>
      </w:r>
      <w:r>
        <w:rPr>
          <w:rFonts w:ascii="Times New Roman" w:hAnsi="Times New Roman"/>
          <w:spacing w:val="-4"/>
          <w:sz w:val="24"/>
          <w:szCs w:val="24"/>
        </w:rPr>
        <w:t>、基金托管人按照《基金合同》和本协议的约定保管基金财产，如有特殊情况双方可另行协商解决。</w:t>
      </w:r>
      <w:r w:rsidR="00590786" w:rsidRPr="00C70476">
        <w:rPr>
          <w:rFonts w:ascii="Times New Roman" w:hAnsi="Times New Roman" w:hint="eastAsia"/>
          <w:spacing w:val="-4"/>
          <w:sz w:val="24"/>
          <w:szCs w:val="24"/>
        </w:rPr>
        <w:t>基金托管人未经基金管理人的指令，不得自行运用、处分、分配本基金的任何资产（不包含托管人开户银行或交易</w:t>
      </w:r>
      <w:r w:rsidR="00590786" w:rsidRPr="00C70476">
        <w:rPr>
          <w:rFonts w:ascii="Times New Roman" w:hAnsi="Times New Roman" w:hint="eastAsia"/>
          <w:spacing w:val="-4"/>
          <w:sz w:val="24"/>
          <w:szCs w:val="24"/>
        </w:rPr>
        <w:t>/</w:t>
      </w:r>
      <w:r w:rsidR="00590786" w:rsidRPr="00C70476">
        <w:rPr>
          <w:rFonts w:ascii="Times New Roman" w:hAnsi="Times New Roman" w:hint="eastAsia"/>
          <w:spacing w:val="-4"/>
          <w:sz w:val="24"/>
          <w:szCs w:val="24"/>
        </w:rPr>
        <w:t>登记结算机构扣</w:t>
      </w:r>
      <w:proofErr w:type="gramStart"/>
      <w:r w:rsidR="00590786" w:rsidRPr="00C70476">
        <w:rPr>
          <w:rFonts w:ascii="Times New Roman" w:hAnsi="Times New Roman" w:hint="eastAsia"/>
          <w:spacing w:val="-4"/>
          <w:sz w:val="24"/>
          <w:szCs w:val="24"/>
        </w:rPr>
        <w:t>收交易</w:t>
      </w:r>
      <w:proofErr w:type="gramEnd"/>
      <w:r w:rsidR="00590786" w:rsidRPr="00C70476">
        <w:rPr>
          <w:rFonts w:ascii="Times New Roman" w:hAnsi="Times New Roman" w:hint="eastAsia"/>
          <w:spacing w:val="-4"/>
          <w:sz w:val="24"/>
          <w:szCs w:val="24"/>
        </w:rPr>
        <w:t>费、结算费和账户维护费等费用）。</w:t>
      </w:r>
    </w:p>
    <w:p w14:paraId="2B73602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6</w:t>
      </w:r>
      <w:r>
        <w:rPr>
          <w:rFonts w:ascii="Times New Roman" w:hAnsi="Times New Roman"/>
          <w:spacing w:val="-4"/>
          <w:sz w:val="24"/>
          <w:szCs w:val="24"/>
        </w:rPr>
        <w:t>、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w:t>
      </w:r>
    </w:p>
    <w:p w14:paraId="043BCE86"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7</w:t>
      </w:r>
      <w:r>
        <w:rPr>
          <w:rFonts w:ascii="Times New Roman" w:hAnsi="Times New Roman"/>
          <w:spacing w:val="-4"/>
          <w:sz w:val="24"/>
          <w:szCs w:val="24"/>
        </w:rPr>
        <w:t>、除依据法律法规和《基金合同》的规定外，基金托管人不得委托第三人托管基金财产。</w:t>
      </w:r>
    </w:p>
    <w:p w14:paraId="056E99D0"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lastRenderedPageBreak/>
        <w:t>（二）基金募集期间及募集资金及股票的验资</w:t>
      </w:r>
    </w:p>
    <w:p w14:paraId="7F0F7DB3"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1</w:t>
      </w:r>
      <w:r w:rsidRPr="000A56DF">
        <w:rPr>
          <w:rFonts w:ascii="Times New Roman" w:hAnsi="Times New Roman"/>
          <w:spacing w:val="-4"/>
          <w:sz w:val="24"/>
          <w:szCs w:val="24"/>
        </w:rPr>
        <w:t>、基金募集期间募集的资金应存于基金管理人在基金托管人的营业机构开立的</w:t>
      </w:r>
      <w:r w:rsidRPr="000A56DF">
        <w:rPr>
          <w:rFonts w:ascii="Times New Roman" w:hAnsi="Times New Roman"/>
          <w:spacing w:val="-4"/>
          <w:sz w:val="24"/>
          <w:szCs w:val="24"/>
        </w:rPr>
        <w:t>“</w:t>
      </w:r>
      <w:r w:rsidRPr="000A56DF">
        <w:rPr>
          <w:rFonts w:ascii="Times New Roman" w:hAnsi="Times New Roman"/>
          <w:spacing w:val="-4"/>
          <w:sz w:val="24"/>
          <w:szCs w:val="24"/>
        </w:rPr>
        <w:t>基金募集专户</w:t>
      </w:r>
      <w:r w:rsidRPr="000A56DF">
        <w:rPr>
          <w:rFonts w:ascii="Times New Roman" w:hAnsi="Times New Roman"/>
          <w:spacing w:val="-4"/>
          <w:sz w:val="24"/>
          <w:szCs w:val="24"/>
        </w:rPr>
        <w:t>”</w:t>
      </w:r>
      <w:r w:rsidRPr="000A56DF">
        <w:rPr>
          <w:rFonts w:ascii="Times New Roman" w:hAnsi="Times New Roman"/>
          <w:spacing w:val="-4"/>
          <w:sz w:val="24"/>
          <w:szCs w:val="24"/>
        </w:rPr>
        <w:t>。该账户由基金管理人开立并管理。</w:t>
      </w:r>
    </w:p>
    <w:p w14:paraId="105644A0"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2</w:t>
      </w:r>
      <w:r w:rsidRPr="000A56DF">
        <w:rPr>
          <w:rFonts w:ascii="Times New Roman" w:hAnsi="Times New Roman"/>
          <w:spacing w:val="-4"/>
          <w:sz w:val="24"/>
          <w:szCs w:val="24"/>
        </w:rPr>
        <w:t>、基金募集期满或基金停止募集时，募集的基金份额总额、基金募集金额（含网下股票认购所募集的股票市值）、基金份额持有人人数符合《基金法》、《运作办法》等有关规定后，基金管理人应将属于基金财产的全部资金划入基金托管人开立的基金托管资金账户，网下股票认购所募集的股票应划入本基金的证券账户下，同时在规定时间内，聘请符合《中华人民共和国证券法》规定的会计师事务所进行验资，出具验资报告。出具的验资报告由参加验资的</w:t>
      </w:r>
      <w:r w:rsidRPr="000A56DF">
        <w:rPr>
          <w:rFonts w:ascii="Times New Roman" w:hAnsi="Times New Roman"/>
          <w:spacing w:val="-4"/>
          <w:sz w:val="24"/>
          <w:szCs w:val="24"/>
        </w:rPr>
        <w:t>2</w:t>
      </w:r>
      <w:r w:rsidRPr="000A56DF">
        <w:rPr>
          <w:rFonts w:ascii="Times New Roman" w:hAnsi="Times New Roman"/>
          <w:spacing w:val="-4"/>
          <w:sz w:val="24"/>
          <w:szCs w:val="24"/>
        </w:rPr>
        <w:t>名或</w:t>
      </w:r>
      <w:r w:rsidRPr="000A56DF">
        <w:rPr>
          <w:rFonts w:ascii="Times New Roman" w:hAnsi="Times New Roman"/>
          <w:spacing w:val="-4"/>
          <w:sz w:val="24"/>
          <w:szCs w:val="24"/>
        </w:rPr>
        <w:t>2</w:t>
      </w:r>
      <w:r w:rsidRPr="000A56DF">
        <w:rPr>
          <w:rFonts w:ascii="Times New Roman" w:hAnsi="Times New Roman"/>
          <w:spacing w:val="-4"/>
          <w:sz w:val="24"/>
          <w:szCs w:val="24"/>
        </w:rPr>
        <w:t>名以上中国注册会计师签字方为有效。</w:t>
      </w:r>
    </w:p>
    <w:p w14:paraId="589366B2"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3</w:t>
      </w:r>
      <w:r w:rsidRPr="000A56DF">
        <w:rPr>
          <w:rFonts w:ascii="Times New Roman" w:hAnsi="Times New Roman"/>
          <w:spacing w:val="-4"/>
          <w:sz w:val="24"/>
          <w:szCs w:val="24"/>
        </w:rPr>
        <w:t>、</w:t>
      </w:r>
      <w:proofErr w:type="gramStart"/>
      <w:r w:rsidRPr="000A56DF">
        <w:rPr>
          <w:rFonts w:ascii="Times New Roman" w:hAnsi="Times New Roman"/>
          <w:spacing w:val="-4"/>
          <w:sz w:val="24"/>
          <w:szCs w:val="24"/>
        </w:rPr>
        <w:t>若基金</w:t>
      </w:r>
      <w:proofErr w:type="gramEnd"/>
      <w:r w:rsidRPr="000A56DF">
        <w:rPr>
          <w:rFonts w:ascii="Times New Roman" w:hAnsi="Times New Roman"/>
          <w:spacing w:val="-4"/>
          <w:sz w:val="24"/>
          <w:szCs w:val="24"/>
        </w:rPr>
        <w:t>募集期限届满，未能达到《基金合同》生效的条件，由基金管理人按规定办理退款等事宜。对于基金募集期间网下股票认购所募集的股票，登记机构及发售代理机构将协助基金管理人完成相关资金和证券的退还工作。</w:t>
      </w:r>
    </w:p>
    <w:p w14:paraId="29D799D3"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（三）基金托管资金账户的开立和管理</w:t>
      </w:r>
    </w:p>
    <w:p w14:paraId="4F35015A" w14:textId="7BC63FE3"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1</w:t>
      </w:r>
      <w:r w:rsidRPr="000A56DF">
        <w:rPr>
          <w:rFonts w:ascii="Times New Roman" w:hAnsi="Times New Roman"/>
          <w:spacing w:val="-4"/>
          <w:sz w:val="24"/>
          <w:szCs w:val="24"/>
        </w:rPr>
        <w:t>、基金托管人可以基金的名义在其营业机构开立基金的托管资金账户，并根据基金管理人合法合</w:t>
      </w:r>
      <w:proofErr w:type="gramStart"/>
      <w:r w:rsidRPr="000A56DF">
        <w:rPr>
          <w:rFonts w:ascii="Times New Roman" w:hAnsi="Times New Roman"/>
          <w:spacing w:val="-4"/>
          <w:sz w:val="24"/>
          <w:szCs w:val="24"/>
        </w:rPr>
        <w:t>规</w:t>
      </w:r>
      <w:proofErr w:type="gramEnd"/>
      <w:r w:rsidRPr="000A56DF">
        <w:rPr>
          <w:rFonts w:ascii="Times New Roman" w:hAnsi="Times New Roman"/>
          <w:spacing w:val="-4"/>
          <w:sz w:val="24"/>
          <w:szCs w:val="24"/>
        </w:rPr>
        <w:t>的指令办理资金收付。</w:t>
      </w:r>
      <w:r w:rsidR="00D863C3" w:rsidRPr="00C70476">
        <w:rPr>
          <w:rFonts w:ascii="Times New Roman" w:hAnsi="Times New Roman" w:hint="eastAsia"/>
          <w:spacing w:val="-4"/>
          <w:sz w:val="24"/>
          <w:szCs w:val="24"/>
        </w:rPr>
        <w:t>户名原则上应当包含开户主体和产品名称字样。如法律法规或监管部门另有规定的，从其规定。</w:t>
      </w:r>
      <w:r w:rsidRPr="000A56DF">
        <w:rPr>
          <w:rFonts w:ascii="Times New Roman" w:hAnsi="Times New Roman"/>
          <w:spacing w:val="-4"/>
          <w:sz w:val="24"/>
          <w:szCs w:val="24"/>
        </w:rPr>
        <w:t>本基金的银行预留印鉴由基金托管人保管和使用。</w:t>
      </w:r>
    </w:p>
    <w:p w14:paraId="3F81C165"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2</w:t>
      </w:r>
      <w:r w:rsidRPr="000A56DF">
        <w:rPr>
          <w:rFonts w:ascii="Times New Roman" w:hAnsi="Times New Roman"/>
          <w:spacing w:val="-4"/>
          <w:sz w:val="24"/>
          <w:szCs w:val="24"/>
        </w:rPr>
        <w:t>、基金托管资金账户的开立和使用，限于满足开展本基金业务的需要。基金托管人和基金管理人不得假借本基金的名义开立任何其他银行账户；亦不得使用基金的任何账户进行本基金业务以外的活动。</w:t>
      </w:r>
    </w:p>
    <w:p w14:paraId="6FE52883"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3</w:t>
      </w:r>
      <w:r w:rsidRPr="000A56DF">
        <w:rPr>
          <w:rFonts w:ascii="Times New Roman" w:hAnsi="Times New Roman"/>
          <w:spacing w:val="-4"/>
          <w:sz w:val="24"/>
          <w:szCs w:val="24"/>
        </w:rPr>
        <w:t>、基金托管资金账户的开立和管理应符合有关法律法规的规定。</w:t>
      </w:r>
    </w:p>
    <w:p w14:paraId="45502E37"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4</w:t>
      </w:r>
      <w:r w:rsidRPr="000A56DF">
        <w:rPr>
          <w:rFonts w:ascii="Times New Roman" w:hAnsi="Times New Roman"/>
          <w:spacing w:val="-4"/>
          <w:sz w:val="24"/>
          <w:szCs w:val="24"/>
        </w:rPr>
        <w:t>、基金管理人应于基金终止运作后及时完成收益兑付、费用结清及其他应收应付款项资金划转，在确保后续不再发生款项进出后的</w:t>
      </w:r>
      <w:r w:rsidRPr="000A56DF">
        <w:rPr>
          <w:rFonts w:ascii="Times New Roman" w:hAnsi="Times New Roman"/>
          <w:spacing w:val="-4"/>
          <w:sz w:val="24"/>
          <w:szCs w:val="24"/>
        </w:rPr>
        <w:t>10</w:t>
      </w:r>
      <w:r w:rsidRPr="000A56DF">
        <w:rPr>
          <w:rFonts w:ascii="Times New Roman" w:hAnsi="Times New Roman"/>
          <w:spacing w:val="-4"/>
          <w:sz w:val="24"/>
          <w:szCs w:val="24"/>
        </w:rPr>
        <w:t>个工作日内向基金托管人发出销户申请。</w:t>
      </w:r>
    </w:p>
    <w:p w14:paraId="3009BAF0"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（四）基金证券账户和证券资金账户的开立和管理</w:t>
      </w:r>
    </w:p>
    <w:p w14:paraId="0055638E"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1</w:t>
      </w:r>
      <w:r w:rsidRPr="000A56DF">
        <w:rPr>
          <w:rFonts w:ascii="Times New Roman" w:hAnsi="Times New Roman"/>
          <w:spacing w:val="-4"/>
          <w:sz w:val="24"/>
          <w:szCs w:val="24"/>
        </w:rPr>
        <w:t>、基金托管人在中国证券登记结算有限责任公司为基金开立基金托管人与本基金联名的证券账户。</w:t>
      </w:r>
    </w:p>
    <w:p w14:paraId="66D8F44F"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2</w:t>
      </w:r>
      <w:r w:rsidRPr="000A56DF">
        <w:rPr>
          <w:rFonts w:ascii="Times New Roman" w:hAnsi="Times New Roman"/>
          <w:spacing w:val="-4"/>
          <w:sz w:val="24"/>
          <w:szCs w:val="24"/>
        </w:rPr>
        <w:t>、基金证券账户的开立和使用，仅限于满足开展本基金业务的需要。基金托管人和基金管理人不得出借或未经对方同意擅自转让基金的任何证券账户，亦不得使</w:t>
      </w:r>
      <w:r w:rsidRPr="000A56DF">
        <w:rPr>
          <w:rFonts w:ascii="Times New Roman" w:hAnsi="Times New Roman"/>
          <w:spacing w:val="-4"/>
          <w:sz w:val="24"/>
          <w:szCs w:val="24"/>
        </w:rPr>
        <w:lastRenderedPageBreak/>
        <w:t>用基金的任何账户进行本基金业务以外的活动。</w:t>
      </w:r>
    </w:p>
    <w:p w14:paraId="2C215D9C"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3</w:t>
      </w:r>
      <w:r w:rsidRPr="000A56DF">
        <w:rPr>
          <w:rFonts w:ascii="Times New Roman" w:hAnsi="Times New Roman"/>
          <w:spacing w:val="-4"/>
          <w:sz w:val="24"/>
          <w:szCs w:val="24"/>
        </w:rPr>
        <w:t>、基金证券账户的开立和证券账户卡的保管由基金托管人负责，账户资产的管理和运用由基金管理人负责。</w:t>
      </w:r>
    </w:p>
    <w:p w14:paraId="1710E28C"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证券账户开户费由基金管理人先行垫付</w:t>
      </w:r>
      <w:r w:rsidRPr="000A56DF">
        <w:rPr>
          <w:rFonts w:ascii="Times New Roman" w:hAnsi="Times New Roman"/>
          <w:spacing w:val="-4"/>
          <w:sz w:val="24"/>
          <w:szCs w:val="24"/>
        </w:rPr>
        <w:t>,</w:t>
      </w:r>
      <w:proofErr w:type="gramStart"/>
      <w:r w:rsidRPr="000A56DF">
        <w:rPr>
          <w:rFonts w:ascii="Times New Roman" w:hAnsi="Times New Roman"/>
          <w:spacing w:val="-4"/>
          <w:sz w:val="24"/>
          <w:szCs w:val="24"/>
        </w:rPr>
        <w:t>待本基金</w:t>
      </w:r>
      <w:proofErr w:type="gramEnd"/>
      <w:r w:rsidRPr="000A56DF">
        <w:rPr>
          <w:rFonts w:ascii="Times New Roman" w:hAnsi="Times New Roman"/>
          <w:spacing w:val="-4"/>
          <w:sz w:val="24"/>
          <w:szCs w:val="24"/>
        </w:rPr>
        <w:t>启始运营后</w:t>
      </w:r>
      <w:r w:rsidRPr="000A56DF">
        <w:rPr>
          <w:rFonts w:ascii="Times New Roman" w:hAnsi="Times New Roman"/>
          <w:spacing w:val="-4"/>
          <w:sz w:val="24"/>
          <w:szCs w:val="24"/>
        </w:rPr>
        <w:t>,</w:t>
      </w:r>
      <w:r w:rsidRPr="000A56DF">
        <w:rPr>
          <w:rFonts w:ascii="Times New Roman" w:hAnsi="Times New Roman"/>
          <w:spacing w:val="-4"/>
          <w:sz w:val="24"/>
          <w:szCs w:val="24"/>
        </w:rPr>
        <w:t>基金管理人可向基金托管人发送划款指令</w:t>
      </w:r>
      <w:r w:rsidRPr="000A56DF">
        <w:rPr>
          <w:rFonts w:ascii="Times New Roman" w:hAnsi="Times New Roman"/>
          <w:spacing w:val="-4"/>
          <w:sz w:val="24"/>
          <w:szCs w:val="24"/>
        </w:rPr>
        <w:t>,</w:t>
      </w:r>
      <w:r w:rsidRPr="000A56DF">
        <w:rPr>
          <w:rFonts w:ascii="Times New Roman" w:hAnsi="Times New Roman"/>
          <w:spacing w:val="-4"/>
          <w:sz w:val="24"/>
          <w:szCs w:val="24"/>
        </w:rPr>
        <w:t>将代垫开户费从本基金托管资金账户中扣还基金管理人。</w:t>
      </w:r>
    </w:p>
    <w:p w14:paraId="7DCFC329"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4</w:t>
      </w:r>
      <w:r w:rsidRPr="000A56DF">
        <w:rPr>
          <w:rFonts w:ascii="Times New Roman" w:hAnsi="Times New Roman"/>
          <w:spacing w:val="-4"/>
          <w:sz w:val="24"/>
          <w:szCs w:val="24"/>
        </w:rPr>
        <w:t>、基金管理人以基金名义在基金管理人选择的证券经纪机构营业网点开立证券资金账户，用于基金财产证券交易结算资金的存管、记载交易结算资金的变动明细以及场内证券交易清算，并与基金托管人开立的基金托管资金账户建立第三方存管关系。证券经纪机构根据相关法律法规、规范性文件为本基金开立证券资金账户，并按照该证券经纪机构开户的流程和要求与基金管理人签订相关协议。</w:t>
      </w:r>
    </w:p>
    <w:p w14:paraId="267F05D7"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交易所证券交易资金采用第三方存管模式，即用于证券交易的结算资金全额存放在基金管理人为基金开立的证券资金账户中，场内的证券交易资金清算由基金管理人所选择的证券经纪机构负责。证券资金账户内的资金，只能通过证银转账方式将资金划转至基金托管资金账户，不得将资金划转至任何其他银行账户。第三方存管对应关系一经确定，不得更改，如果必须更改，应由基金管理人发起，经过基金托管人书面确认后，重新建立第三方存管对应关系。基金托管人和基金管理人不得出借或转让证券账户、证券资金账户，亦不得使用证券账户或证券资金账户进行本基金业务以外的活动。基金管理人承诺证券资金账户为主资金账户，不开立任何辅助资金账户；不为证券资金账户另行开立托管资金账户以外的其他银行账户。基金托管人不负责办理场内的证券交易资金清算，也不负责保管证券资金账户内存放的资金。</w:t>
      </w:r>
    </w:p>
    <w:p w14:paraId="720FCC04"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5</w:t>
      </w:r>
      <w:r w:rsidRPr="000A56DF">
        <w:rPr>
          <w:rFonts w:ascii="Times New Roman" w:hAnsi="Times New Roman"/>
          <w:spacing w:val="-4"/>
          <w:sz w:val="24"/>
          <w:szCs w:val="24"/>
        </w:rPr>
        <w:t>、账户注销时，在遵守中国证券登记结算有限责任公司的相关规定下，由基金管理人和基金托管人协商确认主要办理人。账户注销期间，主要办理人如需另一方提供配合的，另一方应予以配合。</w:t>
      </w:r>
    </w:p>
    <w:p w14:paraId="63129728"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6</w:t>
      </w:r>
      <w:r w:rsidRPr="000A56DF">
        <w:rPr>
          <w:rFonts w:ascii="Times New Roman" w:hAnsi="Times New Roman"/>
          <w:spacing w:val="-4"/>
          <w:sz w:val="24"/>
          <w:szCs w:val="24"/>
        </w:rPr>
        <w:t>、若中国证监会或其他监管机构在本托管协议订立日之后允许基金从事其他投资品种的投资业务，涉及相关账户的开立、使用的，若无相关规定，</w:t>
      </w:r>
      <w:proofErr w:type="gramStart"/>
      <w:r w:rsidRPr="000A56DF">
        <w:rPr>
          <w:rFonts w:ascii="Times New Roman" w:hAnsi="Times New Roman"/>
          <w:spacing w:val="-4"/>
          <w:sz w:val="24"/>
          <w:szCs w:val="24"/>
        </w:rPr>
        <w:t>则基金</w:t>
      </w:r>
      <w:proofErr w:type="gramEnd"/>
      <w:r w:rsidRPr="000A56DF">
        <w:rPr>
          <w:rFonts w:ascii="Times New Roman" w:hAnsi="Times New Roman"/>
          <w:spacing w:val="-4"/>
          <w:sz w:val="24"/>
          <w:szCs w:val="24"/>
        </w:rPr>
        <w:t>托管人比照上述关于账户开立、使用的规定执行。</w:t>
      </w:r>
    </w:p>
    <w:p w14:paraId="5B3DD456"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（五）银行间账户的开设和管理</w:t>
      </w:r>
    </w:p>
    <w:p w14:paraId="6E07DC47"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《基金合同》生效后，基金管理人负责以基金的名义申请并取得进入全国银行间同业拆借市场的交易资格，并代表基金进行交易；基金托管人根据中国人民银行、</w:t>
      </w:r>
      <w:r w:rsidRPr="000A56DF">
        <w:rPr>
          <w:rFonts w:ascii="Times New Roman" w:hAnsi="Times New Roman" w:hint="eastAsia"/>
          <w:spacing w:val="-4"/>
          <w:sz w:val="24"/>
          <w:szCs w:val="24"/>
        </w:rPr>
        <w:lastRenderedPageBreak/>
        <w:t>银行间市场登记结算机构的有关规定，以本基金的名义在银行间市场登记结算机构开立债券托管账户和资金结算专户，并代表基金进行银行间市场债券的结算。基金管理人代表基金签订全国银行间债券市场债券回购主协议。</w:t>
      </w:r>
    </w:p>
    <w:p w14:paraId="3E9A855B"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（六）其他账户的开立和管理</w:t>
      </w:r>
    </w:p>
    <w:p w14:paraId="48FACDBF"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1</w:t>
      </w:r>
      <w:r w:rsidRPr="000A56DF">
        <w:rPr>
          <w:rFonts w:ascii="Times New Roman" w:hAnsi="Times New Roman"/>
          <w:spacing w:val="-4"/>
          <w:sz w:val="24"/>
          <w:szCs w:val="24"/>
        </w:rPr>
        <w:t>、在本托管协议订立日之后，本基金被允许从事其他投资品种的投资业务时，可以根据法律法规和《基金合同》约定开立符合业务发展需要的其他账户。如果涉及相关账户的开设和使用，由基金管理人协助基金托管人根据有关法律法规的规定和《基金合同》的约定，开立有关账户。新账户按有关规定使用并管理。</w:t>
      </w:r>
    </w:p>
    <w:p w14:paraId="58B4027C"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2</w:t>
      </w:r>
      <w:r w:rsidRPr="000A56DF">
        <w:rPr>
          <w:rFonts w:ascii="Times New Roman" w:hAnsi="Times New Roman"/>
          <w:spacing w:val="-4"/>
          <w:sz w:val="24"/>
          <w:szCs w:val="24"/>
        </w:rPr>
        <w:t>、法律法规等有关规定对相关账户的开立和管理另有规定的，从其规定办理。</w:t>
      </w:r>
    </w:p>
    <w:p w14:paraId="0CD030AF"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（七）基金财产投资的有关有价凭证等的保管</w:t>
      </w:r>
    </w:p>
    <w:p w14:paraId="29E850B0"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基金财产投资的有关实物证券、银行存款开户证实书等有价凭证由基金托管人存放于基金托管人的保管库，也可存入法律法规有关规定允许的</w:t>
      </w:r>
      <w:proofErr w:type="gramStart"/>
      <w:r w:rsidRPr="000A56DF">
        <w:rPr>
          <w:rFonts w:ascii="Times New Roman" w:hAnsi="Times New Roman" w:hint="eastAsia"/>
          <w:spacing w:val="-4"/>
          <w:sz w:val="24"/>
          <w:szCs w:val="24"/>
        </w:rPr>
        <w:t>各类代保管</w:t>
      </w:r>
      <w:proofErr w:type="gramEnd"/>
      <w:r w:rsidRPr="000A56DF">
        <w:rPr>
          <w:rFonts w:ascii="Times New Roman" w:hAnsi="Times New Roman" w:hint="eastAsia"/>
          <w:spacing w:val="-4"/>
          <w:sz w:val="24"/>
          <w:szCs w:val="24"/>
        </w:rPr>
        <w:t>库，保管凭证由基金托管人持有。实物证券、银行定期存款证实书等有价凭证的购买和转让，由基金管理人和基金托管人双方约定办理。基金托管人对由基金托管人以外机构实际有效控制或保管的资产不承担任何责任。</w:t>
      </w:r>
    </w:p>
    <w:p w14:paraId="506C42BC"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（八）与基金财产有关的重大合同的保管</w:t>
      </w:r>
    </w:p>
    <w:p w14:paraId="6448F51F" w14:textId="5A2BCED6" w:rsidR="002123B7"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与基金财产有关的重大合同的签署，由基金管理人负责。由基金管理人代表基金签署的、与基金财产有关的重大合同的原件分别由基金管理人、基金托管人保管。除本托管协议另有规定外，基金管理人代表基金签署的与基金财产有关的重大合同包括但不限于基金年度审计合同、基金信息披露协议及基金投资业务中产生的重大合同，基金管理人应保证基金管理人和基金托管人至少各持有一份正本的原件。基金管理人应在重大合同签署后及时以加密方式将重大合同传真给基金托管人，并在三十个工作日内将正本送达基金托管人处。重大合同的保管期限</w:t>
      </w:r>
      <w:r w:rsidR="00230466">
        <w:rPr>
          <w:rFonts w:ascii="Times New Roman" w:hAnsi="Times New Roman" w:hint="eastAsia"/>
          <w:spacing w:val="-4"/>
          <w:sz w:val="24"/>
          <w:szCs w:val="24"/>
        </w:rPr>
        <w:t>按照法律法规的规定执行</w:t>
      </w:r>
      <w:r w:rsidRPr="000A56DF">
        <w:rPr>
          <w:rFonts w:ascii="Times New Roman" w:hAnsi="Times New Roman" w:hint="eastAsia"/>
          <w:spacing w:val="-4"/>
          <w:sz w:val="24"/>
          <w:szCs w:val="24"/>
        </w:rPr>
        <w:t>。</w:t>
      </w:r>
    </w:p>
    <w:p w14:paraId="5DF08365"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13" w:name="_Toc516502491"/>
      <w:r>
        <w:rPr>
          <w:rFonts w:ascii="Times New Roman" w:eastAsia="宋体" w:hAnsi="Times New Roman" w:cs="Times New Roman"/>
          <w:bCs w:val="0"/>
          <w:color w:val="000000" w:themeColor="text1"/>
          <w:kern w:val="2"/>
          <w:lang w:val="en-US" w:bidi="ar-SA"/>
        </w:rPr>
        <w:t>六、指令的发送、确认及执行</w:t>
      </w:r>
      <w:bookmarkEnd w:id="13"/>
    </w:p>
    <w:p w14:paraId="6EEDB16D"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基金管理人在运用基金财产开展场内证券交易时，应通过基金托管资金账户与证券资金账户已建立的第三方存管系统实现基金托管资金账户与证券资金账户之间的资金划转，</w:t>
      </w:r>
      <w:proofErr w:type="gramStart"/>
      <w:r w:rsidRPr="000A56DF">
        <w:rPr>
          <w:rFonts w:ascii="Times New Roman" w:hAnsi="Times New Roman" w:hint="eastAsia"/>
          <w:spacing w:val="-4"/>
          <w:sz w:val="24"/>
          <w:szCs w:val="24"/>
        </w:rPr>
        <w:t>即银证互</w:t>
      </w:r>
      <w:proofErr w:type="gramEnd"/>
      <w:r w:rsidRPr="000A56DF">
        <w:rPr>
          <w:rFonts w:ascii="Times New Roman" w:hAnsi="Times New Roman" w:hint="eastAsia"/>
          <w:spacing w:val="-4"/>
          <w:sz w:val="24"/>
          <w:szCs w:val="24"/>
        </w:rPr>
        <w:t>转。</w:t>
      </w:r>
    </w:p>
    <w:p w14:paraId="2FBC867A"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基金管理人在运用基金财产开展场外交易时，应向基金托管人发送场外交易资</w:t>
      </w:r>
      <w:r w:rsidRPr="000A56DF">
        <w:rPr>
          <w:rFonts w:ascii="Times New Roman" w:hAnsi="Times New Roman" w:hint="eastAsia"/>
          <w:spacing w:val="-4"/>
          <w:sz w:val="24"/>
          <w:szCs w:val="24"/>
        </w:rPr>
        <w:lastRenderedPageBreak/>
        <w:t>金划拨及其他款项付款指令，基金托管人执行基金管理人的指令、办理基金名下的资金往来等有关事项。</w:t>
      </w:r>
    </w:p>
    <w:p w14:paraId="6E7FD51A"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基金管理人发送的指令包括电子指令、纸质指令或双方认可的其他形式。</w:t>
      </w:r>
    </w:p>
    <w:p w14:paraId="391F3E08"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（一）基金管理人对发送指令人员的书面授权</w:t>
      </w:r>
    </w:p>
    <w:p w14:paraId="4E24E493" w14:textId="157CCD65" w:rsidR="00230466" w:rsidRPr="00230466" w:rsidRDefault="00230466" w:rsidP="00230466">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本协议</w:t>
      </w:r>
      <w:r w:rsidRPr="00230466">
        <w:rPr>
          <w:rFonts w:ascii="Times New Roman" w:hAnsi="Times New Roman" w:hint="eastAsia"/>
          <w:spacing w:val="-4"/>
          <w:sz w:val="24"/>
          <w:szCs w:val="24"/>
        </w:rPr>
        <w:t>签署生效后，管理人应向托管人提供授权代表签字与印鉴样本通知书（以下简称“授权文件”），内容包括被授权人名单、预留印鉴及被授权人签字样本，授权文件应注明被授权人相应的权限，授权文件应加盖单位公章。</w:t>
      </w:r>
    </w:p>
    <w:p w14:paraId="7861C233" w14:textId="77777777" w:rsidR="00230466" w:rsidRPr="00230466" w:rsidRDefault="00230466" w:rsidP="00230466">
      <w:pPr>
        <w:spacing w:line="360" w:lineRule="auto"/>
        <w:ind w:firstLineChars="200" w:firstLine="472"/>
        <w:jc w:val="both"/>
        <w:rPr>
          <w:rFonts w:ascii="Times New Roman" w:hAnsi="Times New Roman"/>
          <w:spacing w:val="-4"/>
          <w:sz w:val="24"/>
          <w:szCs w:val="24"/>
        </w:rPr>
      </w:pPr>
      <w:r w:rsidRPr="00230466">
        <w:rPr>
          <w:rFonts w:ascii="Times New Roman" w:hAnsi="Times New Roman" w:hint="eastAsia"/>
          <w:spacing w:val="-4"/>
          <w:sz w:val="24"/>
          <w:szCs w:val="24"/>
        </w:rPr>
        <w:t>管理人应将“授权文件”原件在生效前寄送托管人，托管人在收到授权文件原件并经管理人确认后，授权文件即生效。如果授权文件中载明具体生效时间的，该生效时间不得早于托管人收到授权文件并经确认的时点。如早于，则以托管人收到授权文件并经确认的时点为授权文件的生效时间。</w:t>
      </w:r>
    </w:p>
    <w:p w14:paraId="596426D2" w14:textId="77777777" w:rsidR="00230466" w:rsidRPr="00230466" w:rsidRDefault="00230466" w:rsidP="00230466">
      <w:pPr>
        <w:spacing w:line="360" w:lineRule="auto"/>
        <w:ind w:firstLineChars="200" w:firstLine="472"/>
        <w:jc w:val="both"/>
        <w:rPr>
          <w:rFonts w:ascii="Times New Roman" w:hAnsi="Times New Roman"/>
          <w:spacing w:val="-4"/>
          <w:sz w:val="24"/>
          <w:szCs w:val="24"/>
        </w:rPr>
      </w:pPr>
      <w:r w:rsidRPr="00230466">
        <w:rPr>
          <w:rFonts w:ascii="Times New Roman" w:hAnsi="Times New Roman" w:hint="eastAsia"/>
          <w:spacing w:val="-4"/>
          <w:sz w:val="24"/>
          <w:szCs w:val="24"/>
        </w:rPr>
        <w:t>特殊情况下，经托管人同意，管理人可至少提前一个工作日将授权文件以邮件发送扫描件的方式先行通知托管人并确认生效</w:t>
      </w:r>
      <w:r w:rsidRPr="00230466">
        <w:rPr>
          <w:rFonts w:ascii="Times New Roman" w:hAnsi="Times New Roman"/>
          <w:spacing w:val="-4"/>
          <w:sz w:val="24"/>
          <w:szCs w:val="24"/>
        </w:rPr>
        <w:t xml:space="preserve"> </w:t>
      </w:r>
      <w:r w:rsidRPr="00230466">
        <w:rPr>
          <w:rFonts w:ascii="Times New Roman" w:hAnsi="Times New Roman"/>
          <w:spacing w:val="-4"/>
          <w:sz w:val="24"/>
          <w:szCs w:val="24"/>
        </w:rPr>
        <w:t>。授权文件原件应在邮件发送后</w:t>
      </w:r>
      <w:r w:rsidRPr="00230466">
        <w:rPr>
          <w:rFonts w:ascii="Times New Roman" w:hAnsi="Times New Roman"/>
          <w:spacing w:val="-4"/>
          <w:sz w:val="24"/>
          <w:szCs w:val="24"/>
        </w:rPr>
        <w:t>7</w:t>
      </w:r>
      <w:r w:rsidRPr="00230466">
        <w:rPr>
          <w:rFonts w:ascii="Times New Roman" w:hAnsi="Times New Roman"/>
          <w:spacing w:val="-4"/>
          <w:sz w:val="24"/>
          <w:szCs w:val="24"/>
        </w:rPr>
        <w:t>个工作日内送达托管人。授权文件生效之后，原件送达之前，托管人按照新授权文件扫描</w:t>
      </w:r>
      <w:proofErr w:type="gramStart"/>
      <w:r w:rsidRPr="00230466">
        <w:rPr>
          <w:rFonts w:ascii="Times New Roman" w:hAnsi="Times New Roman"/>
          <w:spacing w:val="-4"/>
          <w:sz w:val="24"/>
          <w:szCs w:val="24"/>
        </w:rPr>
        <w:t>件内容</w:t>
      </w:r>
      <w:proofErr w:type="gramEnd"/>
      <w:r w:rsidRPr="00230466">
        <w:rPr>
          <w:rFonts w:ascii="Times New Roman" w:hAnsi="Times New Roman"/>
          <w:spacing w:val="-4"/>
          <w:sz w:val="24"/>
          <w:szCs w:val="24"/>
        </w:rPr>
        <w:t>执行有关业务，如果授权文件原件与托管人收到的扫描件不同，由此产生的责任由管理人承担。</w:t>
      </w:r>
    </w:p>
    <w:p w14:paraId="72322FB6" w14:textId="77777777" w:rsidR="00230466" w:rsidRPr="00230466" w:rsidRDefault="00230466" w:rsidP="00230466">
      <w:pPr>
        <w:spacing w:line="360" w:lineRule="auto"/>
        <w:ind w:firstLineChars="200" w:firstLine="472"/>
        <w:jc w:val="both"/>
        <w:rPr>
          <w:rFonts w:ascii="Times New Roman" w:hAnsi="Times New Roman"/>
          <w:spacing w:val="-4"/>
          <w:sz w:val="24"/>
          <w:szCs w:val="24"/>
        </w:rPr>
      </w:pPr>
      <w:r w:rsidRPr="00230466">
        <w:rPr>
          <w:rFonts w:ascii="Times New Roman" w:hAnsi="Times New Roman" w:hint="eastAsia"/>
          <w:spacing w:val="-4"/>
          <w:sz w:val="24"/>
          <w:szCs w:val="24"/>
        </w:rPr>
        <w:t>管理人更换被授权人、更改或终止对被授权人的授权、变更预留印鉴应按上述要求提供新的授权文件。在授权变更生效前，托管人仍应按原授权文件执行指令，管理人不得否认其效力。</w:t>
      </w:r>
    </w:p>
    <w:p w14:paraId="15CEC688" w14:textId="1F0720E1" w:rsidR="000A56DF" w:rsidRPr="000A56DF" w:rsidRDefault="00230466" w:rsidP="000A56DF">
      <w:pPr>
        <w:spacing w:line="360" w:lineRule="auto"/>
        <w:ind w:firstLineChars="200" w:firstLine="472"/>
        <w:jc w:val="both"/>
        <w:rPr>
          <w:rFonts w:ascii="Times New Roman" w:hAnsi="Times New Roman"/>
          <w:spacing w:val="-4"/>
          <w:sz w:val="24"/>
          <w:szCs w:val="24"/>
        </w:rPr>
      </w:pPr>
      <w:r w:rsidRPr="00230466">
        <w:rPr>
          <w:rFonts w:ascii="Times New Roman" w:hAnsi="Times New Roman" w:hint="eastAsia"/>
          <w:spacing w:val="-4"/>
          <w:sz w:val="24"/>
          <w:szCs w:val="24"/>
        </w:rPr>
        <w:t>托管人更换接受管理人指令的传真号或邮箱地址，应提前通知管理人。</w:t>
      </w:r>
      <w:r w:rsidR="000A56DF" w:rsidRPr="000A56DF">
        <w:rPr>
          <w:rFonts w:ascii="Times New Roman" w:hAnsi="Times New Roman"/>
          <w:spacing w:val="-4"/>
          <w:sz w:val="24"/>
          <w:szCs w:val="24"/>
        </w:rPr>
        <w:t>基金管理人和基金托管人对授权文件负有保密义务，其内容不得向被授权人及相关操作人员以外的任何人泄露。但法律法规规定或有权机关要求的除外。</w:t>
      </w:r>
    </w:p>
    <w:p w14:paraId="38A30A3A"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（二）指令的内容</w:t>
      </w:r>
    </w:p>
    <w:p w14:paraId="61CC1D19"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1</w:t>
      </w:r>
      <w:r w:rsidRPr="000A56DF">
        <w:rPr>
          <w:rFonts w:ascii="Times New Roman" w:hAnsi="Times New Roman"/>
          <w:spacing w:val="-4"/>
          <w:sz w:val="24"/>
          <w:szCs w:val="24"/>
        </w:rPr>
        <w:t>、指令包括付款指令以及其他资金划拨指令等。</w:t>
      </w:r>
    </w:p>
    <w:p w14:paraId="6E85339A"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2</w:t>
      </w:r>
      <w:r w:rsidRPr="000A56DF">
        <w:rPr>
          <w:rFonts w:ascii="Times New Roman" w:hAnsi="Times New Roman"/>
          <w:spacing w:val="-4"/>
          <w:sz w:val="24"/>
          <w:szCs w:val="24"/>
        </w:rPr>
        <w:t>、基金管理人发给基金托管人的指令应写明款项事由、支付时间、到账时间、金额、收付款账户等，加盖预留印鉴并由被授权人签字。</w:t>
      </w:r>
    </w:p>
    <w:p w14:paraId="07198DE4"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（三）指令的发送、确认及执行的时间和程序</w:t>
      </w:r>
    </w:p>
    <w:p w14:paraId="7A650984"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1</w:t>
      </w:r>
      <w:r w:rsidRPr="000A56DF">
        <w:rPr>
          <w:rFonts w:ascii="Times New Roman" w:hAnsi="Times New Roman"/>
          <w:spacing w:val="-4"/>
          <w:sz w:val="24"/>
          <w:szCs w:val="24"/>
        </w:rPr>
        <w:t>、指令的发送</w:t>
      </w:r>
    </w:p>
    <w:p w14:paraId="112AF4CF"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基金管理人发送指令应采用传真方式或双方协商一致的其他方式。</w:t>
      </w:r>
    </w:p>
    <w:p w14:paraId="37FE5362"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基金管理人应按照法律法规和《基金合同》的规定，在其合法的经营权限和交</w:t>
      </w:r>
      <w:r w:rsidRPr="000A56DF">
        <w:rPr>
          <w:rFonts w:ascii="Times New Roman" w:hAnsi="Times New Roman" w:hint="eastAsia"/>
          <w:spacing w:val="-4"/>
          <w:sz w:val="24"/>
          <w:szCs w:val="24"/>
        </w:rPr>
        <w:lastRenderedPageBreak/>
        <w:t>易权限内发送指令；被授权人应严格按照其授权权限发送指令。对于被授权人依约定程序发出的指令，基金管理人不得否认其效力。但如果基金管理人已经撤销或更改对被授权人员的授权，并且基金托管人根据本协议确认后，则对于此后该交易指令发送人员无权发送的指令，或超权限发送的指令，基金管理人不承担责任，授权已更改但未经基金托管人确认的情况除外。</w:t>
      </w:r>
    </w:p>
    <w:p w14:paraId="32D1BA8F"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指令发出后，基金管理人应及时以电话方式向基金托管人确认。</w:t>
      </w:r>
    </w:p>
    <w:p w14:paraId="32EEBF44"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管理人应在银行间交易成交后，及时将通知单、相关文件及划款指令加盖印章后发至基金托管人并电话确认，由基金托管人完成后台交易匹配及资金交收事宜。如果银行间结算系统已经生成的交易需要取消或终止，基金管理人要书面通知基金托管人。</w:t>
      </w:r>
    </w:p>
    <w:p w14:paraId="0C2C59D7"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2</w:t>
      </w:r>
      <w:r w:rsidRPr="000A56DF">
        <w:rPr>
          <w:rFonts w:ascii="Times New Roman" w:hAnsi="Times New Roman"/>
          <w:spacing w:val="-4"/>
          <w:sz w:val="24"/>
          <w:szCs w:val="24"/>
        </w:rPr>
        <w:t>、指令的确认</w:t>
      </w:r>
    </w:p>
    <w:p w14:paraId="1C7F412F"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字和印鉴与授权通知进行表面真实性及权限范围核对，复核无误后应在规定期限内执行，不得延误。如有疑问必须及时通知基金管理人。</w:t>
      </w:r>
    </w:p>
    <w:p w14:paraId="58F464C4"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spacing w:val="-4"/>
          <w:sz w:val="24"/>
          <w:szCs w:val="24"/>
        </w:rPr>
        <w:t>3</w:t>
      </w:r>
      <w:r w:rsidRPr="000A56DF">
        <w:rPr>
          <w:rFonts w:ascii="Times New Roman" w:hAnsi="Times New Roman"/>
          <w:spacing w:val="-4"/>
          <w:sz w:val="24"/>
          <w:szCs w:val="24"/>
        </w:rPr>
        <w:t>、指令的时间和执行</w:t>
      </w:r>
    </w:p>
    <w:p w14:paraId="32CA91FD"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基金管理人尽量于划款前</w:t>
      </w:r>
      <w:r w:rsidRPr="000A56DF">
        <w:rPr>
          <w:rFonts w:ascii="Times New Roman" w:hAnsi="Times New Roman"/>
          <w:spacing w:val="-4"/>
          <w:sz w:val="24"/>
          <w:szCs w:val="24"/>
        </w:rPr>
        <w:t>1</w:t>
      </w:r>
      <w:r w:rsidRPr="000A56DF">
        <w:rPr>
          <w:rFonts w:ascii="Times New Roman" w:hAnsi="Times New Roman"/>
          <w:spacing w:val="-4"/>
          <w:sz w:val="24"/>
          <w:szCs w:val="24"/>
        </w:rPr>
        <w:t>个工作日向基金托管人发送指令并确认。对于要求当天到账的指令，必须在当天</w:t>
      </w:r>
      <w:r w:rsidRPr="000A56DF">
        <w:rPr>
          <w:rFonts w:ascii="Times New Roman" w:hAnsi="Times New Roman"/>
          <w:spacing w:val="-4"/>
          <w:sz w:val="24"/>
          <w:szCs w:val="24"/>
        </w:rPr>
        <w:t>15:30</w:t>
      </w:r>
      <w:r w:rsidRPr="000A56DF">
        <w:rPr>
          <w:rFonts w:ascii="Times New Roman" w:hAnsi="Times New Roman"/>
          <w:spacing w:val="-4"/>
          <w:sz w:val="24"/>
          <w:szCs w:val="24"/>
        </w:rPr>
        <w:t>前向基金托管人发送，</w:t>
      </w:r>
      <w:r w:rsidRPr="000A56DF">
        <w:rPr>
          <w:rFonts w:ascii="Times New Roman" w:hAnsi="Times New Roman"/>
          <w:spacing w:val="-4"/>
          <w:sz w:val="24"/>
          <w:szCs w:val="24"/>
        </w:rPr>
        <w:t>15:30</w:t>
      </w:r>
      <w:r w:rsidRPr="000A56DF">
        <w:rPr>
          <w:rFonts w:ascii="Times New Roman" w:hAnsi="Times New Roman"/>
          <w:spacing w:val="-4"/>
          <w:sz w:val="24"/>
          <w:szCs w:val="24"/>
        </w:rPr>
        <w:t>之后发送的，基金托管人尽力执行，但不能保证划账成功。如果要求当天某一时点到账的指令，则指令需要提前</w:t>
      </w:r>
      <w:r w:rsidRPr="000A56DF">
        <w:rPr>
          <w:rFonts w:ascii="Times New Roman" w:hAnsi="Times New Roman"/>
          <w:spacing w:val="-4"/>
          <w:sz w:val="24"/>
          <w:szCs w:val="24"/>
        </w:rPr>
        <w:t>2</w:t>
      </w:r>
      <w:r w:rsidRPr="000A56DF">
        <w:rPr>
          <w:rFonts w:ascii="Times New Roman" w:hAnsi="Times New Roman"/>
          <w:spacing w:val="-4"/>
          <w:sz w:val="24"/>
          <w:szCs w:val="24"/>
        </w:rPr>
        <w:t>个工作小时发送，</w:t>
      </w:r>
      <w:proofErr w:type="gramStart"/>
      <w:r w:rsidRPr="000A56DF">
        <w:rPr>
          <w:rFonts w:ascii="Times New Roman" w:hAnsi="Times New Roman"/>
          <w:spacing w:val="-4"/>
          <w:sz w:val="24"/>
          <w:szCs w:val="24"/>
        </w:rPr>
        <w:t>并相关</w:t>
      </w:r>
      <w:proofErr w:type="gramEnd"/>
      <w:r w:rsidRPr="000A56DF">
        <w:rPr>
          <w:rFonts w:ascii="Times New Roman" w:hAnsi="Times New Roman"/>
          <w:spacing w:val="-4"/>
          <w:sz w:val="24"/>
          <w:szCs w:val="24"/>
        </w:rPr>
        <w:t>付款条件已经具备。基金托管人将视付款条件具备时为指令送达时间。对新股申购网下发行业务，基金管理人应在网下申购缴款日</w:t>
      </w:r>
      <w:r w:rsidRPr="000A56DF">
        <w:rPr>
          <w:rFonts w:ascii="Times New Roman" w:hAnsi="Times New Roman"/>
          <w:spacing w:val="-4"/>
          <w:sz w:val="24"/>
          <w:szCs w:val="24"/>
        </w:rPr>
        <w:t>(T</w:t>
      </w:r>
      <w:r w:rsidRPr="000A56DF">
        <w:rPr>
          <w:rFonts w:ascii="Times New Roman" w:hAnsi="Times New Roman"/>
          <w:spacing w:val="-4"/>
          <w:sz w:val="24"/>
          <w:szCs w:val="24"/>
        </w:rPr>
        <w:t>日</w:t>
      </w:r>
      <w:r w:rsidRPr="000A56DF">
        <w:rPr>
          <w:rFonts w:ascii="Times New Roman" w:hAnsi="Times New Roman"/>
          <w:spacing w:val="-4"/>
          <w:sz w:val="24"/>
          <w:szCs w:val="24"/>
        </w:rPr>
        <w:t>)</w:t>
      </w:r>
      <w:r w:rsidRPr="000A56DF">
        <w:rPr>
          <w:rFonts w:ascii="Times New Roman" w:hAnsi="Times New Roman"/>
          <w:spacing w:val="-4"/>
          <w:sz w:val="24"/>
          <w:szCs w:val="24"/>
        </w:rPr>
        <w:t>的前一工作日下班前将指令发送给基金托管人，指令发送时间最迟不应晚于</w:t>
      </w:r>
      <w:r w:rsidRPr="000A56DF">
        <w:rPr>
          <w:rFonts w:ascii="Times New Roman" w:hAnsi="Times New Roman"/>
          <w:spacing w:val="-4"/>
          <w:sz w:val="24"/>
          <w:szCs w:val="24"/>
        </w:rPr>
        <w:t>T</w:t>
      </w:r>
      <w:r w:rsidRPr="000A56DF">
        <w:rPr>
          <w:rFonts w:ascii="Times New Roman" w:hAnsi="Times New Roman"/>
          <w:spacing w:val="-4"/>
          <w:sz w:val="24"/>
          <w:szCs w:val="24"/>
        </w:rPr>
        <w:t>日上午</w:t>
      </w:r>
      <w:r w:rsidRPr="000A56DF">
        <w:rPr>
          <w:rFonts w:ascii="Times New Roman" w:hAnsi="Times New Roman"/>
          <w:spacing w:val="-4"/>
          <w:sz w:val="24"/>
          <w:szCs w:val="24"/>
        </w:rPr>
        <w:t>10:00</w:t>
      </w:r>
      <w:r w:rsidRPr="000A56DF">
        <w:rPr>
          <w:rFonts w:ascii="Times New Roman" w:hAnsi="Times New Roman"/>
          <w:spacing w:val="-4"/>
          <w:sz w:val="24"/>
          <w:szCs w:val="24"/>
        </w:rPr>
        <w:t>。基金管理人应确保基金托管人在执行指令时，基金托管</w:t>
      </w:r>
      <w:r w:rsidRPr="000A56DF">
        <w:rPr>
          <w:rFonts w:ascii="Times New Roman" w:hAnsi="Times New Roman" w:hint="eastAsia"/>
          <w:spacing w:val="-4"/>
          <w:sz w:val="24"/>
          <w:szCs w:val="24"/>
        </w:rPr>
        <w:t>资金账户有足够的资金余额，在基金资金头寸充足的情况下，基金托管人对基金管理人符合法律法规、《基金合同》、本协议的指令不得拖延或拒绝执行。</w:t>
      </w:r>
    </w:p>
    <w:p w14:paraId="204F6822"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（四）基金管理人发送错误指令的情形和处理程序</w:t>
      </w:r>
    </w:p>
    <w:p w14:paraId="215AB64C"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基金管理人发送错误指令的情形包括指令违反法律法规、监管规定、《基金合同》或本协议约定，或指令发送人员无权或超越权限发送指令。</w:t>
      </w:r>
    </w:p>
    <w:p w14:paraId="30104233"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基金托管人发现基金管理人的指令错误时，有权拒绝执行，并及时通知基金管</w:t>
      </w:r>
      <w:r w:rsidRPr="000A56DF">
        <w:rPr>
          <w:rFonts w:ascii="Times New Roman" w:hAnsi="Times New Roman" w:hint="eastAsia"/>
          <w:spacing w:val="-4"/>
          <w:sz w:val="24"/>
          <w:szCs w:val="24"/>
        </w:rPr>
        <w:lastRenderedPageBreak/>
        <w:t>理人改正。如</w:t>
      </w:r>
      <w:proofErr w:type="gramStart"/>
      <w:r w:rsidRPr="000A56DF">
        <w:rPr>
          <w:rFonts w:ascii="Times New Roman" w:hAnsi="Times New Roman" w:hint="eastAsia"/>
          <w:spacing w:val="-4"/>
          <w:sz w:val="24"/>
          <w:szCs w:val="24"/>
        </w:rPr>
        <w:t>需基金</w:t>
      </w:r>
      <w:proofErr w:type="gramEnd"/>
      <w:r w:rsidRPr="000A56DF">
        <w:rPr>
          <w:rFonts w:ascii="Times New Roman" w:hAnsi="Times New Roman" w:hint="eastAsia"/>
          <w:spacing w:val="-4"/>
          <w:sz w:val="24"/>
          <w:szCs w:val="24"/>
        </w:rPr>
        <w:t>托管人撤销尚未执行的指令，基金管理人应出具作废指令或作废说明，并电话通知基金托管人。</w:t>
      </w:r>
    </w:p>
    <w:p w14:paraId="7AC86807"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（五）基金托管人未按照基金管理人指令执行的处理方法</w:t>
      </w:r>
    </w:p>
    <w:p w14:paraId="754BDC03"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基金托管人由于自身过错，未按照基金管理人发送的符合法律法规、监管规定和《基金合同》或本协议约定的指令执行并对基金财产造成的直接损失，由基金托管人赔偿由此造成的直接损失。</w:t>
      </w:r>
    </w:p>
    <w:p w14:paraId="6C37DEF1" w14:textId="742224D5" w:rsidR="000A56DF" w:rsidRPr="000A56DF" w:rsidRDefault="000A56DF" w:rsidP="00230466">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（六）其他事项</w:t>
      </w:r>
    </w:p>
    <w:p w14:paraId="3670BC30"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托管人在接收指令时，应对指令的要素是否齐全、印鉴与被授权人是否与预留的授权文件内容表面相符进行检查，如发现问题，应及时报告基金管理人，基金托管人对执行基金管理人的有效指令对基金财产造成的损失不承担赔偿责任。</w:t>
      </w:r>
    </w:p>
    <w:p w14:paraId="1DF04200" w14:textId="77777777" w:rsidR="002123B7"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基金参与认购未上市债券时，基金管理人应代表本基金与对手方签署相关合同或协议，明确约定债券过户具体事宜。否则，基金管理人需对所认购债券的过户事宜承担相应责任。</w:t>
      </w:r>
    </w:p>
    <w:p w14:paraId="2520B532"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14" w:name="_Toc516502492"/>
      <w:r>
        <w:rPr>
          <w:rFonts w:ascii="Times New Roman" w:eastAsia="宋体" w:hAnsi="Times New Roman" w:cs="Times New Roman"/>
          <w:bCs w:val="0"/>
          <w:color w:val="000000" w:themeColor="text1"/>
          <w:kern w:val="2"/>
          <w:lang w:val="en-US" w:bidi="ar-SA"/>
        </w:rPr>
        <w:t>七、交易及清算交收安排</w:t>
      </w:r>
      <w:bookmarkEnd w:id="14"/>
    </w:p>
    <w:p w14:paraId="72D405AB" w14:textId="77777777" w:rsidR="000A56DF" w:rsidRPr="00612B9E" w:rsidRDefault="000A56DF" w:rsidP="000A56DF">
      <w:pPr>
        <w:spacing w:line="360" w:lineRule="auto"/>
        <w:ind w:firstLineChars="200" w:firstLine="480"/>
        <w:rPr>
          <w:sz w:val="24"/>
        </w:rPr>
      </w:pPr>
      <w:r w:rsidRPr="00612B9E">
        <w:rPr>
          <w:rFonts w:hint="eastAsia"/>
          <w:sz w:val="24"/>
        </w:rPr>
        <w:t>（一）选择证券</w:t>
      </w:r>
      <w:r>
        <w:rPr>
          <w:rFonts w:hint="eastAsia"/>
          <w:bCs/>
          <w:sz w:val="24"/>
        </w:rPr>
        <w:t>、期货</w:t>
      </w:r>
      <w:r w:rsidRPr="00612B9E">
        <w:rPr>
          <w:rFonts w:hint="eastAsia"/>
          <w:sz w:val="24"/>
        </w:rPr>
        <w:t>买卖的证券</w:t>
      </w:r>
      <w:r>
        <w:rPr>
          <w:rFonts w:hint="eastAsia"/>
          <w:bCs/>
          <w:sz w:val="24"/>
        </w:rPr>
        <w:t>、期货</w:t>
      </w:r>
      <w:r w:rsidRPr="00612B9E">
        <w:rPr>
          <w:rFonts w:hint="eastAsia"/>
          <w:sz w:val="24"/>
        </w:rPr>
        <w:t>经营机构</w:t>
      </w:r>
    </w:p>
    <w:p w14:paraId="4AEA6E67" w14:textId="77777777" w:rsidR="000A56DF" w:rsidRPr="00612B9E" w:rsidRDefault="000A56DF" w:rsidP="000A56DF">
      <w:pPr>
        <w:spacing w:line="360" w:lineRule="auto"/>
        <w:ind w:firstLineChars="200" w:firstLine="480"/>
        <w:rPr>
          <w:sz w:val="24"/>
        </w:rPr>
      </w:pPr>
      <w:r w:rsidRPr="00612B9E">
        <w:rPr>
          <w:rFonts w:hint="eastAsia"/>
          <w:sz w:val="24"/>
        </w:rPr>
        <w:t>基金管理人应设计选择证券买卖的证券经营机构的标准和程序。基金管理人应代表基金与被选择的证券经纪机构签订证券经纪合同或其他约定的形式。基金管理人、基金托管人和证券经纪机构就本基金参与证券交易的具体事项另行签订证券经纪服务协议，明确三方在本基金参与场内证券买卖中的各类证券交易、证券交收及相关资金交</w:t>
      </w:r>
      <w:proofErr w:type="gramStart"/>
      <w:r w:rsidRPr="00612B9E">
        <w:rPr>
          <w:rFonts w:hint="eastAsia"/>
          <w:sz w:val="24"/>
        </w:rPr>
        <w:t>收过程</w:t>
      </w:r>
      <w:proofErr w:type="gramEnd"/>
      <w:r w:rsidRPr="00612B9E">
        <w:rPr>
          <w:rFonts w:hint="eastAsia"/>
          <w:sz w:val="24"/>
        </w:rPr>
        <w:t>中的职责和义务。基金管理人应及时将基金佣金费率等基本信息以及变更情况以书面形式通知基金托管人</w:t>
      </w:r>
      <w:r w:rsidRPr="00612B9E">
        <w:rPr>
          <w:sz w:val="24"/>
        </w:rPr>
        <w:t>,</w:t>
      </w:r>
      <w:r w:rsidRPr="00612B9E">
        <w:rPr>
          <w:rFonts w:hint="eastAsia"/>
          <w:sz w:val="24"/>
        </w:rPr>
        <w:t>并在法定信息披露公告中披露关于选择证券公司的标准和程序等信息。</w:t>
      </w:r>
    </w:p>
    <w:p w14:paraId="1E9A33DF" w14:textId="77777777" w:rsidR="000A56DF" w:rsidRPr="00612B9E" w:rsidRDefault="000A56DF" w:rsidP="000A56DF">
      <w:pPr>
        <w:spacing w:line="360" w:lineRule="auto"/>
        <w:ind w:firstLineChars="200" w:firstLine="480"/>
        <w:rPr>
          <w:sz w:val="24"/>
        </w:rPr>
      </w:pPr>
      <w:r>
        <w:rPr>
          <w:rFonts w:hint="eastAsia"/>
          <w:bCs/>
          <w:sz w:val="24"/>
        </w:rPr>
        <w:t>基金管理人负责选择代理本基金股指期货交易的期货经纪机构，并与其签订期货经纪合同，其他事宜根据法律法规、基金合同的相关规定执行，若无明确规定的，可参照有关证券买卖、证券经纪机构选择的规则执行</w:t>
      </w:r>
      <w:r w:rsidRPr="00612B9E">
        <w:rPr>
          <w:rFonts w:hint="eastAsia"/>
          <w:sz w:val="24"/>
        </w:rPr>
        <w:t>本基金在开始进行期货投资之前，应与基金托管人、期货公司三方</w:t>
      </w:r>
      <w:proofErr w:type="gramStart"/>
      <w:r w:rsidRPr="00612B9E">
        <w:rPr>
          <w:rFonts w:hint="eastAsia"/>
          <w:sz w:val="24"/>
        </w:rPr>
        <w:t>一同就</w:t>
      </w:r>
      <w:proofErr w:type="gramEnd"/>
      <w:r w:rsidRPr="00612B9E">
        <w:rPr>
          <w:rFonts w:hint="eastAsia"/>
          <w:sz w:val="24"/>
        </w:rPr>
        <w:t>期货开户、清算、估值、交收等事宜另行签署《期货投资托管操作三方备忘录》。</w:t>
      </w:r>
    </w:p>
    <w:p w14:paraId="1CC4AC4F" w14:textId="77777777" w:rsidR="000A56DF" w:rsidRPr="00612B9E" w:rsidRDefault="000A56DF" w:rsidP="000A56DF">
      <w:pPr>
        <w:spacing w:line="360" w:lineRule="auto"/>
        <w:ind w:firstLineChars="200" w:firstLine="480"/>
        <w:rPr>
          <w:sz w:val="24"/>
        </w:rPr>
      </w:pPr>
      <w:r w:rsidRPr="00612B9E">
        <w:rPr>
          <w:rFonts w:hint="eastAsia"/>
          <w:sz w:val="24"/>
        </w:rPr>
        <w:t>（二）基金投资证券后的清算交收安排</w:t>
      </w:r>
    </w:p>
    <w:p w14:paraId="40131250" w14:textId="77777777" w:rsidR="000A56DF" w:rsidRPr="00037E6D" w:rsidRDefault="000A56DF" w:rsidP="000A56DF">
      <w:pPr>
        <w:spacing w:line="360" w:lineRule="auto"/>
        <w:ind w:firstLineChars="200" w:firstLine="480"/>
        <w:rPr>
          <w:sz w:val="24"/>
        </w:rPr>
      </w:pPr>
      <w:r w:rsidRPr="00612B9E">
        <w:rPr>
          <w:sz w:val="24"/>
        </w:rPr>
        <w:t>1</w:t>
      </w:r>
      <w:r>
        <w:rPr>
          <w:sz w:val="24"/>
        </w:rPr>
        <w:t>、</w:t>
      </w:r>
      <w:r w:rsidRPr="00037E6D">
        <w:rPr>
          <w:rFonts w:hint="eastAsia"/>
          <w:sz w:val="24"/>
        </w:rPr>
        <w:t>清算与交割</w:t>
      </w:r>
    </w:p>
    <w:p w14:paraId="36B26912" w14:textId="77777777" w:rsidR="000A56DF" w:rsidRPr="00037E6D" w:rsidRDefault="000A56DF" w:rsidP="000A56DF">
      <w:pPr>
        <w:spacing w:line="360" w:lineRule="auto"/>
        <w:ind w:firstLineChars="200" w:firstLine="480"/>
        <w:rPr>
          <w:sz w:val="24"/>
        </w:rPr>
      </w:pPr>
      <w:r w:rsidRPr="00037E6D">
        <w:rPr>
          <w:rFonts w:hint="eastAsia"/>
          <w:sz w:val="24"/>
        </w:rPr>
        <w:lastRenderedPageBreak/>
        <w:t>基金通过证券经纪机构进行的交易由证券经纪机构作为结算参与人代理本基金进行结算，本基金通过期货经纪机构进行的交易由期货经纪机构作为结算参与人代理本基金进行结算。本基金其它证券交易由基金托管人或相关机构负责结算，场外资金汇划由基金托管人根据基金管理人的场外交易划款指令具体办理。</w:t>
      </w:r>
    </w:p>
    <w:p w14:paraId="7575A17E" w14:textId="77777777" w:rsidR="000A56DF" w:rsidRPr="00037E6D" w:rsidRDefault="000A56DF" w:rsidP="000A56DF">
      <w:pPr>
        <w:spacing w:line="360" w:lineRule="auto"/>
        <w:ind w:firstLineChars="200" w:firstLine="480"/>
        <w:rPr>
          <w:sz w:val="24"/>
        </w:rPr>
      </w:pPr>
      <w:r w:rsidRPr="00037E6D">
        <w:rPr>
          <w:rFonts w:hint="eastAsia"/>
          <w:sz w:val="24"/>
        </w:rPr>
        <w:t>证券经纪机构代理本基金财产与中登公司完成证券交易及</w:t>
      </w:r>
      <w:proofErr w:type="gramStart"/>
      <w:r w:rsidRPr="00037E6D">
        <w:rPr>
          <w:rFonts w:hint="eastAsia"/>
          <w:sz w:val="24"/>
        </w:rPr>
        <w:t>非交易</w:t>
      </w:r>
      <w:proofErr w:type="gramEnd"/>
      <w:r w:rsidRPr="00037E6D">
        <w:rPr>
          <w:rFonts w:hint="eastAsia"/>
          <w:sz w:val="24"/>
        </w:rPr>
        <w:t>涉及的证券资金结算业务，并承担由证券经纪机构原因造成的正常结算、交收业务无法完成的责任；若由于基金管理</w:t>
      </w:r>
      <w:proofErr w:type="gramStart"/>
      <w:r w:rsidRPr="00037E6D">
        <w:rPr>
          <w:rFonts w:hint="eastAsia"/>
          <w:sz w:val="24"/>
        </w:rPr>
        <w:t>人原因</w:t>
      </w:r>
      <w:proofErr w:type="gramEnd"/>
      <w:r w:rsidRPr="00037E6D">
        <w:rPr>
          <w:rFonts w:hint="eastAsia"/>
          <w:sz w:val="24"/>
        </w:rPr>
        <w:t>造成的正常结算业务无法完成，责任由基金管理人承担。</w:t>
      </w:r>
    </w:p>
    <w:p w14:paraId="3CC14354" w14:textId="77777777" w:rsidR="000A56DF" w:rsidRPr="00037E6D" w:rsidRDefault="000A56DF" w:rsidP="000A56DF">
      <w:pPr>
        <w:spacing w:line="360" w:lineRule="auto"/>
        <w:ind w:firstLineChars="200" w:firstLine="480"/>
        <w:rPr>
          <w:sz w:val="24"/>
        </w:rPr>
      </w:pPr>
      <w:r w:rsidRPr="00037E6D">
        <w:rPr>
          <w:rFonts w:hint="eastAsia"/>
          <w:sz w:val="24"/>
        </w:rPr>
        <w:t>对于任何原因发生的证券资金交收违约事件，相关各方应当及时协商解决。</w:t>
      </w:r>
      <w:r w:rsidRPr="00037E6D">
        <w:rPr>
          <w:sz w:val="24"/>
        </w:rPr>
        <w:cr/>
      </w:r>
      <w:r w:rsidRPr="00037E6D">
        <w:rPr>
          <w:rFonts w:hint="eastAsia"/>
          <w:sz w:val="24"/>
        </w:rPr>
        <w:t>由于相关方过错在清算上造成基金财产的直接损失，应由过错方承担相应责任。</w:t>
      </w:r>
    </w:p>
    <w:p w14:paraId="5D40BE5D" w14:textId="77777777" w:rsidR="000A56DF" w:rsidRPr="00612B9E" w:rsidRDefault="000A56DF" w:rsidP="000A56DF">
      <w:pPr>
        <w:spacing w:line="360" w:lineRule="auto"/>
        <w:ind w:firstLineChars="200" w:firstLine="480"/>
        <w:rPr>
          <w:sz w:val="24"/>
        </w:rPr>
      </w:pPr>
      <w:r w:rsidRPr="00037E6D">
        <w:rPr>
          <w:sz w:val="24"/>
        </w:rPr>
        <w:t>2</w:t>
      </w:r>
      <w:r>
        <w:rPr>
          <w:sz w:val="24"/>
        </w:rPr>
        <w:t>、</w:t>
      </w:r>
      <w:r w:rsidRPr="00612B9E">
        <w:rPr>
          <w:rFonts w:hint="eastAsia"/>
          <w:sz w:val="24"/>
        </w:rPr>
        <w:t>交易记录、资金和证券</w:t>
      </w:r>
      <w:r>
        <w:rPr>
          <w:rFonts w:hint="eastAsia"/>
          <w:sz w:val="24"/>
        </w:rPr>
        <w:t>/期货</w:t>
      </w:r>
      <w:r w:rsidRPr="00612B9E">
        <w:rPr>
          <w:rFonts w:hint="eastAsia"/>
          <w:sz w:val="24"/>
        </w:rPr>
        <w:t>账目核对的时间和方式</w:t>
      </w:r>
    </w:p>
    <w:p w14:paraId="17D3CF41" w14:textId="77777777" w:rsidR="000A56DF" w:rsidRPr="00612B9E" w:rsidRDefault="000A56DF" w:rsidP="000A56DF">
      <w:pPr>
        <w:spacing w:line="360" w:lineRule="auto"/>
        <w:ind w:firstLineChars="200" w:firstLine="480"/>
        <w:rPr>
          <w:sz w:val="24"/>
        </w:rPr>
      </w:pPr>
      <w:r w:rsidRPr="00612B9E">
        <w:rPr>
          <w:rFonts w:hint="eastAsia"/>
          <w:sz w:val="24"/>
        </w:rPr>
        <w:t>（</w:t>
      </w:r>
      <w:r w:rsidRPr="00612B9E">
        <w:rPr>
          <w:sz w:val="24"/>
        </w:rPr>
        <w:t>1</w:t>
      </w:r>
      <w:r w:rsidRPr="00612B9E">
        <w:rPr>
          <w:rFonts w:hint="eastAsia"/>
          <w:sz w:val="24"/>
        </w:rPr>
        <w:t>）交易记录的核对</w:t>
      </w:r>
    </w:p>
    <w:p w14:paraId="33C29F72" w14:textId="77777777" w:rsidR="000A56DF" w:rsidRPr="00612B9E" w:rsidRDefault="000A56DF" w:rsidP="000A56DF">
      <w:pPr>
        <w:spacing w:line="360" w:lineRule="auto"/>
        <w:ind w:firstLineChars="200" w:firstLine="480"/>
        <w:rPr>
          <w:sz w:val="24"/>
        </w:rPr>
      </w:pPr>
      <w:r w:rsidRPr="00612B9E">
        <w:rPr>
          <w:rFonts w:hint="eastAsia"/>
          <w:sz w:val="24"/>
        </w:rPr>
        <w:t>基金管理人按日进行交易记录的核对。</w:t>
      </w:r>
      <w:r>
        <w:rPr>
          <w:rFonts w:hint="eastAsia"/>
          <w:bCs/>
          <w:sz w:val="24"/>
        </w:rPr>
        <w:t>每个工作日</w:t>
      </w:r>
      <w:r w:rsidRPr="00612B9E">
        <w:rPr>
          <w:rFonts w:hint="eastAsia"/>
          <w:sz w:val="24"/>
        </w:rPr>
        <w:t>对外披露净值之前，必须保证当天所有实际交易记录与基金会计账簿上的交易记录完全一致。如果实际交易记录与会计账簿记录不一致，造成基金会计核算不完整或不真实，由此导致的损失由基金管理人承担。</w:t>
      </w:r>
    </w:p>
    <w:p w14:paraId="4C6BA00C" w14:textId="77777777" w:rsidR="000A56DF" w:rsidRPr="00612B9E" w:rsidRDefault="000A56DF" w:rsidP="000A56DF">
      <w:pPr>
        <w:spacing w:line="360" w:lineRule="auto"/>
        <w:ind w:firstLineChars="200" w:firstLine="480"/>
        <w:rPr>
          <w:sz w:val="24"/>
        </w:rPr>
      </w:pPr>
      <w:r w:rsidRPr="00612B9E">
        <w:rPr>
          <w:rFonts w:hint="eastAsia"/>
          <w:sz w:val="24"/>
        </w:rPr>
        <w:t>（</w:t>
      </w:r>
      <w:r w:rsidRPr="00612B9E">
        <w:rPr>
          <w:sz w:val="24"/>
        </w:rPr>
        <w:t>2</w:t>
      </w:r>
      <w:r w:rsidRPr="00612B9E">
        <w:rPr>
          <w:rFonts w:hint="eastAsia"/>
          <w:sz w:val="24"/>
        </w:rPr>
        <w:t>）资金账目的核对</w:t>
      </w:r>
    </w:p>
    <w:p w14:paraId="57E7B8B6" w14:textId="77777777" w:rsidR="000A56DF" w:rsidRPr="00612B9E" w:rsidRDefault="000A56DF" w:rsidP="000A56DF">
      <w:pPr>
        <w:spacing w:line="360" w:lineRule="auto"/>
        <w:ind w:firstLineChars="200" w:firstLine="480"/>
        <w:rPr>
          <w:sz w:val="24"/>
        </w:rPr>
      </w:pPr>
      <w:r w:rsidRPr="00612B9E">
        <w:rPr>
          <w:rFonts w:hint="eastAsia"/>
          <w:sz w:val="24"/>
        </w:rPr>
        <w:t>资</w:t>
      </w:r>
      <w:bookmarkStart w:id="15" w:name="_Hlk188285499"/>
      <w:r w:rsidRPr="00612B9E">
        <w:rPr>
          <w:rFonts w:hint="eastAsia"/>
          <w:sz w:val="24"/>
        </w:rPr>
        <w:t>金账目按日核实</w:t>
      </w:r>
      <w:bookmarkEnd w:id="15"/>
      <w:r w:rsidRPr="00612B9E">
        <w:rPr>
          <w:rFonts w:hint="eastAsia"/>
          <w:sz w:val="24"/>
        </w:rPr>
        <w:t>。</w:t>
      </w:r>
    </w:p>
    <w:p w14:paraId="6FA5FB7A" w14:textId="77777777" w:rsidR="000A56DF" w:rsidRDefault="000A56DF" w:rsidP="000A56DF">
      <w:pPr>
        <w:spacing w:line="360" w:lineRule="auto"/>
        <w:ind w:firstLineChars="200" w:firstLine="480"/>
        <w:rPr>
          <w:sz w:val="24"/>
        </w:rPr>
      </w:pPr>
      <w:r>
        <w:rPr>
          <w:rFonts w:hint="eastAsia"/>
          <w:sz w:val="24"/>
        </w:rPr>
        <w:t>（</w:t>
      </w:r>
      <w:r>
        <w:rPr>
          <w:sz w:val="24"/>
        </w:rPr>
        <w:t>3</w:t>
      </w:r>
      <w:r>
        <w:rPr>
          <w:rFonts w:hint="eastAsia"/>
          <w:sz w:val="24"/>
        </w:rPr>
        <w:t>）证券/期货账目的核对</w:t>
      </w:r>
    </w:p>
    <w:p w14:paraId="4DAD5D99" w14:textId="77777777" w:rsidR="000A56DF" w:rsidRPr="00612B9E" w:rsidRDefault="000A56DF" w:rsidP="000A56DF">
      <w:pPr>
        <w:spacing w:line="360" w:lineRule="auto"/>
        <w:ind w:firstLineChars="200" w:firstLine="480"/>
        <w:rPr>
          <w:sz w:val="24"/>
        </w:rPr>
      </w:pPr>
      <w:r w:rsidRPr="00612B9E">
        <w:rPr>
          <w:rFonts w:hint="eastAsia"/>
          <w:sz w:val="24"/>
        </w:rPr>
        <w:t>基金管理人和基金托管人</w:t>
      </w:r>
      <w:r>
        <w:rPr>
          <w:rFonts w:hint="eastAsia"/>
          <w:sz w:val="24"/>
        </w:rPr>
        <w:t>每交易</w:t>
      </w:r>
      <w:r w:rsidRPr="00612B9E">
        <w:rPr>
          <w:rFonts w:hint="eastAsia"/>
          <w:sz w:val="24"/>
        </w:rPr>
        <w:t>日结束后核对基金证券</w:t>
      </w:r>
      <w:r>
        <w:rPr>
          <w:rFonts w:hint="eastAsia"/>
          <w:sz w:val="24"/>
        </w:rPr>
        <w:t>/期货</w:t>
      </w:r>
      <w:r w:rsidRPr="00612B9E">
        <w:rPr>
          <w:rFonts w:hint="eastAsia"/>
          <w:sz w:val="24"/>
        </w:rPr>
        <w:t>账目，确保双方账目相符。</w:t>
      </w:r>
    </w:p>
    <w:p w14:paraId="0EEC8E2D" w14:textId="77777777" w:rsidR="000A56DF" w:rsidRPr="00612B9E" w:rsidRDefault="000A56DF" w:rsidP="000A56DF">
      <w:pPr>
        <w:spacing w:line="360" w:lineRule="auto"/>
        <w:ind w:firstLineChars="200" w:firstLine="480"/>
        <w:rPr>
          <w:sz w:val="24"/>
        </w:rPr>
      </w:pPr>
      <w:r w:rsidRPr="00612B9E">
        <w:rPr>
          <w:rFonts w:hint="eastAsia"/>
          <w:sz w:val="24"/>
        </w:rPr>
        <w:t>（三）基金申购和赎回业务处理的基本规定</w:t>
      </w:r>
    </w:p>
    <w:p w14:paraId="241714CA" w14:textId="77777777" w:rsidR="000A56DF" w:rsidRPr="00AA57D6" w:rsidRDefault="000A56DF" w:rsidP="000A56DF">
      <w:pPr>
        <w:spacing w:line="360" w:lineRule="auto"/>
        <w:ind w:firstLineChars="200" w:firstLine="480"/>
        <w:rPr>
          <w:sz w:val="24"/>
        </w:rPr>
      </w:pPr>
      <w:r w:rsidRPr="00AA57D6">
        <w:rPr>
          <w:rFonts w:hint="eastAsia"/>
          <w:sz w:val="24"/>
        </w:rPr>
        <w:t>1、本基金申购、赎回业务根据《基金合同》及/或相关信息披露文件确定的时间开始办理，基金管理人应及时通知基金托管</w:t>
      </w:r>
      <w:proofErr w:type="gramStart"/>
      <w:r w:rsidRPr="00AA57D6">
        <w:rPr>
          <w:rFonts w:hint="eastAsia"/>
          <w:sz w:val="24"/>
        </w:rPr>
        <w:t>人上述</w:t>
      </w:r>
      <w:proofErr w:type="gramEnd"/>
      <w:r w:rsidRPr="00AA57D6">
        <w:rPr>
          <w:rFonts w:hint="eastAsia"/>
          <w:sz w:val="24"/>
        </w:rPr>
        <w:t>业务的开办时间。</w:t>
      </w:r>
    </w:p>
    <w:p w14:paraId="248544F4" w14:textId="77777777" w:rsidR="000A56DF" w:rsidRPr="00AA57D6" w:rsidRDefault="000A56DF" w:rsidP="000A56DF">
      <w:pPr>
        <w:spacing w:line="360" w:lineRule="auto"/>
        <w:ind w:firstLineChars="200" w:firstLine="480"/>
        <w:rPr>
          <w:sz w:val="24"/>
        </w:rPr>
      </w:pPr>
      <w:r w:rsidRPr="00AA57D6">
        <w:rPr>
          <w:rFonts w:hint="eastAsia"/>
          <w:sz w:val="24"/>
        </w:rPr>
        <w:t>2、基金管理人和</w:t>
      </w:r>
      <w:r>
        <w:rPr>
          <w:rFonts w:hint="eastAsia"/>
          <w:sz w:val="24"/>
        </w:rPr>
        <w:t>基金托管人</w:t>
      </w:r>
      <w:r w:rsidRPr="00AA57D6">
        <w:rPr>
          <w:rFonts w:hint="eastAsia"/>
          <w:sz w:val="24"/>
        </w:rPr>
        <w:t>应当按照基金合同的约定，在基金申购、赎回的时间、场所、方式、程序、对价、费用、收款或付款等各方面相互配合，积极履行各自的义务，保证基金的申购、赎回工作能够顺利进行。</w:t>
      </w:r>
    </w:p>
    <w:p w14:paraId="27B307A1" w14:textId="77777777" w:rsidR="000A56DF" w:rsidRPr="00612B9E" w:rsidRDefault="000A56DF" w:rsidP="000A56DF">
      <w:pPr>
        <w:spacing w:line="360" w:lineRule="auto"/>
        <w:ind w:firstLineChars="200" w:firstLine="480"/>
        <w:rPr>
          <w:sz w:val="24"/>
        </w:rPr>
      </w:pPr>
      <w:r w:rsidRPr="00AA57D6">
        <w:rPr>
          <w:rFonts w:hint="eastAsia"/>
          <w:sz w:val="24"/>
        </w:rPr>
        <w:t>3、本基金申购、赎回过程中涉及的基金份额、组合证券、现金替代、现金差额及其他对价的清算交</w:t>
      </w:r>
      <w:proofErr w:type="gramStart"/>
      <w:r w:rsidRPr="00AA57D6">
        <w:rPr>
          <w:rFonts w:hint="eastAsia"/>
          <w:sz w:val="24"/>
        </w:rPr>
        <w:t>收依据</w:t>
      </w:r>
      <w:proofErr w:type="gramEnd"/>
      <w:r w:rsidRPr="00AA57D6">
        <w:rPr>
          <w:rFonts w:hint="eastAsia"/>
          <w:sz w:val="24"/>
        </w:rPr>
        <w:t>交易所相关业务规则、参与各方相关协议及招募说明书的有关规定办理。如果登记机构相关的结算交收业务规则发生变更，则按最新规</w:t>
      </w:r>
      <w:r w:rsidRPr="00AA57D6">
        <w:rPr>
          <w:rFonts w:hint="eastAsia"/>
          <w:sz w:val="24"/>
        </w:rPr>
        <w:lastRenderedPageBreak/>
        <w:t>则办理。如果登记机构和基金管理人在清算交收时发现不能正常履约的情形，则依据业务规则和参与各方相关协议及其不时修订的有关规定进行处理。</w:t>
      </w:r>
    </w:p>
    <w:p w14:paraId="1A386DCD" w14:textId="77777777" w:rsidR="000A56DF" w:rsidRPr="00612B9E" w:rsidRDefault="000A56DF" w:rsidP="000A56DF">
      <w:pPr>
        <w:spacing w:line="360" w:lineRule="auto"/>
        <w:ind w:firstLineChars="200" w:firstLine="480"/>
        <w:rPr>
          <w:sz w:val="24"/>
        </w:rPr>
      </w:pPr>
      <w:r>
        <w:rPr>
          <w:sz w:val="24"/>
        </w:rPr>
        <w:t>4、</w:t>
      </w:r>
      <w:r w:rsidRPr="00612B9E">
        <w:rPr>
          <w:rFonts w:hint="eastAsia"/>
          <w:sz w:val="24"/>
        </w:rPr>
        <w:t>分红资金划拨规定</w:t>
      </w:r>
    </w:p>
    <w:p w14:paraId="01D921CD" w14:textId="77777777" w:rsidR="000A56DF" w:rsidRPr="00612B9E" w:rsidRDefault="000A56DF" w:rsidP="000A56DF">
      <w:pPr>
        <w:spacing w:line="360" w:lineRule="auto"/>
        <w:ind w:firstLineChars="200" w:firstLine="480"/>
        <w:rPr>
          <w:sz w:val="24"/>
        </w:rPr>
      </w:pPr>
      <w:r w:rsidRPr="00612B9E">
        <w:rPr>
          <w:rFonts w:hint="eastAsia"/>
          <w:sz w:val="24"/>
        </w:rPr>
        <w:t>进行基金分红时，如基金</w:t>
      </w:r>
      <w:r w:rsidRPr="00F05256">
        <w:rPr>
          <w:rFonts w:hint="eastAsia"/>
          <w:sz w:val="24"/>
        </w:rPr>
        <w:t>托管</w:t>
      </w:r>
      <w:r w:rsidRPr="00612B9E">
        <w:rPr>
          <w:rFonts w:hint="eastAsia"/>
          <w:sz w:val="24"/>
        </w:rPr>
        <w:t>资金账户有足够的资金，基金托管人应按时拨付；因基金</w:t>
      </w:r>
      <w:r w:rsidRPr="00F05256">
        <w:rPr>
          <w:rFonts w:hint="eastAsia"/>
          <w:sz w:val="24"/>
        </w:rPr>
        <w:t>托管</w:t>
      </w:r>
      <w:r w:rsidRPr="00612B9E">
        <w:rPr>
          <w:rFonts w:hint="eastAsia"/>
          <w:sz w:val="24"/>
        </w:rPr>
        <w:t>资金账户没有足够的资金，导致基金托管人不能按时拨付，如</w:t>
      </w:r>
      <w:proofErr w:type="gramStart"/>
      <w:r w:rsidRPr="00612B9E">
        <w:rPr>
          <w:rFonts w:hint="eastAsia"/>
          <w:sz w:val="24"/>
        </w:rPr>
        <w:t>系基金</w:t>
      </w:r>
      <w:proofErr w:type="gramEnd"/>
      <w:r w:rsidRPr="00612B9E">
        <w:rPr>
          <w:rFonts w:hint="eastAsia"/>
          <w:sz w:val="24"/>
        </w:rPr>
        <w:t>管理人的原因造成，责任由基金管理人承担，基金托管人不承担垫款义务。</w:t>
      </w:r>
    </w:p>
    <w:p w14:paraId="01F25E2A" w14:textId="77777777" w:rsidR="000A56DF" w:rsidRPr="00612B9E" w:rsidRDefault="000A56DF" w:rsidP="000A56DF">
      <w:pPr>
        <w:spacing w:line="360" w:lineRule="auto"/>
        <w:ind w:firstLineChars="200" w:firstLine="480"/>
        <w:rPr>
          <w:sz w:val="24"/>
        </w:rPr>
      </w:pPr>
      <w:r w:rsidRPr="00612B9E">
        <w:rPr>
          <w:rFonts w:hint="eastAsia"/>
          <w:sz w:val="24"/>
        </w:rPr>
        <w:t>（四）</w:t>
      </w:r>
      <w:proofErr w:type="gramStart"/>
      <w:r w:rsidRPr="00612B9E">
        <w:rPr>
          <w:rFonts w:hint="eastAsia"/>
          <w:sz w:val="24"/>
        </w:rPr>
        <w:t>申赎</w:t>
      </w:r>
      <w:r>
        <w:rPr>
          <w:rFonts w:hint="eastAsia"/>
          <w:sz w:val="24"/>
        </w:rPr>
        <w:t>的</w:t>
      </w:r>
      <w:proofErr w:type="gramEnd"/>
      <w:r>
        <w:rPr>
          <w:rFonts w:hint="eastAsia"/>
          <w:sz w:val="24"/>
        </w:rPr>
        <w:t>资金</w:t>
      </w:r>
      <w:r w:rsidRPr="00612B9E">
        <w:rPr>
          <w:rFonts w:hint="eastAsia"/>
          <w:sz w:val="24"/>
        </w:rPr>
        <w:t>结算</w:t>
      </w:r>
    </w:p>
    <w:p w14:paraId="4A131693" w14:textId="77777777" w:rsidR="000A56DF" w:rsidRDefault="000A56DF" w:rsidP="000A56DF">
      <w:pPr>
        <w:spacing w:line="360" w:lineRule="auto"/>
        <w:ind w:firstLineChars="200" w:firstLine="480"/>
        <w:rPr>
          <w:bCs/>
          <w:sz w:val="24"/>
        </w:rPr>
      </w:pPr>
      <w:r>
        <w:rPr>
          <w:rFonts w:hint="eastAsia"/>
          <w:bCs/>
          <w:sz w:val="24"/>
        </w:rPr>
        <w:t xml:space="preserve">本基金场内基金份额 </w:t>
      </w:r>
      <w:r>
        <w:rPr>
          <w:sz w:val="24"/>
        </w:rPr>
        <w:t>T</w:t>
      </w:r>
      <w:r>
        <w:rPr>
          <w:rFonts w:hint="eastAsia"/>
          <w:bCs/>
          <w:sz w:val="24"/>
        </w:rPr>
        <w:t xml:space="preserve"> 日的申购赎回发生的证券交收由登记机构在 </w:t>
      </w:r>
      <w:r>
        <w:rPr>
          <w:sz w:val="24"/>
        </w:rPr>
        <w:t>T</w:t>
      </w:r>
      <w:r>
        <w:rPr>
          <w:rFonts w:hint="eastAsia"/>
          <w:bCs/>
          <w:sz w:val="24"/>
        </w:rPr>
        <w:t xml:space="preserve"> 日收市后完成，</w:t>
      </w:r>
      <w:r>
        <w:rPr>
          <w:rFonts w:hint="eastAsia"/>
          <w:sz w:val="24"/>
        </w:rPr>
        <w:t>证券经纪机构</w:t>
      </w:r>
      <w:r>
        <w:rPr>
          <w:rFonts w:hint="eastAsia"/>
          <w:bCs/>
          <w:sz w:val="24"/>
        </w:rPr>
        <w:t xml:space="preserve">应在 T+1 日开盘前核对登记机构发送的证券余额；证券经纪机构在 </w:t>
      </w:r>
      <w:r w:rsidRPr="00612B9E">
        <w:rPr>
          <w:sz w:val="24"/>
        </w:rPr>
        <w:t>T</w:t>
      </w:r>
      <w:r>
        <w:rPr>
          <w:rFonts w:hint="eastAsia"/>
          <w:bCs/>
          <w:sz w:val="24"/>
        </w:rPr>
        <w:t xml:space="preserve">+1 </w:t>
      </w:r>
      <w:r w:rsidRPr="00612B9E">
        <w:rPr>
          <w:rFonts w:hint="eastAsia"/>
          <w:sz w:val="24"/>
        </w:rPr>
        <w:t>日</w:t>
      </w:r>
      <w:r>
        <w:rPr>
          <w:rFonts w:hint="eastAsia"/>
          <w:sz w:val="24"/>
        </w:rPr>
        <w:t>内</w:t>
      </w:r>
      <w:r>
        <w:rPr>
          <w:rFonts w:hint="eastAsia"/>
          <w:bCs/>
          <w:sz w:val="24"/>
        </w:rPr>
        <w:t>办理</w:t>
      </w:r>
      <w:r w:rsidRPr="00612B9E">
        <w:rPr>
          <w:rFonts w:hint="eastAsia"/>
          <w:sz w:val="24"/>
        </w:rPr>
        <w:t>申购和赎回</w:t>
      </w:r>
      <w:r>
        <w:rPr>
          <w:rFonts w:hint="eastAsia"/>
          <w:bCs/>
          <w:sz w:val="24"/>
        </w:rPr>
        <w:t>的上交所、深交所上市的成份股现金替代的交收；在 T+2 日内办理现金差额的交收；证券经纪机构根据登记机构、基金管理人的通知办理资金的划拨。现金</w:t>
      </w:r>
      <w:proofErr w:type="gramStart"/>
      <w:r>
        <w:rPr>
          <w:rFonts w:hint="eastAsia"/>
          <w:bCs/>
          <w:sz w:val="24"/>
        </w:rPr>
        <w:t>替代款</w:t>
      </w:r>
      <w:proofErr w:type="gramEnd"/>
      <w:r>
        <w:rPr>
          <w:rFonts w:hint="eastAsia"/>
          <w:bCs/>
          <w:sz w:val="24"/>
        </w:rPr>
        <w:t>的退款</w:t>
      </w:r>
      <w:r w:rsidRPr="00612B9E">
        <w:rPr>
          <w:rFonts w:hint="eastAsia"/>
          <w:sz w:val="24"/>
        </w:rPr>
        <w:t>和</w:t>
      </w:r>
      <w:r>
        <w:rPr>
          <w:rFonts w:hint="eastAsia"/>
          <w:bCs/>
          <w:sz w:val="24"/>
        </w:rPr>
        <w:t>补款由相关当事人根据基金招募说明书办理。如遇特殊情况，双方协商处理。</w:t>
      </w:r>
    </w:p>
    <w:p w14:paraId="5955E169" w14:textId="77777777" w:rsidR="000A56DF" w:rsidRPr="00612B9E" w:rsidRDefault="000A56DF" w:rsidP="000A56DF">
      <w:pPr>
        <w:spacing w:line="360" w:lineRule="auto"/>
        <w:ind w:firstLineChars="200" w:firstLine="480"/>
        <w:rPr>
          <w:sz w:val="24"/>
        </w:rPr>
      </w:pPr>
      <w:r>
        <w:rPr>
          <w:rFonts w:hint="eastAsia"/>
          <w:bCs/>
          <w:sz w:val="24"/>
        </w:rPr>
        <w:t>如果</w:t>
      </w:r>
      <w:r>
        <w:rPr>
          <w:rFonts w:hint="eastAsia"/>
          <w:sz w:val="24"/>
        </w:rPr>
        <w:t>登记机构</w:t>
      </w:r>
      <w:r>
        <w:rPr>
          <w:rFonts w:hint="eastAsia"/>
          <w:bCs/>
          <w:sz w:val="24"/>
        </w:rPr>
        <w:t>相关</w:t>
      </w:r>
      <w:r>
        <w:rPr>
          <w:rFonts w:hint="eastAsia"/>
          <w:sz w:val="24"/>
        </w:rPr>
        <w:t>的</w:t>
      </w:r>
      <w:r>
        <w:rPr>
          <w:rFonts w:hint="eastAsia"/>
          <w:bCs/>
          <w:sz w:val="24"/>
        </w:rPr>
        <w:t>结算交收业务规则发生变更，则按最新规则办理。</w:t>
      </w:r>
      <w:r w:rsidRPr="00612B9E">
        <w:rPr>
          <w:rFonts w:hint="eastAsia"/>
          <w:sz w:val="24"/>
        </w:rPr>
        <w:t>基金管理人和</w:t>
      </w:r>
      <w:r>
        <w:rPr>
          <w:rFonts w:hint="eastAsia"/>
          <w:sz w:val="24"/>
        </w:rPr>
        <w:t>证券经纪机构</w:t>
      </w:r>
      <w:r>
        <w:rPr>
          <w:rFonts w:hint="eastAsia"/>
          <w:bCs/>
          <w:sz w:val="24"/>
        </w:rPr>
        <w:t>也可经</w:t>
      </w:r>
      <w:r w:rsidRPr="00612B9E">
        <w:rPr>
          <w:rFonts w:hint="eastAsia"/>
          <w:sz w:val="24"/>
        </w:rPr>
        <w:t>协商</w:t>
      </w:r>
      <w:r>
        <w:rPr>
          <w:rFonts w:hint="eastAsia"/>
          <w:bCs/>
          <w:sz w:val="24"/>
        </w:rPr>
        <w:t>一致后，在</w:t>
      </w:r>
      <w:r w:rsidRPr="00612B9E">
        <w:rPr>
          <w:rFonts w:hint="eastAsia"/>
          <w:sz w:val="24"/>
        </w:rPr>
        <w:t>法律法规规定</w:t>
      </w:r>
      <w:r>
        <w:rPr>
          <w:rFonts w:hint="eastAsia"/>
          <w:bCs/>
          <w:sz w:val="24"/>
        </w:rPr>
        <w:t>和</w:t>
      </w:r>
      <w:r w:rsidRPr="00612B9E">
        <w:rPr>
          <w:rFonts w:hint="eastAsia"/>
          <w:sz w:val="24"/>
        </w:rPr>
        <w:t>《基金合同》约定</w:t>
      </w:r>
      <w:r>
        <w:rPr>
          <w:rFonts w:hint="eastAsia"/>
          <w:bCs/>
          <w:sz w:val="24"/>
        </w:rPr>
        <w:t>的范围内，采取其他可行的交收方式</w:t>
      </w:r>
      <w:r w:rsidRPr="00612B9E">
        <w:rPr>
          <w:rFonts w:hint="eastAsia"/>
          <w:sz w:val="24"/>
        </w:rPr>
        <w:t>。</w:t>
      </w:r>
    </w:p>
    <w:p w14:paraId="4EB54D70" w14:textId="77777777" w:rsidR="000A56DF" w:rsidRPr="00612B9E" w:rsidRDefault="000A56DF" w:rsidP="000A56DF">
      <w:pPr>
        <w:spacing w:line="360" w:lineRule="auto"/>
        <w:ind w:firstLineChars="200" w:firstLine="480"/>
        <w:rPr>
          <w:sz w:val="24"/>
        </w:rPr>
      </w:pPr>
      <w:r w:rsidRPr="00612B9E">
        <w:rPr>
          <w:rFonts w:hint="eastAsia"/>
          <w:sz w:val="24"/>
        </w:rPr>
        <w:t>（</w:t>
      </w:r>
      <w:r>
        <w:rPr>
          <w:rFonts w:hint="eastAsia"/>
          <w:bCs/>
          <w:sz w:val="24"/>
        </w:rPr>
        <w:t>五</w:t>
      </w:r>
      <w:r w:rsidRPr="00612B9E">
        <w:rPr>
          <w:rFonts w:hint="eastAsia"/>
          <w:sz w:val="24"/>
        </w:rPr>
        <w:t>）基金现金分红</w:t>
      </w:r>
    </w:p>
    <w:p w14:paraId="1C68A8CB" w14:textId="77777777" w:rsidR="000A56DF" w:rsidRPr="00612B9E" w:rsidRDefault="000A56DF" w:rsidP="000A56DF">
      <w:pPr>
        <w:spacing w:line="360" w:lineRule="auto"/>
        <w:ind w:firstLineChars="200" w:firstLine="480"/>
        <w:rPr>
          <w:sz w:val="24"/>
        </w:rPr>
      </w:pPr>
      <w:r w:rsidRPr="00612B9E">
        <w:rPr>
          <w:sz w:val="24"/>
        </w:rPr>
        <w:t>1</w:t>
      </w:r>
      <w:r>
        <w:rPr>
          <w:sz w:val="24"/>
        </w:rPr>
        <w:t>、</w:t>
      </w:r>
      <w:r w:rsidRPr="00612B9E">
        <w:rPr>
          <w:rFonts w:hint="eastAsia"/>
          <w:sz w:val="24"/>
        </w:rPr>
        <w:t>基金管理人确定分红方案通知基金托管人，双方核定后依照《信息披露办法》的有关规定在中国证监会规定媒介上公告。</w:t>
      </w:r>
    </w:p>
    <w:p w14:paraId="762024D2" w14:textId="77777777" w:rsidR="000A56DF" w:rsidRPr="00612B9E" w:rsidRDefault="000A56DF" w:rsidP="000A56DF">
      <w:pPr>
        <w:spacing w:line="360" w:lineRule="auto"/>
        <w:ind w:firstLineChars="200" w:firstLine="480"/>
        <w:rPr>
          <w:sz w:val="24"/>
        </w:rPr>
      </w:pPr>
      <w:r w:rsidRPr="00612B9E">
        <w:rPr>
          <w:sz w:val="24"/>
        </w:rPr>
        <w:t>2</w:t>
      </w:r>
      <w:r>
        <w:rPr>
          <w:sz w:val="24"/>
        </w:rPr>
        <w:t>、</w:t>
      </w:r>
      <w:r w:rsidRPr="00612B9E">
        <w:rPr>
          <w:rFonts w:hint="eastAsia"/>
          <w:sz w:val="24"/>
        </w:rPr>
        <w:t>基金托管人和基金管理人对基金分红进行账务处理并核对后，基金管理人向基金托管人发送现金红利的划款指令，基金托管人应及时将资金划入专用账户。</w:t>
      </w:r>
    </w:p>
    <w:p w14:paraId="4A318B84" w14:textId="77777777" w:rsidR="000A56DF" w:rsidRPr="00612B9E" w:rsidRDefault="000A56DF" w:rsidP="000A56DF">
      <w:pPr>
        <w:spacing w:line="360" w:lineRule="auto"/>
        <w:ind w:firstLineChars="200" w:firstLine="480"/>
        <w:rPr>
          <w:sz w:val="24"/>
        </w:rPr>
      </w:pPr>
      <w:r w:rsidRPr="00612B9E">
        <w:rPr>
          <w:sz w:val="24"/>
        </w:rPr>
        <w:t>3</w:t>
      </w:r>
      <w:r>
        <w:rPr>
          <w:sz w:val="24"/>
        </w:rPr>
        <w:t>、</w:t>
      </w:r>
      <w:r w:rsidRPr="00612B9E">
        <w:rPr>
          <w:rFonts w:hint="eastAsia"/>
          <w:sz w:val="24"/>
        </w:rPr>
        <w:t>基金管理人在下达指令时，应给基金托管人留出必需的划款时间。</w:t>
      </w:r>
    </w:p>
    <w:p w14:paraId="69C23146" w14:textId="77777777" w:rsidR="000A56DF" w:rsidRPr="00612B9E" w:rsidRDefault="000A56DF" w:rsidP="000A56DF">
      <w:pPr>
        <w:spacing w:line="360" w:lineRule="auto"/>
        <w:ind w:firstLineChars="200" w:firstLine="480"/>
        <w:rPr>
          <w:sz w:val="24"/>
        </w:rPr>
      </w:pPr>
      <w:r w:rsidRPr="00612B9E">
        <w:rPr>
          <w:rFonts w:hint="eastAsia"/>
          <w:sz w:val="24"/>
        </w:rPr>
        <w:t>（</w:t>
      </w:r>
      <w:r>
        <w:rPr>
          <w:rFonts w:hint="eastAsia"/>
          <w:bCs/>
          <w:sz w:val="24"/>
        </w:rPr>
        <w:t>六</w:t>
      </w:r>
      <w:r w:rsidRPr="00612B9E">
        <w:rPr>
          <w:rFonts w:hint="eastAsia"/>
          <w:sz w:val="24"/>
        </w:rPr>
        <w:t>）投资银行存款的特别约定</w:t>
      </w:r>
    </w:p>
    <w:p w14:paraId="59E940F7" w14:textId="77777777" w:rsidR="000A56DF" w:rsidRPr="00612B9E" w:rsidRDefault="000A56DF" w:rsidP="000A56DF">
      <w:pPr>
        <w:spacing w:line="360" w:lineRule="auto"/>
        <w:ind w:firstLineChars="200" w:firstLine="480"/>
        <w:rPr>
          <w:sz w:val="24"/>
        </w:rPr>
      </w:pPr>
      <w:r w:rsidRPr="00612B9E">
        <w:rPr>
          <w:sz w:val="24"/>
        </w:rPr>
        <w:t>1</w:t>
      </w:r>
      <w:r>
        <w:rPr>
          <w:sz w:val="24"/>
        </w:rPr>
        <w:t>、</w:t>
      </w:r>
      <w:r w:rsidRPr="00612B9E">
        <w:rPr>
          <w:sz w:val="24"/>
        </w:rPr>
        <w:t>本基金投资银行存款前，</w:t>
      </w:r>
      <w:r w:rsidRPr="00612B9E">
        <w:rPr>
          <w:rFonts w:hint="eastAsia"/>
          <w:sz w:val="24"/>
        </w:rPr>
        <w:t>基金管理人应与存款银行签订具体存款协议，包括但不限于以下内容：</w:t>
      </w:r>
    </w:p>
    <w:p w14:paraId="646E2B34" w14:textId="77777777" w:rsidR="000A56DF" w:rsidRPr="00612B9E" w:rsidRDefault="000A56DF" w:rsidP="000A56DF">
      <w:pPr>
        <w:spacing w:line="360" w:lineRule="auto"/>
        <w:ind w:firstLineChars="200" w:firstLine="480"/>
        <w:rPr>
          <w:sz w:val="24"/>
        </w:rPr>
      </w:pPr>
      <w:r w:rsidRPr="00612B9E">
        <w:rPr>
          <w:rFonts w:hint="eastAsia"/>
          <w:sz w:val="24"/>
        </w:rPr>
        <w:t>（</w:t>
      </w:r>
      <w:r w:rsidRPr="00612B9E">
        <w:rPr>
          <w:sz w:val="24"/>
        </w:rPr>
        <w:t>1</w:t>
      </w:r>
      <w:r w:rsidRPr="00612B9E">
        <w:rPr>
          <w:rFonts w:hint="eastAsia"/>
          <w:sz w:val="24"/>
        </w:rPr>
        <w:t>）存款账户必须以本基金名义开立</w:t>
      </w:r>
      <w:r w:rsidRPr="00612B9E">
        <w:rPr>
          <w:sz w:val="24"/>
        </w:rPr>
        <w:t>,</w:t>
      </w:r>
      <w:r w:rsidRPr="00612B9E">
        <w:rPr>
          <w:rFonts w:hint="eastAsia"/>
          <w:sz w:val="24"/>
        </w:rPr>
        <w:t>并将基金托管人为本基金开立的基金</w:t>
      </w:r>
      <w:r w:rsidRPr="00F05256">
        <w:rPr>
          <w:rFonts w:hint="eastAsia"/>
          <w:sz w:val="24"/>
        </w:rPr>
        <w:t>托管资金</w:t>
      </w:r>
      <w:r w:rsidRPr="00612B9E">
        <w:rPr>
          <w:rFonts w:hint="eastAsia"/>
          <w:sz w:val="24"/>
        </w:rPr>
        <w:t>账户指定为唯一回款账户，任何情况下，存款银行都不得将存款投资</w:t>
      </w:r>
      <w:proofErr w:type="gramStart"/>
      <w:r w:rsidRPr="00612B9E">
        <w:rPr>
          <w:rFonts w:hint="eastAsia"/>
          <w:sz w:val="24"/>
        </w:rPr>
        <w:t>本息划往任何</w:t>
      </w:r>
      <w:proofErr w:type="gramEnd"/>
      <w:r w:rsidRPr="00612B9E">
        <w:rPr>
          <w:rFonts w:hint="eastAsia"/>
          <w:sz w:val="24"/>
        </w:rPr>
        <w:t>其他账户。</w:t>
      </w:r>
    </w:p>
    <w:p w14:paraId="717C642C" w14:textId="77777777" w:rsidR="000A56DF" w:rsidRPr="00612B9E" w:rsidRDefault="000A56DF" w:rsidP="000A56DF">
      <w:pPr>
        <w:spacing w:line="360" w:lineRule="auto"/>
        <w:ind w:firstLineChars="200" w:firstLine="480"/>
        <w:rPr>
          <w:sz w:val="24"/>
        </w:rPr>
      </w:pPr>
      <w:r w:rsidRPr="00612B9E">
        <w:rPr>
          <w:rFonts w:hint="eastAsia"/>
          <w:sz w:val="24"/>
        </w:rPr>
        <w:t>（</w:t>
      </w:r>
      <w:r w:rsidRPr="00612B9E">
        <w:rPr>
          <w:sz w:val="24"/>
        </w:rPr>
        <w:t>2</w:t>
      </w:r>
      <w:r w:rsidRPr="00612B9E">
        <w:rPr>
          <w:rFonts w:hint="eastAsia"/>
          <w:sz w:val="24"/>
        </w:rPr>
        <w:t>）存款银行不得接受基金管理人或基金托管人任何一方单方面提出的对存款进行更名、转让、挂失、质押、担保、撤销、变更印鉴及回款账户信息等可能导</w:t>
      </w:r>
      <w:r w:rsidRPr="00612B9E">
        <w:rPr>
          <w:rFonts w:hint="eastAsia"/>
          <w:sz w:val="24"/>
        </w:rPr>
        <w:lastRenderedPageBreak/>
        <w:t>致财产转移的操作申请。</w:t>
      </w:r>
    </w:p>
    <w:p w14:paraId="4C1BD69B" w14:textId="77777777" w:rsidR="000A56DF" w:rsidRPr="00612B9E" w:rsidRDefault="000A56DF" w:rsidP="000A56DF">
      <w:pPr>
        <w:spacing w:line="360" w:lineRule="auto"/>
        <w:ind w:firstLineChars="200" w:firstLine="480"/>
        <w:rPr>
          <w:sz w:val="24"/>
        </w:rPr>
      </w:pPr>
      <w:r w:rsidRPr="00612B9E">
        <w:rPr>
          <w:rFonts w:hint="eastAsia"/>
          <w:sz w:val="24"/>
        </w:rPr>
        <w:t>（</w:t>
      </w:r>
      <w:r w:rsidRPr="00612B9E">
        <w:rPr>
          <w:sz w:val="24"/>
        </w:rPr>
        <w:t>3</w:t>
      </w:r>
      <w:r w:rsidRPr="00612B9E">
        <w:rPr>
          <w:rFonts w:hint="eastAsia"/>
          <w:sz w:val="24"/>
        </w:rPr>
        <w:t>）约定存款证实书的具体传递交接方式及交接期限。</w:t>
      </w:r>
    </w:p>
    <w:p w14:paraId="6304E46E" w14:textId="77777777" w:rsidR="000A56DF" w:rsidRPr="00612B9E" w:rsidRDefault="000A56DF" w:rsidP="000A56DF">
      <w:pPr>
        <w:spacing w:line="360" w:lineRule="auto"/>
        <w:ind w:firstLineChars="200" w:firstLine="480"/>
        <w:rPr>
          <w:sz w:val="24"/>
        </w:rPr>
      </w:pPr>
      <w:r w:rsidRPr="00612B9E">
        <w:rPr>
          <w:rFonts w:hint="eastAsia"/>
          <w:sz w:val="24"/>
        </w:rPr>
        <w:t>（</w:t>
      </w:r>
      <w:r w:rsidRPr="00612B9E">
        <w:rPr>
          <w:sz w:val="24"/>
        </w:rPr>
        <w:t>4</w:t>
      </w:r>
      <w:r w:rsidRPr="00612B9E">
        <w:rPr>
          <w:rFonts w:hint="eastAsia"/>
          <w:sz w:val="24"/>
        </w:rPr>
        <w:t>）资金划转过程中需要使用存款银行过渡账户的，存款银行须保证资金在过渡账户中不出现滞留，不被挪用。</w:t>
      </w:r>
    </w:p>
    <w:p w14:paraId="4DBC2DEC" w14:textId="77777777" w:rsidR="000A56DF" w:rsidRPr="00612B9E" w:rsidRDefault="000A56DF" w:rsidP="000A56DF">
      <w:pPr>
        <w:spacing w:line="360" w:lineRule="auto"/>
        <w:ind w:firstLineChars="200" w:firstLine="480"/>
        <w:rPr>
          <w:sz w:val="24"/>
        </w:rPr>
      </w:pPr>
      <w:r w:rsidRPr="00612B9E">
        <w:rPr>
          <w:sz w:val="24"/>
        </w:rPr>
        <w:t>2</w:t>
      </w:r>
      <w:r>
        <w:rPr>
          <w:sz w:val="24"/>
        </w:rPr>
        <w:t>、</w:t>
      </w:r>
      <w:r w:rsidRPr="00612B9E">
        <w:rPr>
          <w:sz w:val="24"/>
        </w:rPr>
        <w:t>本基金投资银行存款，必须采用双方认可的方式办理。</w:t>
      </w:r>
      <w:r>
        <w:rPr>
          <w:rFonts w:hint="eastAsia"/>
          <w:bCs/>
          <w:sz w:val="24"/>
        </w:rPr>
        <w:t>基金</w:t>
      </w:r>
      <w:r w:rsidRPr="00612B9E">
        <w:rPr>
          <w:rFonts w:hint="eastAsia"/>
          <w:sz w:val="24"/>
        </w:rPr>
        <w:t>托管人负责依据管理人提供的银行存款投资合同</w:t>
      </w:r>
      <w:r w:rsidRPr="00612B9E">
        <w:rPr>
          <w:sz w:val="24"/>
        </w:rPr>
        <w:t>/</w:t>
      </w:r>
      <w:r w:rsidRPr="00612B9E">
        <w:rPr>
          <w:rFonts w:hint="eastAsia"/>
          <w:sz w:val="24"/>
        </w:rPr>
        <w:t>协议、投资指令、支取通知等有关文件办理资金的支付以及存款证实书的接收、保管与交付，切实履行托管职责。</w:t>
      </w:r>
      <w:r>
        <w:rPr>
          <w:rFonts w:hint="eastAsia"/>
          <w:bCs/>
          <w:sz w:val="24"/>
        </w:rPr>
        <w:t>基金</w:t>
      </w:r>
      <w:r w:rsidRPr="00612B9E">
        <w:rPr>
          <w:rFonts w:hint="eastAsia"/>
          <w:sz w:val="24"/>
        </w:rPr>
        <w:t>托管人负责对存款开户证实书进行保管，不负责对存款开户证实书真伪的辨别，不承担存款开户证实书对应存款的本金及收益的安全。</w:t>
      </w:r>
      <w:r>
        <w:rPr>
          <w:bCs/>
          <w:sz w:val="24"/>
        </w:rPr>
        <w:t xml:space="preserve">   </w:t>
      </w:r>
    </w:p>
    <w:p w14:paraId="473A8808" w14:textId="77777777" w:rsidR="000A56DF" w:rsidRPr="00612B9E" w:rsidRDefault="000A56DF" w:rsidP="000A56DF">
      <w:pPr>
        <w:spacing w:line="360" w:lineRule="auto"/>
        <w:ind w:firstLineChars="200" w:firstLine="480"/>
        <w:rPr>
          <w:sz w:val="24"/>
        </w:rPr>
      </w:pPr>
      <w:r w:rsidRPr="00612B9E">
        <w:rPr>
          <w:sz w:val="24"/>
        </w:rPr>
        <w:t>3</w:t>
      </w:r>
      <w:r>
        <w:rPr>
          <w:sz w:val="24"/>
        </w:rPr>
        <w:t>、</w:t>
      </w:r>
      <w:r w:rsidRPr="00612B9E">
        <w:rPr>
          <w:rFonts w:hint="eastAsia"/>
          <w:sz w:val="24"/>
        </w:rPr>
        <w:t>基金管理人投资银行存款或办理存款支取时，应提前书面通知基金托管人，以便基金托管人有足够的时间履行相应的业务操作程序。因发生逾期支取、提前支取或部分提前支取，托管银行不承担相应利息损失及逾期支取手续费。</w:t>
      </w:r>
    </w:p>
    <w:p w14:paraId="2B8177D2" w14:textId="77777777" w:rsidR="002123B7" w:rsidRDefault="000A56DF" w:rsidP="000A56DF">
      <w:pPr>
        <w:spacing w:line="360" w:lineRule="auto"/>
        <w:ind w:firstLineChars="200" w:firstLine="480"/>
        <w:jc w:val="both"/>
        <w:rPr>
          <w:rFonts w:ascii="Times New Roman" w:hAnsi="Times New Roman"/>
          <w:spacing w:val="-4"/>
          <w:sz w:val="24"/>
          <w:szCs w:val="24"/>
        </w:rPr>
      </w:pPr>
      <w:r w:rsidRPr="00612B9E">
        <w:rPr>
          <w:sz w:val="24"/>
        </w:rPr>
        <w:t>4</w:t>
      </w:r>
      <w:r w:rsidRPr="00612B9E">
        <w:rPr>
          <w:rFonts w:hint="eastAsia"/>
          <w:sz w:val="24"/>
        </w:rPr>
        <w:t>、对于已移交</w:t>
      </w:r>
      <w:r w:rsidRPr="00F05256">
        <w:rPr>
          <w:rFonts w:hint="eastAsia"/>
          <w:sz w:val="24"/>
        </w:rPr>
        <w:t>基金托管人保管的存款开户证实书等实物凭证，基金托管人应安全保管；对未按约定将存款开户证实书等实物凭证移交托管人保管的，基金托管人应向基金管理人进行必要的催缴和风险提示；提示后仍不将相关实物凭证送达托管人保管的，出于托管履职和尽责，托管人可视情况采取必要的风险控制措施：（</w:t>
      </w:r>
      <w:r w:rsidRPr="00F05256">
        <w:rPr>
          <w:sz w:val="24"/>
        </w:rPr>
        <w:t>1</w:t>
      </w:r>
      <w:r w:rsidRPr="00F05256">
        <w:rPr>
          <w:rFonts w:hint="eastAsia"/>
          <w:sz w:val="24"/>
        </w:rPr>
        <w:t>）建立风险预警机制，对于实物凭证未送达集中度较高的存款银行，主动发</w:t>
      </w:r>
      <w:proofErr w:type="gramStart"/>
      <w:r w:rsidRPr="00F05256">
        <w:rPr>
          <w:rFonts w:hint="eastAsia"/>
          <w:sz w:val="24"/>
        </w:rPr>
        <w:t>函管</w:t>
      </w:r>
      <w:proofErr w:type="gramEnd"/>
      <w:r w:rsidRPr="00F05256">
        <w:rPr>
          <w:rFonts w:hint="eastAsia"/>
          <w:sz w:val="24"/>
        </w:rPr>
        <w:t>理人尽量避免在此类银行进行存款投资；（</w:t>
      </w:r>
      <w:r w:rsidRPr="00F05256">
        <w:rPr>
          <w:sz w:val="24"/>
        </w:rPr>
        <w:t>2</w:t>
      </w:r>
      <w:r w:rsidRPr="00F05256">
        <w:rPr>
          <w:rFonts w:hint="eastAsia"/>
          <w:sz w:val="24"/>
        </w:rPr>
        <w:t>）在定期报告中，对未按约定送达基金托管人保管的实物凭证信息进行规定范围信息披露；（</w:t>
      </w:r>
      <w:r w:rsidRPr="00F05256">
        <w:rPr>
          <w:sz w:val="24"/>
        </w:rPr>
        <w:t>3</w:t>
      </w:r>
      <w:r w:rsidRPr="00F05256">
        <w:rPr>
          <w:rFonts w:hint="eastAsia"/>
          <w:sz w:val="24"/>
        </w:rPr>
        <w:t>）未送达实物凭证超过送单截止日后</w:t>
      </w:r>
      <w:r w:rsidRPr="00F05256">
        <w:rPr>
          <w:sz w:val="24"/>
        </w:rPr>
        <w:t>30</w:t>
      </w:r>
      <w:r w:rsidRPr="00F05256">
        <w:rPr>
          <w:rFonts w:hint="eastAsia"/>
          <w:sz w:val="24"/>
        </w:rPr>
        <w:t>个工作日，且累计超过</w:t>
      </w:r>
      <w:r w:rsidRPr="00F05256">
        <w:rPr>
          <w:sz w:val="24"/>
        </w:rPr>
        <w:t>3</w:t>
      </w:r>
      <w:r w:rsidRPr="00F05256">
        <w:rPr>
          <w:rFonts w:hint="eastAsia"/>
          <w:sz w:val="24"/>
        </w:rPr>
        <w:t>笔（含）以上的，部分或全部暂停配合基金</w:t>
      </w:r>
      <w:r w:rsidRPr="00612B9E">
        <w:rPr>
          <w:rFonts w:hint="eastAsia"/>
          <w:sz w:val="24"/>
        </w:rPr>
        <w:t>管理人办理后续新增存款投资业务，直至实物凭证送达</w:t>
      </w:r>
      <w:r w:rsidRPr="00F05256">
        <w:rPr>
          <w:rFonts w:hint="eastAsia"/>
          <w:sz w:val="24"/>
        </w:rPr>
        <w:t>基金</w:t>
      </w:r>
      <w:r w:rsidRPr="00612B9E">
        <w:rPr>
          <w:rFonts w:hint="eastAsia"/>
          <w:sz w:val="24"/>
        </w:rPr>
        <w:t>托管人保管后解除。实物凭证未送达但存款本息已安全划回托管</w:t>
      </w:r>
      <w:r w:rsidRPr="00F05256">
        <w:rPr>
          <w:rFonts w:hint="eastAsia"/>
          <w:sz w:val="24"/>
        </w:rPr>
        <w:t>资金</w:t>
      </w:r>
      <w:r w:rsidRPr="00612B9E">
        <w:rPr>
          <w:rFonts w:hint="eastAsia"/>
          <w:sz w:val="24"/>
        </w:rPr>
        <w:t>账户的，以及因发生特殊情况由管理人提供相关书面说明并重新承诺送单截止时间的，可剔除不计。</w:t>
      </w:r>
    </w:p>
    <w:p w14:paraId="20DE6FC2"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16" w:name="_Toc516502493"/>
      <w:bookmarkStart w:id="17" w:name="_Hlk179969025"/>
      <w:r>
        <w:rPr>
          <w:rFonts w:ascii="Times New Roman" w:eastAsia="宋体" w:hAnsi="Times New Roman" w:cs="Times New Roman"/>
          <w:bCs w:val="0"/>
          <w:color w:val="000000" w:themeColor="text1"/>
          <w:kern w:val="2"/>
          <w:lang w:val="en-US" w:bidi="ar-SA"/>
        </w:rPr>
        <w:t>八、基金资产净值计算和会计核算</w:t>
      </w:r>
      <w:bookmarkEnd w:id="16"/>
    </w:p>
    <w:p w14:paraId="10722F5C"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（一）基金资产净值的计算及复核程序</w:t>
      </w:r>
    </w:p>
    <w:p w14:paraId="078F93A6"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1</w:t>
      </w:r>
      <w:r>
        <w:rPr>
          <w:rFonts w:ascii="Times New Roman" w:hAnsi="Times New Roman"/>
          <w:spacing w:val="-4"/>
          <w:sz w:val="24"/>
          <w:szCs w:val="24"/>
        </w:rPr>
        <w:t>、基金资产净值</w:t>
      </w:r>
    </w:p>
    <w:p w14:paraId="2A1FF5C3"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基金资产净值是指基金资产总值减去</w:t>
      </w:r>
      <w:r>
        <w:rPr>
          <w:rFonts w:ascii="Times New Roman" w:hAnsi="Times New Roman" w:hint="eastAsia"/>
          <w:spacing w:val="-4"/>
          <w:sz w:val="24"/>
          <w:szCs w:val="24"/>
        </w:rPr>
        <w:t>基金</w:t>
      </w:r>
      <w:r>
        <w:rPr>
          <w:rFonts w:ascii="Times New Roman" w:hAnsi="Times New Roman"/>
          <w:spacing w:val="-4"/>
          <w:sz w:val="24"/>
          <w:szCs w:val="24"/>
        </w:rPr>
        <w:t>负债后的</w:t>
      </w:r>
      <w:r>
        <w:rPr>
          <w:rFonts w:ascii="Times New Roman" w:hAnsi="Times New Roman" w:hint="eastAsia"/>
          <w:spacing w:val="-4"/>
          <w:sz w:val="24"/>
          <w:szCs w:val="24"/>
        </w:rPr>
        <w:t>价</w:t>
      </w:r>
      <w:r>
        <w:rPr>
          <w:rFonts w:ascii="Times New Roman" w:hAnsi="Times New Roman"/>
          <w:spacing w:val="-4"/>
          <w:sz w:val="24"/>
          <w:szCs w:val="24"/>
        </w:rPr>
        <w:t>值。</w:t>
      </w:r>
    </w:p>
    <w:p w14:paraId="272404FF" w14:textId="77777777" w:rsidR="002123B7" w:rsidRDefault="00D8519F">
      <w:pPr>
        <w:spacing w:line="360" w:lineRule="auto"/>
        <w:ind w:firstLineChars="200" w:firstLine="472"/>
        <w:jc w:val="both"/>
        <w:rPr>
          <w:rFonts w:ascii="Times New Roman" w:hAnsi="Times New Roman"/>
          <w:spacing w:val="-4"/>
          <w:sz w:val="24"/>
          <w:szCs w:val="24"/>
        </w:rPr>
      </w:pPr>
      <w:bookmarkStart w:id="18" w:name="_Hlk179969361"/>
      <w:bookmarkStart w:id="19" w:name="_Hlk179969626"/>
      <w:r>
        <w:rPr>
          <w:rFonts w:ascii="Times New Roman" w:hAnsi="Times New Roman"/>
          <w:spacing w:val="-4"/>
          <w:sz w:val="24"/>
          <w:szCs w:val="24"/>
        </w:rPr>
        <w:t>基金份额净值是</w:t>
      </w:r>
      <w:r>
        <w:rPr>
          <w:rFonts w:ascii="Times New Roman" w:hAnsi="Times New Roman" w:hint="eastAsia"/>
          <w:spacing w:val="-4"/>
          <w:sz w:val="24"/>
          <w:szCs w:val="24"/>
        </w:rPr>
        <w:t>按照</w:t>
      </w:r>
      <w:r>
        <w:rPr>
          <w:rFonts w:ascii="Times New Roman" w:hAnsi="Times New Roman"/>
          <w:spacing w:val="-4"/>
          <w:sz w:val="24"/>
          <w:szCs w:val="24"/>
        </w:rPr>
        <w:t>每个</w:t>
      </w:r>
      <w:r>
        <w:rPr>
          <w:rFonts w:ascii="Times New Roman" w:hAnsi="Times New Roman" w:hint="eastAsia"/>
          <w:spacing w:val="-4"/>
          <w:sz w:val="24"/>
          <w:szCs w:val="24"/>
        </w:rPr>
        <w:t>工作日</w:t>
      </w:r>
      <w:r>
        <w:rPr>
          <w:rFonts w:ascii="Times New Roman" w:hAnsi="Times New Roman"/>
          <w:spacing w:val="-4"/>
          <w:sz w:val="24"/>
          <w:szCs w:val="24"/>
        </w:rPr>
        <w:t>闭市后</w:t>
      </w:r>
      <w:r>
        <w:rPr>
          <w:rFonts w:ascii="Times New Roman" w:hAnsi="Times New Roman" w:hint="eastAsia"/>
          <w:spacing w:val="-4"/>
          <w:sz w:val="24"/>
          <w:szCs w:val="24"/>
        </w:rPr>
        <w:t>，</w:t>
      </w:r>
      <w:r>
        <w:rPr>
          <w:rFonts w:ascii="Times New Roman" w:hAnsi="Times New Roman"/>
          <w:spacing w:val="-4"/>
          <w:sz w:val="24"/>
          <w:szCs w:val="24"/>
        </w:rPr>
        <w:t>基金资产净值除以当日基金份额的</w:t>
      </w:r>
      <w:r>
        <w:rPr>
          <w:rFonts w:ascii="Times New Roman" w:hAnsi="Times New Roman" w:hint="eastAsia"/>
          <w:spacing w:val="-4"/>
          <w:sz w:val="24"/>
          <w:szCs w:val="24"/>
        </w:rPr>
        <w:t>余额数量</w:t>
      </w:r>
      <w:r>
        <w:rPr>
          <w:rFonts w:ascii="Times New Roman" w:hAnsi="Times New Roman"/>
          <w:spacing w:val="-4"/>
          <w:sz w:val="24"/>
          <w:szCs w:val="24"/>
        </w:rPr>
        <w:t>计算，精确到</w:t>
      </w:r>
      <w:r>
        <w:rPr>
          <w:rFonts w:ascii="Times New Roman" w:hAnsi="Times New Roman"/>
          <w:spacing w:val="-4"/>
          <w:sz w:val="24"/>
          <w:szCs w:val="24"/>
        </w:rPr>
        <w:t>0.0001</w:t>
      </w:r>
      <w:r>
        <w:rPr>
          <w:rFonts w:ascii="Times New Roman" w:hAnsi="Times New Roman"/>
          <w:spacing w:val="-4"/>
          <w:sz w:val="24"/>
          <w:szCs w:val="24"/>
        </w:rPr>
        <w:t>元，小数点后第</w:t>
      </w:r>
      <w:r>
        <w:rPr>
          <w:rFonts w:ascii="Times New Roman" w:hAnsi="Times New Roman" w:hint="eastAsia"/>
          <w:spacing w:val="-4"/>
          <w:sz w:val="24"/>
          <w:szCs w:val="24"/>
        </w:rPr>
        <w:t>5</w:t>
      </w:r>
      <w:r>
        <w:rPr>
          <w:rFonts w:ascii="Times New Roman" w:hAnsi="Times New Roman"/>
          <w:spacing w:val="-4"/>
          <w:sz w:val="24"/>
          <w:szCs w:val="24"/>
        </w:rPr>
        <w:t>位四舍五入。基金管理人可以设立大额</w:t>
      </w:r>
      <w:r>
        <w:rPr>
          <w:rFonts w:ascii="Times New Roman" w:hAnsi="Times New Roman"/>
          <w:spacing w:val="-4"/>
          <w:sz w:val="24"/>
          <w:szCs w:val="24"/>
        </w:rPr>
        <w:lastRenderedPageBreak/>
        <w:t>赎回情形下的净值精度应急调整机制。国家另有规定的，从其规定。</w:t>
      </w:r>
      <w:bookmarkEnd w:id="18"/>
    </w:p>
    <w:p w14:paraId="2BE0653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基金管理人</w:t>
      </w:r>
      <w:r>
        <w:rPr>
          <w:rFonts w:ascii="Times New Roman" w:hAnsi="Times New Roman" w:hint="eastAsia"/>
          <w:spacing w:val="-4"/>
          <w:sz w:val="24"/>
          <w:szCs w:val="24"/>
        </w:rPr>
        <w:t>于</w:t>
      </w:r>
      <w:r>
        <w:rPr>
          <w:rFonts w:ascii="Times New Roman" w:hAnsi="Times New Roman"/>
          <w:spacing w:val="-4"/>
          <w:sz w:val="24"/>
          <w:szCs w:val="24"/>
        </w:rPr>
        <w:t>每个工作日计算基金资产净值及基金份额净值，并按规定公告。</w:t>
      </w:r>
    </w:p>
    <w:p w14:paraId="5A9863E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2</w:t>
      </w:r>
      <w:r>
        <w:rPr>
          <w:rFonts w:ascii="Times New Roman" w:hAnsi="Times New Roman"/>
          <w:spacing w:val="-4"/>
          <w:sz w:val="24"/>
          <w:szCs w:val="24"/>
        </w:rPr>
        <w:t>、复核程序</w:t>
      </w:r>
    </w:p>
    <w:p w14:paraId="233E264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基金管理人</w:t>
      </w:r>
      <w:proofErr w:type="gramStart"/>
      <w:r>
        <w:rPr>
          <w:rFonts w:ascii="Times New Roman" w:hAnsi="Times New Roman" w:hint="eastAsia"/>
          <w:spacing w:val="-4"/>
          <w:sz w:val="24"/>
          <w:szCs w:val="24"/>
        </w:rPr>
        <w:t>应</w:t>
      </w:r>
      <w:r>
        <w:rPr>
          <w:rFonts w:ascii="Times New Roman" w:hAnsi="Times New Roman"/>
          <w:spacing w:val="-4"/>
          <w:sz w:val="24"/>
          <w:szCs w:val="24"/>
        </w:rPr>
        <w:t>每个</w:t>
      </w:r>
      <w:proofErr w:type="gramEnd"/>
      <w:r>
        <w:rPr>
          <w:rFonts w:ascii="Times New Roman" w:hAnsi="Times New Roman"/>
          <w:spacing w:val="-4"/>
          <w:sz w:val="24"/>
          <w:szCs w:val="24"/>
        </w:rPr>
        <w:t>工作日对基金资产估值</w:t>
      </w:r>
      <w:r>
        <w:rPr>
          <w:rFonts w:ascii="Times New Roman" w:hAnsi="Times New Roman" w:hint="eastAsia"/>
          <w:spacing w:val="-4"/>
          <w:sz w:val="24"/>
          <w:szCs w:val="24"/>
        </w:rPr>
        <w:t>。但基金管理人根据法律法规或基金合同的规定暂停估值时除外。基金管理人每个工作日对基金资产估值后，</w:t>
      </w:r>
      <w:r>
        <w:rPr>
          <w:rFonts w:ascii="Times New Roman" w:hAnsi="Times New Roman"/>
          <w:spacing w:val="-4"/>
          <w:sz w:val="24"/>
          <w:szCs w:val="24"/>
        </w:rPr>
        <w:t>将基金份额净值结果发送基金托管人，经基金托管人复核无误后，由基金管理人依据《基金合同》和相关法律法规的规定对外公布。</w:t>
      </w:r>
      <w:bookmarkEnd w:id="19"/>
    </w:p>
    <w:p w14:paraId="224E7D6E"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（二）基金资产估值方法和特殊情形的处理</w:t>
      </w:r>
    </w:p>
    <w:p w14:paraId="382EBB6E"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1</w:t>
      </w:r>
      <w:r>
        <w:rPr>
          <w:rFonts w:ascii="Times New Roman" w:hAnsi="Times New Roman"/>
          <w:spacing w:val="-4"/>
          <w:sz w:val="24"/>
          <w:szCs w:val="24"/>
        </w:rPr>
        <w:t>、估值对象</w:t>
      </w:r>
    </w:p>
    <w:p w14:paraId="73D935F6"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基金所拥有的股票、债券</w:t>
      </w:r>
      <w:r>
        <w:rPr>
          <w:rFonts w:ascii="Times New Roman" w:hAnsi="Times New Roman" w:hint="eastAsia"/>
          <w:spacing w:val="-4"/>
          <w:sz w:val="24"/>
          <w:szCs w:val="24"/>
        </w:rPr>
        <w:t>、股指期货合约</w:t>
      </w:r>
      <w:r>
        <w:rPr>
          <w:rFonts w:ascii="Times New Roman" w:hAnsi="Times New Roman"/>
          <w:spacing w:val="-4"/>
          <w:sz w:val="24"/>
          <w:szCs w:val="24"/>
        </w:rPr>
        <w:t>和银行存款本息、</w:t>
      </w:r>
      <w:bookmarkStart w:id="20" w:name="_Hlk179982223"/>
      <w:r>
        <w:rPr>
          <w:rFonts w:ascii="Times New Roman" w:hAnsi="Times New Roman" w:hint="eastAsia"/>
          <w:spacing w:val="-4"/>
          <w:sz w:val="24"/>
          <w:szCs w:val="24"/>
        </w:rPr>
        <w:t>资产支持证券、</w:t>
      </w:r>
      <w:bookmarkEnd w:id="20"/>
      <w:r>
        <w:rPr>
          <w:rFonts w:ascii="Times New Roman" w:hAnsi="Times New Roman"/>
          <w:spacing w:val="-4"/>
          <w:sz w:val="24"/>
          <w:szCs w:val="24"/>
        </w:rPr>
        <w:t>应收款项、其它投资等资产及负债。</w:t>
      </w:r>
    </w:p>
    <w:p w14:paraId="6EF817C0"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2</w:t>
      </w:r>
      <w:r>
        <w:rPr>
          <w:rFonts w:ascii="Times New Roman" w:hAnsi="Times New Roman"/>
          <w:spacing w:val="-4"/>
          <w:sz w:val="24"/>
          <w:szCs w:val="24"/>
        </w:rPr>
        <w:t>、估值方法</w:t>
      </w:r>
    </w:p>
    <w:p w14:paraId="4F3E2560"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1</w:t>
      </w:r>
      <w:r w:rsidRPr="00FE47DA">
        <w:rPr>
          <w:rFonts w:ascii="Times New Roman" w:hAnsi="Times New Roman"/>
          <w:sz w:val="24"/>
          <w:szCs w:val="24"/>
        </w:rPr>
        <w:t>、证券交易所上市的有价证券的估值</w:t>
      </w:r>
    </w:p>
    <w:p w14:paraId="1E2CA4F3"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1</w:t>
      </w:r>
      <w:r w:rsidRPr="00FE47DA">
        <w:rPr>
          <w:rFonts w:ascii="Times New Roman" w:hAnsi="Times New Roman"/>
          <w:sz w:val="24"/>
          <w:szCs w:val="24"/>
        </w:rPr>
        <w:t>）交易所上市的有价证券，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14:paraId="31C0C649"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2</w:t>
      </w:r>
      <w:r w:rsidRPr="00FE47DA">
        <w:rPr>
          <w:rFonts w:ascii="Times New Roman" w:hAnsi="Times New Roman"/>
          <w:sz w:val="24"/>
          <w:szCs w:val="24"/>
        </w:rPr>
        <w:t>）交易所上市交易或挂牌转让的不含</w:t>
      </w:r>
      <w:proofErr w:type="gramStart"/>
      <w:r w:rsidRPr="00FE47DA">
        <w:rPr>
          <w:rFonts w:ascii="Times New Roman" w:hAnsi="Times New Roman"/>
          <w:sz w:val="24"/>
          <w:szCs w:val="24"/>
        </w:rPr>
        <w:t>权固定</w:t>
      </w:r>
      <w:proofErr w:type="gramEnd"/>
      <w:r w:rsidRPr="00FE47DA">
        <w:rPr>
          <w:rFonts w:ascii="Times New Roman" w:hAnsi="Times New Roman"/>
          <w:sz w:val="24"/>
          <w:szCs w:val="24"/>
        </w:rPr>
        <w:t>收益品种，选取估值日第三方估值机构提供的相应品种当日的估值价格进行估值；</w:t>
      </w:r>
    </w:p>
    <w:p w14:paraId="4B83A759"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3</w:t>
      </w:r>
      <w:r w:rsidRPr="00FE47DA">
        <w:rPr>
          <w:rFonts w:ascii="Times New Roman" w:hAnsi="Times New Roman"/>
          <w:sz w:val="24"/>
          <w:szCs w:val="24"/>
        </w:rPr>
        <w:t>）交易所上市交易或挂牌转让的含</w:t>
      </w:r>
      <w:proofErr w:type="gramStart"/>
      <w:r w:rsidRPr="00FE47DA">
        <w:rPr>
          <w:rFonts w:ascii="Times New Roman" w:hAnsi="Times New Roman"/>
          <w:sz w:val="24"/>
          <w:szCs w:val="24"/>
        </w:rPr>
        <w:t>权固定</w:t>
      </w:r>
      <w:proofErr w:type="gramEnd"/>
      <w:r w:rsidRPr="00FE47DA">
        <w:rPr>
          <w:rFonts w:ascii="Times New Roman" w:hAnsi="Times New Roman"/>
          <w:sz w:val="24"/>
          <w:szCs w:val="24"/>
        </w:rPr>
        <w:t>收益品种，选取估值日第三方估值机构提供的相应品种当日的唯一估值价格或推荐估值价格进行估值；</w:t>
      </w:r>
    </w:p>
    <w:p w14:paraId="14B7F074"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4</w:t>
      </w:r>
      <w:r w:rsidRPr="00FE47DA">
        <w:rPr>
          <w:rFonts w:ascii="Times New Roman" w:hAnsi="Times New Roman"/>
          <w:sz w:val="24"/>
          <w:szCs w:val="24"/>
        </w:rPr>
        <w:t>）交易所上市交易的可转换债券以第三方估值机构提供的价格作为估值全价；</w:t>
      </w:r>
    </w:p>
    <w:p w14:paraId="6F9053ED"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5</w:t>
      </w:r>
      <w:r w:rsidRPr="00FE47DA">
        <w:rPr>
          <w:rFonts w:ascii="Times New Roman" w:hAnsi="Times New Roman"/>
          <w:sz w:val="24"/>
          <w:szCs w:val="24"/>
        </w:rPr>
        <w:t>）交易所上市不存在活跃市场的有价证券，采用估值技术确定公允价值。交易所市场挂牌转让的资产支持证券，采用估值技术确定公允价值；</w:t>
      </w:r>
    </w:p>
    <w:p w14:paraId="0EF0975F"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6</w:t>
      </w:r>
      <w:r w:rsidRPr="00FE47DA">
        <w:rPr>
          <w:rFonts w:ascii="Times New Roman" w:hAnsi="Times New Roman"/>
          <w:sz w:val="24"/>
          <w:szCs w:val="24"/>
        </w:rPr>
        <w:t>）对于含投资人回售权的固定收益品种，行使回售权的，在回售登记日至实际收款日期间选取第三方估值基准服务机构提供的相应品种的唯一估值价格或推荐估值价格，同时应充分考虑发行人的信用风险变化对公允价值的影响。回售登记</w:t>
      </w:r>
      <w:r w:rsidRPr="00FE47DA">
        <w:rPr>
          <w:rFonts w:ascii="Times New Roman" w:hAnsi="Times New Roman"/>
          <w:sz w:val="24"/>
          <w:szCs w:val="24"/>
        </w:rPr>
        <w:lastRenderedPageBreak/>
        <w:t>截止日（含当日）后未行使回售权的按照长待偿期所对应的价格进行估值。</w:t>
      </w:r>
    </w:p>
    <w:p w14:paraId="3EEBDD1F"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2</w:t>
      </w:r>
      <w:r w:rsidRPr="00FE47DA">
        <w:rPr>
          <w:rFonts w:ascii="Times New Roman" w:hAnsi="Times New Roman"/>
          <w:sz w:val="24"/>
          <w:szCs w:val="24"/>
        </w:rPr>
        <w:t>、处于未上市期间及流通受限的有价证券应区分如下情况处理：</w:t>
      </w:r>
    </w:p>
    <w:p w14:paraId="798EBE48"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1</w:t>
      </w:r>
      <w:r w:rsidRPr="00FE47DA">
        <w:rPr>
          <w:rFonts w:ascii="Times New Roman" w:hAnsi="Times New Roman"/>
          <w:sz w:val="24"/>
          <w:szCs w:val="24"/>
        </w:rPr>
        <w:t>）送股、转增股、配股和公开增发的新股，按估值日在证券交易所挂牌的同一股票的估值方法估值；该日无交易的，以最近一日的市价（收盘价）估值；</w:t>
      </w:r>
    </w:p>
    <w:p w14:paraId="7426D00E"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2</w:t>
      </w:r>
      <w:r w:rsidRPr="00FE47DA">
        <w:rPr>
          <w:rFonts w:ascii="Times New Roman" w:hAnsi="Times New Roman"/>
          <w:sz w:val="24"/>
          <w:szCs w:val="24"/>
        </w:rPr>
        <w:t>）首次公开发行未上市的股票，采用估值技术确定公允价值。</w:t>
      </w:r>
    </w:p>
    <w:p w14:paraId="1008ABB0"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3</w:t>
      </w:r>
      <w:r w:rsidRPr="00FE47DA">
        <w:rPr>
          <w:rFonts w:ascii="Times New Roman" w:hAnsi="Times New Roman"/>
          <w:sz w:val="24"/>
          <w:szCs w:val="24"/>
        </w:rPr>
        <w:t>）对在交易所市场发行未上市或未挂牌转让的债券，对存在活跃市场的情况下，应以活跃市场上未经调整的报价作为计量日的公允价值进行估值；对于活跃市场报价未能代表计量日公允价值的情况下，应对市场报价进行调整，确认计量日的公允价值；对于不存在市场活动或市场活动很少的情况下，则采用估值技术确定公允价值。</w:t>
      </w:r>
    </w:p>
    <w:p w14:paraId="37AF497E"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w:t>
      </w:r>
      <w:r w:rsidRPr="00FE47DA">
        <w:rPr>
          <w:rFonts w:ascii="Times New Roman" w:hAnsi="Times New Roman"/>
          <w:sz w:val="24"/>
          <w:szCs w:val="24"/>
        </w:rPr>
        <w:t>4</w:t>
      </w:r>
      <w:r w:rsidRPr="00FE47DA">
        <w:rPr>
          <w:rFonts w:ascii="Times New Roman" w:hAnsi="Times New Roman"/>
          <w:sz w:val="24"/>
          <w:szCs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FE47DA">
        <w:rPr>
          <w:rFonts w:ascii="Times New Roman" w:hAnsi="Times New Roman"/>
          <w:sz w:val="24"/>
          <w:szCs w:val="24"/>
        </w:rPr>
        <w:t>券</w:t>
      </w:r>
      <w:proofErr w:type="gramEnd"/>
      <w:r w:rsidRPr="00FE47DA">
        <w:rPr>
          <w:rFonts w:ascii="Times New Roman" w:hAnsi="Times New Roman"/>
          <w:sz w:val="24"/>
          <w:szCs w:val="24"/>
        </w:rPr>
        <w:t>等流通受限股票，按监管机构或行业协会有关规定确定公允价值。</w:t>
      </w:r>
    </w:p>
    <w:p w14:paraId="5AA33659"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3</w:t>
      </w:r>
      <w:r w:rsidRPr="00FE47DA">
        <w:rPr>
          <w:rFonts w:ascii="Times New Roman" w:hAnsi="Times New Roman"/>
          <w:sz w:val="24"/>
          <w:szCs w:val="24"/>
        </w:rPr>
        <w:t>、对全国银行间市场上不含权的固定收益品种，按照第三方估值机构提供的相应品种当日的估值价格估值。对银行间市场上含权的固定收益品种，按照第三方估值机构提供的相应品种当日的唯一估值价格或推荐估值价格估值。对于含投资者回售权的固定收益品种，行使回售权的，在回售登记日至实际收款日期间建议选取第三方估值基准服务机构提供的相应品种的唯一估值价格或推荐估值价格，同时应充分考虑发行人的信用风险变化对公允价值的影响。回售登记期截止日（含当日）后未行使回售权的建议按照长待偿期所对应的价格进行估值。</w:t>
      </w:r>
    </w:p>
    <w:p w14:paraId="4268CA6D"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4</w:t>
      </w:r>
      <w:r w:rsidRPr="00FE47DA">
        <w:rPr>
          <w:rFonts w:ascii="Times New Roman" w:hAnsi="Times New Roman"/>
          <w:sz w:val="24"/>
          <w:szCs w:val="24"/>
        </w:rPr>
        <w:t>、对于发行人已破产、发行人未能按时足额偿付本金或利息，或者有其它可靠信息表明本金或利息无法按时足额偿付的债券投资品种，第三方估值基准服务机构可在提供推荐价格的同时提供价格区间作为公允价值的参考范围以及公允价值存在重大不确定性的相关提示。基金管理人在与基金托管人协商一致后，可采用价格区间中的数据作为该债券投资品种的公允价值。</w:t>
      </w:r>
    </w:p>
    <w:p w14:paraId="492A861F"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5</w:t>
      </w:r>
      <w:r w:rsidRPr="00FE47DA">
        <w:rPr>
          <w:rFonts w:ascii="Times New Roman" w:hAnsi="Times New Roman"/>
          <w:sz w:val="24"/>
          <w:szCs w:val="24"/>
        </w:rPr>
        <w:t>、存款的估值方法</w:t>
      </w:r>
    </w:p>
    <w:p w14:paraId="7F683AE2"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持有的银行定期存款或通知存款以本金列示，按协议或合同利率逐日确认利息收入。</w:t>
      </w:r>
    </w:p>
    <w:p w14:paraId="5CA7F852"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6</w:t>
      </w:r>
      <w:r w:rsidRPr="00FE47DA">
        <w:rPr>
          <w:rFonts w:ascii="Times New Roman" w:hAnsi="Times New Roman"/>
          <w:sz w:val="24"/>
          <w:szCs w:val="24"/>
        </w:rPr>
        <w:t>、股指期货合约的估值方法</w:t>
      </w:r>
    </w:p>
    <w:p w14:paraId="32EE4452"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lastRenderedPageBreak/>
        <w:t>股指期货合约，一般以估值当日结算价进行估值，估值当日无结算价的，且最近交易日后经济环境未发生重大变化的，采用最近交易日结算价估值。</w:t>
      </w:r>
    </w:p>
    <w:p w14:paraId="79BFD228"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7</w:t>
      </w:r>
      <w:r w:rsidRPr="00FE47DA">
        <w:rPr>
          <w:rFonts w:ascii="Times New Roman" w:hAnsi="Times New Roman"/>
          <w:sz w:val="24"/>
          <w:szCs w:val="24"/>
        </w:rPr>
        <w:t>、同一债券同时在两个或两个以上市场交易的，按债券所处的市场分别估值。</w:t>
      </w:r>
    </w:p>
    <w:p w14:paraId="4EEE369A"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8</w:t>
      </w:r>
      <w:r w:rsidRPr="00FE47DA">
        <w:rPr>
          <w:rFonts w:ascii="Times New Roman" w:hAnsi="Times New Roman"/>
          <w:sz w:val="24"/>
          <w:szCs w:val="24"/>
        </w:rPr>
        <w:t>、本基金可以采用第三方估值机构按照上述公允价值确定原则提供的估值价格数据。</w:t>
      </w:r>
    </w:p>
    <w:p w14:paraId="23B18558"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9</w:t>
      </w:r>
      <w:r w:rsidRPr="00FE47DA">
        <w:rPr>
          <w:rFonts w:ascii="Times New Roman" w:hAnsi="Times New Roman"/>
          <w:sz w:val="24"/>
          <w:szCs w:val="24"/>
        </w:rPr>
        <w:t>、基金参与融资和转融通证券出借业务的，按照相关法律法规和行业协会的相关规定进行估值。</w:t>
      </w:r>
    </w:p>
    <w:p w14:paraId="6C553AD0"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10</w:t>
      </w:r>
      <w:r w:rsidRPr="00FE47DA">
        <w:rPr>
          <w:rFonts w:ascii="Times New Roman" w:hAnsi="Times New Roman"/>
          <w:sz w:val="24"/>
          <w:szCs w:val="24"/>
        </w:rPr>
        <w:t>、本基金投资存托凭证的估值核算，依照境内上市交易的股票执行。</w:t>
      </w:r>
    </w:p>
    <w:p w14:paraId="1CBE2018"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11</w:t>
      </w:r>
      <w:r w:rsidRPr="00FE47DA">
        <w:rPr>
          <w:rFonts w:ascii="Times New Roman" w:hAnsi="Times New Roman"/>
          <w:sz w:val="24"/>
          <w:szCs w:val="24"/>
        </w:rPr>
        <w:t>、如有确凿证据表明按上述方法进行估值不能客观反映其公允价值的，基金管理人可根据具体情况与基金托管人商定后，按最能反映公允价值的价格估值。</w:t>
      </w:r>
    </w:p>
    <w:p w14:paraId="44E20D2A"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sz w:val="24"/>
          <w:szCs w:val="24"/>
        </w:rPr>
        <w:t>12</w:t>
      </w:r>
      <w:r w:rsidRPr="00FE47DA">
        <w:rPr>
          <w:rFonts w:ascii="Times New Roman" w:hAnsi="Times New Roman"/>
          <w:sz w:val="24"/>
          <w:szCs w:val="24"/>
        </w:rPr>
        <w:t>、相关法律法规以及监管部门有强制规定的，从其规定。如有新增事项，按国家最新规定估值。</w:t>
      </w:r>
    </w:p>
    <w:p w14:paraId="2F1FD2EF" w14:textId="77777777" w:rsidR="00FE47DA" w:rsidRPr="00FE47DA"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p>
    <w:p w14:paraId="3EB4047B" w14:textId="72EBEA05" w:rsidR="002123B7" w:rsidRDefault="00FE47DA" w:rsidP="00FE47DA">
      <w:pPr>
        <w:spacing w:line="360" w:lineRule="auto"/>
        <w:ind w:firstLineChars="200" w:firstLine="480"/>
        <w:jc w:val="both"/>
        <w:rPr>
          <w:rFonts w:ascii="Times New Roman" w:hAnsi="Times New Roman"/>
          <w:sz w:val="24"/>
          <w:szCs w:val="24"/>
        </w:rPr>
      </w:pPr>
      <w:r w:rsidRPr="00FE47DA">
        <w:rPr>
          <w:rFonts w:ascii="Times New Roman" w:hAnsi="Times New Roman" w:hint="eastAsia"/>
          <w:sz w:val="24"/>
          <w:szCs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意见的，基金管理人向基金托管人出具盖章的书面说明后，按照基金管理人对基金净值信息的计算结果对外予以公布。</w:t>
      </w:r>
    </w:p>
    <w:p w14:paraId="1B1CB38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3</w:t>
      </w:r>
      <w:r>
        <w:rPr>
          <w:rFonts w:ascii="Times New Roman" w:hAnsi="Times New Roman"/>
          <w:spacing w:val="-4"/>
          <w:sz w:val="24"/>
          <w:szCs w:val="24"/>
        </w:rPr>
        <w:t>、特殊情形的处理</w:t>
      </w:r>
    </w:p>
    <w:p w14:paraId="31ED8E97" w14:textId="77777777" w:rsidR="00FE47DA" w:rsidRPr="00FE47DA" w:rsidRDefault="00FE47DA" w:rsidP="00FE47DA">
      <w:pPr>
        <w:adjustRightInd w:val="0"/>
        <w:snapToGrid w:val="0"/>
        <w:spacing w:line="360" w:lineRule="auto"/>
        <w:ind w:firstLineChars="200" w:firstLine="480"/>
        <w:jc w:val="both"/>
        <w:rPr>
          <w:rStyle w:val="read"/>
          <w:rFonts w:ascii="Times New Roman" w:hAnsi="Times New Roman"/>
          <w:color w:val="000000"/>
          <w:sz w:val="24"/>
          <w:szCs w:val="24"/>
        </w:rPr>
      </w:pPr>
      <w:r w:rsidRPr="00FE47DA">
        <w:rPr>
          <w:rStyle w:val="read"/>
          <w:rFonts w:ascii="Times New Roman" w:hAnsi="Times New Roman"/>
          <w:color w:val="000000"/>
          <w:sz w:val="24"/>
          <w:szCs w:val="24"/>
        </w:rPr>
        <w:t>1</w:t>
      </w:r>
      <w:r w:rsidRPr="00FE47DA">
        <w:rPr>
          <w:rStyle w:val="read"/>
          <w:rFonts w:ascii="Times New Roman" w:hAnsi="Times New Roman"/>
          <w:color w:val="000000"/>
          <w:sz w:val="24"/>
          <w:szCs w:val="24"/>
        </w:rPr>
        <w:t>、基金管理人或基金托管人按估值方法的第</w:t>
      </w:r>
      <w:r w:rsidRPr="00FE47DA">
        <w:rPr>
          <w:rStyle w:val="read"/>
          <w:rFonts w:ascii="Times New Roman" w:hAnsi="Times New Roman"/>
          <w:color w:val="000000"/>
          <w:sz w:val="24"/>
          <w:szCs w:val="24"/>
        </w:rPr>
        <w:t>11</w:t>
      </w:r>
      <w:r w:rsidRPr="00FE47DA">
        <w:rPr>
          <w:rStyle w:val="read"/>
          <w:rFonts w:ascii="Times New Roman" w:hAnsi="Times New Roman"/>
          <w:color w:val="000000"/>
          <w:sz w:val="24"/>
          <w:szCs w:val="24"/>
        </w:rPr>
        <w:t>项进行估值时，所造成的误差不作为基金资产估值错误处理。</w:t>
      </w:r>
    </w:p>
    <w:p w14:paraId="372041DF" w14:textId="01840B14" w:rsidR="002123B7" w:rsidRDefault="00FE47DA" w:rsidP="00FE47DA">
      <w:pPr>
        <w:adjustRightInd w:val="0"/>
        <w:snapToGrid w:val="0"/>
        <w:spacing w:line="360" w:lineRule="auto"/>
        <w:ind w:firstLineChars="200" w:firstLine="480"/>
        <w:jc w:val="both"/>
        <w:rPr>
          <w:rFonts w:ascii="Times New Roman" w:hAnsi="Times New Roman"/>
          <w:spacing w:val="-4"/>
          <w:sz w:val="24"/>
          <w:szCs w:val="24"/>
        </w:rPr>
      </w:pPr>
      <w:r w:rsidRPr="00FE47DA">
        <w:rPr>
          <w:rStyle w:val="read"/>
          <w:rFonts w:ascii="Times New Roman" w:hAnsi="Times New Roman"/>
          <w:color w:val="000000"/>
          <w:sz w:val="24"/>
          <w:szCs w:val="24"/>
        </w:rPr>
        <w:t>2</w:t>
      </w:r>
      <w:r w:rsidRPr="00FE47DA">
        <w:rPr>
          <w:rStyle w:val="read"/>
          <w:rFonts w:ascii="Times New Roman" w:hAnsi="Times New Roman"/>
          <w:color w:val="000000"/>
          <w:sz w:val="24"/>
          <w:szCs w:val="24"/>
        </w:rPr>
        <w:t>、由于不可抗力原因，或证券</w:t>
      </w:r>
      <w:r w:rsidRPr="00FE47DA">
        <w:rPr>
          <w:rStyle w:val="read"/>
          <w:rFonts w:ascii="Times New Roman" w:hAnsi="Times New Roman"/>
          <w:color w:val="000000"/>
          <w:sz w:val="24"/>
          <w:szCs w:val="24"/>
        </w:rPr>
        <w:t>/</w:t>
      </w:r>
      <w:r w:rsidRPr="00FE47DA">
        <w:rPr>
          <w:rStyle w:val="read"/>
          <w:rFonts w:ascii="Times New Roman" w:hAnsi="Times New Roman"/>
          <w:color w:val="000000"/>
          <w:sz w:val="24"/>
          <w:szCs w:val="24"/>
        </w:rPr>
        <w:t>期货交易所或登记结算公司等机构发送的数据错误等原因，基金管理人和基金托管人虽然已经采取必要、适当、合理的措施进行检查，但是未能发现该错误的，由此造成的基金资产估值错误，基金管理人和基金托管人免除赔偿责任，但基金管理人和基金托管人应当积极采取必要的措施消除或减轻由此造成的影响。</w:t>
      </w:r>
    </w:p>
    <w:p w14:paraId="6B8BDD34"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（三）基金份额净值错误的处理方式</w:t>
      </w:r>
    </w:p>
    <w:p w14:paraId="6FB201E2" w14:textId="77777777" w:rsidR="00296407" w:rsidRPr="00296407" w:rsidRDefault="00296407" w:rsidP="00296407">
      <w:pPr>
        <w:adjustRightInd w:val="0"/>
        <w:snapToGrid w:val="0"/>
        <w:spacing w:line="360" w:lineRule="auto"/>
        <w:ind w:firstLineChars="200" w:firstLine="480"/>
        <w:jc w:val="both"/>
        <w:rPr>
          <w:rFonts w:ascii="Times New Roman" w:hAnsi="Times New Roman"/>
          <w:bCs/>
          <w:sz w:val="24"/>
        </w:rPr>
      </w:pPr>
      <w:r w:rsidRPr="00296407">
        <w:rPr>
          <w:rFonts w:ascii="Times New Roman" w:hAnsi="Times New Roman"/>
          <w:bCs/>
          <w:sz w:val="24"/>
        </w:rPr>
        <w:t>1.</w:t>
      </w:r>
      <w:r w:rsidRPr="00296407">
        <w:rPr>
          <w:rFonts w:ascii="Times New Roman" w:hAnsi="Times New Roman"/>
          <w:bCs/>
          <w:sz w:val="24"/>
        </w:rPr>
        <w:t>当基金份额净值小数点后</w:t>
      </w:r>
      <w:r w:rsidRPr="00296407">
        <w:rPr>
          <w:rFonts w:ascii="Times New Roman" w:hAnsi="Times New Roman"/>
          <w:bCs/>
          <w:sz w:val="24"/>
        </w:rPr>
        <w:t>4</w:t>
      </w:r>
      <w:r w:rsidRPr="00296407">
        <w:rPr>
          <w:rFonts w:ascii="Times New Roman" w:hAnsi="Times New Roman"/>
          <w:bCs/>
          <w:sz w:val="24"/>
        </w:rPr>
        <w:t>位以内</w:t>
      </w:r>
      <w:r w:rsidRPr="00296407">
        <w:rPr>
          <w:rFonts w:ascii="Times New Roman" w:hAnsi="Times New Roman"/>
          <w:bCs/>
          <w:sz w:val="24"/>
        </w:rPr>
        <w:t>(</w:t>
      </w:r>
      <w:r w:rsidRPr="00296407">
        <w:rPr>
          <w:rFonts w:ascii="Times New Roman" w:hAnsi="Times New Roman"/>
          <w:bCs/>
          <w:sz w:val="24"/>
        </w:rPr>
        <w:t>含第</w:t>
      </w:r>
      <w:r w:rsidRPr="00296407">
        <w:rPr>
          <w:rFonts w:ascii="Times New Roman" w:hAnsi="Times New Roman"/>
          <w:bCs/>
          <w:sz w:val="24"/>
        </w:rPr>
        <w:t>4</w:t>
      </w:r>
      <w:r w:rsidRPr="00296407">
        <w:rPr>
          <w:rFonts w:ascii="Times New Roman" w:hAnsi="Times New Roman"/>
          <w:bCs/>
          <w:sz w:val="24"/>
        </w:rPr>
        <w:t>位</w:t>
      </w:r>
      <w:r w:rsidRPr="00296407">
        <w:rPr>
          <w:rFonts w:ascii="Times New Roman" w:hAnsi="Times New Roman"/>
          <w:bCs/>
          <w:sz w:val="24"/>
        </w:rPr>
        <w:t>)</w:t>
      </w:r>
      <w:r w:rsidRPr="00296407">
        <w:rPr>
          <w:rFonts w:ascii="Times New Roman" w:hAnsi="Times New Roman"/>
          <w:bCs/>
          <w:sz w:val="24"/>
        </w:rPr>
        <w:t>发生差错时，视为基金份额净值</w:t>
      </w:r>
      <w:r w:rsidRPr="00296407">
        <w:rPr>
          <w:rFonts w:ascii="Times New Roman" w:hAnsi="Times New Roman"/>
          <w:bCs/>
          <w:sz w:val="24"/>
        </w:rPr>
        <w:lastRenderedPageBreak/>
        <w:t>错误；基金份额净值出现错误时，基金管理人应当立即予以纠正，通报基金托管人，并采取合理的措施防止损失进一步扩大；错误偏差达到基金份额净值的</w:t>
      </w:r>
      <w:r w:rsidRPr="00296407">
        <w:rPr>
          <w:rFonts w:ascii="Times New Roman" w:hAnsi="Times New Roman"/>
          <w:bCs/>
          <w:sz w:val="24"/>
        </w:rPr>
        <w:t>0.25%</w:t>
      </w:r>
      <w:r w:rsidRPr="00296407">
        <w:rPr>
          <w:rFonts w:ascii="Times New Roman" w:hAnsi="Times New Roman"/>
          <w:bCs/>
          <w:sz w:val="24"/>
        </w:rPr>
        <w:t>时，基金管理人应当通报基金托管人并报中国证监会备案；错误偏差达到基金份额净值的</w:t>
      </w:r>
      <w:r w:rsidRPr="00296407">
        <w:rPr>
          <w:rFonts w:ascii="Times New Roman" w:hAnsi="Times New Roman"/>
          <w:bCs/>
          <w:sz w:val="24"/>
        </w:rPr>
        <w:t>0.5%</w:t>
      </w:r>
      <w:r w:rsidRPr="00296407">
        <w:rPr>
          <w:rFonts w:ascii="Times New Roman" w:hAnsi="Times New Roman"/>
          <w:bCs/>
          <w:sz w:val="24"/>
        </w:rPr>
        <w:t>时，基金管理人应当公告，并报中国证监会备案；当发生净值计算错误时，由基金管理人负责处理，由此给基金份额持有人和基金造成损失的，应由基金管理人先行赔付，基金管理人按差错情形，有权向其他当事人追偿。</w:t>
      </w:r>
    </w:p>
    <w:p w14:paraId="1AFF2DD2" w14:textId="77777777" w:rsidR="00296407" w:rsidRPr="00296407" w:rsidRDefault="00296407" w:rsidP="00296407">
      <w:pPr>
        <w:adjustRightInd w:val="0"/>
        <w:snapToGrid w:val="0"/>
        <w:spacing w:line="360" w:lineRule="auto"/>
        <w:ind w:firstLineChars="200" w:firstLine="480"/>
        <w:jc w:val="both"/>
        <w:rPr>
          <w:rFonts w:ascii="Times New Roman" w:hAnsi="Times New Roman"/>
          <w:bCs/>
          <w:sz w:val="24"/>
        </w:rPr>
      </w:pPr>
      <w:r w:rsidRPr="00296407">
        <w:rPr>
          <w:rFonts w:ascii="Times New Roman" w:hAnsi="Times New Roman"/>
          <w:bCs/>
          <w:sz w:val="24"/>
        </w:rPr>
        <w:t>2.</w:t>
      </w:r>
      <w:r w:rsidRPr="00296407">
        <w:rPr>
          <w:rFonts w:ascii="Times New Roman" w:hAnsi="Times New Roman"/>
          <w:bCs/>
          <w:sz w:val="24"/>
        </w:rPr>
        <w:t>当基金份额净值计算差错给基金和基金份额持有人造成损失需要进行赔偿时，基金管理人和基金托管人根据实际情况界定双方承担的责任，经确认后按以下条款进行赔偿：</w:t>
      </w:r>
    </w:p>
    <w:p w14:paraId="4A8D885C" w14:textId="77777777" w:rsidR="00296407" w:rsidRPr="00296407" w:rsidRDefault="00296407" w:rsidP="00296407">
      <w:pPr>
        <w:adjustRightInd w:val="0"/>
        <w:snapToGrid w:val="0"/>
        <w:spacing w:line="360" w:lineRule="auto"/>
        <w:ind w:firstLineChars="200" w:firstLine="480"/>
        <w:jc w:val="both"/>
        <w:rPr>
          <w:rFonts w:ascii="Times New Roman" w:hAnsi="Times New Roman"/>
          <w:bCs/>
          <w:sz w:val="24"/>
        </w:rPr>
      </w:pPr>
      <w:r w:rsidRPr="00296407">
        <w:rPr>
          <w:rFonts w:ascii="Times New Roman" w:hAnsi="Times New Roman"/>
          <w:bCs/>
          <w:sz w:val="24"/>
        </w:rPr>
        <w:t>(1)</w:t>
      </w:r>
      <w:r w:rsidRPr="00296407">
        <w:rPr>
          <w:rFonts w:ascii="Times New Roman" w:hAnsi="Times New Roman"/>
          <w:bCs/>
          <w:sz w:val="24"/>
        </w:rPr>
        <w:t>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14:paraId="32B51EAB" w14:textId="77777777" w:rsidR="00296407" w:rsidRPr="00296407" w:rsidRDefault="00296407" w:rsidP="00296407">
      <w:pPr>
        <w:adjustRightInd w:val="0"/>
        <w:snapToGrid w:val="0"/>
        <w:spacing w:line="360" w:lineRule="auto"/>
        <w:ind w:firstLineChars="200" w:firstLine="480"/>
        <w:jc w:val="both"/>
        <w:rPr>
          <w:rFonts w:ascii="Times New Roman" w:hAnsi="Times New Roman"/>
          <w:bCs/>
          <w:sz w:val="24"/>
        </w:rPr>
      </w:pPr>
      <w:r w:rsidRPr="00296407">
        <w:rPr>
          <w:rFonts w:ascii="Times New Roman" w:hAnsi="Times New Roman"/>
          <w:bCs/>
          <w:sz w:val="24"/>
        </w:rPr>
        <w:t>(2)</w:t>
      </w:r>
      <w:proofErr w:type="gramStart"/>
      <w:r w:rsidRPr="00296407">
        <w:rPr>
          <w:rFonts w:ascii="Times New Roman" w:hAnsi="Times New Roman"/>
          <w:bCs/>
          <w:sz w:val="24"/>
        </w:rPr>
        <w:t>若基金</w:t>
      </w:r>
      <w:proofErr w:type="gramEnd"/>
      <w:r w:rsidRPr="00296407">
        <w:rPr>
          <w:rFonts w:ascii="Times New Roman" w:hAnsi="Times New Roman"/>
          <w:bCs/>
          <w:sz w:val="24"/>
        </w:rPr>
        <w:t>管理人计算的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的比例各自承担相应的责任</w:t>
      </w:r>
      <w:r w:rsidRPr="00296407">
        <w:rPr>
          <w:rFonts w:ascii="Times New Roman" w:hAnsi="Times New Roman"/>
          <w:bCs/>
          <w:sz w:val="24"/>
        </w:rPr>
        <w:t xml:space="preserve"> </w:t>
      </w:r>
      <w:r w:rsidRPr="00296407">
        <w:rPr>
          <w:rFonts w:ascii="Times New Roman" w:hAnsi="Times New Roman"/>
          <w:bCs/>
          <w:sz w:val="24"/>
        </w:rPr>
        <w:t>。</w:t>
      </w:r>
    </w:p>
    <w:p w14:paraId="69665984" w14:textId="77777777" w:rsidR="00296407" w:rsidRPr="00296407" w:rsidRDefault="00296407" w:rsidP="00296407">
      <w:pPr>
        <w:adjustRightInd w:val="0"/>
        <w:snapToGrid w:val="0"/>
        <w:spacing w:line="360" w:lineRule="auto"/>
        <w:ind w:firstLineChars="200" w:firstLine="480"/>
        <w:jc w:val="both"/>
        <w:rPr>
          <w:rFonts w:ascii="Times New Roman" w:hAnsi="Times New Roman"/>
          <w:bCs/>
          <w:sz w:val="24"/>
        </w:rPr>
      </w:pPr>
      <w:r w:rsidRPr="00296407">
        <w:rPr>
          <w:rFonts w:ascii="Times New Roman" w:hAnsi="Times New Roman"/>
          <w:bCs/>
          <w:sz w:val="24"/>
        </w:rPr>
        <w:t>(3)</w:t>
      </w:r>
      <w:r w:rsidRPr="00296407">
        <w:rPr>
          <w:rFonts w:ascii="Times New Roman" w:hAnsi="Times New Roman"/>
          <w:bCs/>
          <w:sz w:val="24"/>
        </w:rPr>
        <w:t>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14:paraId="06F0F06E" w14:textId="05238172" w:rsidR="002123B7" w:rsidRPr="00C70476" w:rsidRDefault="00296407" w:rsidP="00C70476">
      <w:pPr>
        <w:adjustRightInd w:val="0"/>
        <w:snapToGrid w:val="0"/>
        <w:spacing w:line="360" w:lineRule="auto"/>
        <w:ind w:firstLineChars="200" w:firstLine="480"/>
        <w:jc w:val="both"/>
        <w:rPr>
          <w:rFonts w:ascii="Times New Roman" w:hAnsi="Times New Roman"/>
          <w:bCs/>
          <w:sz w:val="24"/>
        </w:rPr>
      </w:pPr>
      <w:r w:rsidRPr="00296407">
        <w:rPr>
          <w:rFonts w:ascii="Times New Roman" w:hAnsi="Times New Roman"/>
          <w:bCs/>
          <w:sz w:val="24"/>
        </w:rPr>
        <w:t>(4)</w:t>
      </w:r>
      <w:r w:rsidRPr="00296407">
        <w:rPr>
          <w:rFonts w:ascii="Times New Roman" w:hAnsi="Times New Roman"/>
          <w:bCs/>
          <w:sz w:val="24"/>
        </w:rPr>
        <w:t>由于基金管理人提供的信息错误（包括但不限于基金申购或赎回金额等），进而导致基金份额净值计算错误而引起的基金份额持有人和基金财产的损失，由基金管理人负责赔付。</w:t>
      </w:r>
    </w:p>
    <w:p w14:paraId="644459F7" w14:textId="77777777" w:rsidR="0069626C" w:rsidRPr="00C70476" w:rsidRDefault="0069626C" w:rsidP="00C70476">
      <w:pPr>
        <w:adjustRightInd w:val="0"/>
        <w:snapToGrid w:val="0"/>
        <w:spacing w:line="360" w:lineRule="auto"/>
        <w:ind w:firstLineChars="200" w:firstLine="480"/>
        <w:jc w:val="both"/>
        <w:rPr>
          <w:rFonts w:ascii="Times New Roman" w:hAnsi="Times New Roman"/>
          <w:bCs/>
          <w:sz w:val="24"/>
        </w:rPr>
      </w:pPr>
      <w:bookmarkStart w:id="21" w:name="_Hlk179970000"/>
      <w:r w:rsidRPr="00C70476">
        <w:rPr>
          <w:rFonts w:ascii="Times New Roman" w:hAnsi="Times New Roman" w:hint="eastAsia"/>
          <w:bCs/>
          <w:sz w:val="24"/>
        </w:rPr>
        <w:t>3.</w:t>
      </w:r>
      <w:r w:rsidRPr="00C70476">
        <w:rPr>
          <w:rFonts w:ascii="Times New Roman" w:hAnsi="Times New Roman" w:hint="eastAsia"/>
          <w:bCs/>
          <w:sz w:val="24"/>
        </w:rPr>
        <w:t>由于证券交易所及登记结算公司等第三方机构发送的数据错误，有关会计制度变化或由于其他不可抗力原因，基金管理人和基金托管人虽然已经采取必要、适当、合理的措施进行检查，但是未能发现该错误而造成的基金份额净值计算错误，基金管理人、基金托管人免除赔偿责任。但基金管理人、基金托管人应积极采取必要的措施减轻或消除由此造成的影响。</w:t>
      </w:r>
    </w:p>
    <w:p w14:paraId="2D3C46CD" w14:textId="77777777" w:rsidR="0069626C" w:rsidRPr="00C70476" w:rsidRDefault="0069626C" w:rsidP="00C70476">
      <w:pPr>
        <w:adjustRightInd w:val="0"/>
        <w:snapToGrid w:val="0"/>
        <w:spacing w:line="360" w:lineRule="auto"/>
        <w:ind w:firstLineChars="200" w:firstLine="480"/>
        <w:jc w:val="both"/>
        <w:rPr>
          <w:rFonts w:ascii="Times New Roman" w:hAnsi="Times New Roman"/>
          <w:bCs/>
          <w:sz w:val="24"/>
        </w:rPr>
      </w:pPr>
      <w:r w:rsidRPr="00C70476">
        <w:rPr>
          <w:rFonts w:ascii="Times New Roman" w:hAnsi="Times New Roman" w:hint="eastAsia"/>
          <w:bCs/>
          <w:sz w:val="24"/>
        </w:rPr>
        <w:t>4.</w:t>
      </w:r>
      <w:r w:rsidRPr="00C70476">
        <w:rPr>
          <w:rFonts w:ascii="Times New Roman" w:hAnsi="Times New Roman" w:hint="eastAsia"/>
          <w:bCs/>
          <w:sz w:val="24"/>
        </w:rPr>
        <w:t>基金管理人和基金托管人由于各自技术系统设置而产生的净值计算尾差，以</w:t>
      </w:r>
      <w:r w:rsidRPr="00C70476">
        <w:rPr>
          <w:rFonts w:ascii="Times New Roman" w:hAnsi="Times New Roman" w:hint="eastAsia"/>
          <w:bCs/>
          <w:sz w:val="24"/>
        </w:rPr>
        <w:lastRenderedPageBreak/>
        <w:t>基金管理人计算结果为准。</w:t>
      </w:r>
    </w:p>
    <w:p w14:paraId="7C74F9CA" w14:textId="77777777" w:rsidR="0069626C" w:rsidRPr="00C70476" w:rsidRDefault="0069626C" w:rsidP="00C70476">
      <w:pPr>
        <w:adjustRightInd w:val="0"/>
        <w:snapToGrid w:val="0"/>
        <w:spacing w:line="360" w:lineRule="auto"/>
        <w:ind w:firstLineChars="200" w:firstLine="480"/>
        <w:jc w:val="both"/>
        <w:rPr>
          <w:rFonts w:ascii="Times New Roman" w:hAnsi="Times New Roman"/>
          <w:bCs/>
          <w:sz w:val="24"/>
        </w:rPr>
      </w:pPr>
      <w:r w:rsidRPr="00C70476">
        <w:rPr>
          <w:rFonts w:ascii="Times New Roman" w:hAnsi="Times New Roman" w:hint="eastAsia"/>
          <w:bCs/>
          <w:sz w:val="24"/>
        </w:rPr>
        <w:t>5.</w:t>
      </w:r>
      <w:r w:rsidRPr="00C70476">
        <w:rPr>
          <w:rFonts w:ascii="Times New Roman" w:hAnsi="Times New Roman" w:hint="eastAsia"/>
          <w:bCs/>
          <w:sz w:val="24"/>
        </w:rPr>
        <w:t>前述内容如法律法规或者监管部门另有规定的，从其规定。如果行业另有通行做法，双方当事人应本着平等和保护基金份额持有人利益的原则进行协商。</w:t>
      </w:r>
    </w:p>
    <w:p w14:paraId="2E9FB9FD" w14:textId="77777777" w:rsidR="002123B7" w:rsidRPr="00C70476" w:rsidRDefault="00D8519F">
      <w:pPr>
        <w:adjustRightInd w:val="0"/>
        <w:snapToGrid w:val="0"/>
        <w:spacing w:line="360" w:lineRule="auto"/>
        <w:ind w:firstLineChars="200" w:firstLine="480"/>
        <w:jc w:val="both"/>
        <w:rPr>
          <w:rFonts w:ascii="Times New Roman" w:hAnsi="Times New Roman"/>
          <w:bCs/>
          <w:sz w:val="24"/>
        </w:rPr>
      </w:pPr>
      <w:r w:rsidRPr="00C70476">
        <w:rPr>
          <w:rFonts w:ascii="Times New Roman" w:hAnsi="Times New Roman"/>
          <w:bCs/>
          <w:sz w:val="24"/>
        </w:rPr>
        <w:t>（四）暂停估值与公告基金份额净值的情形</w:t>
      </w:r>
    </w:p>
    <w:p w14:paraId="40AEDF46" w14:textId="77777777" w:rsidR="002123B7" w:rsidRPr="00C70476" w:rsidRDefault="00D8519F">
      <w:pPr>
        <w:adjustRightInd w:val="0"/>
        <w:snapToGrid w:val="0"/>
        <w:spacing w:line="360" w:lineRule="auto"/>
        <w:ind w:firstLineChars="200" w:firstLine="480"/>
        <w:jc w:val="both"/>
        <w:rPr>
          <w:rFonts w:ascii="Times New Roman" w:hAnsi="Times New Roman"/>
          <w:bCs/>
          <w:sz w:val="24"/>
        </w:rPr>
      </w:pPr>
      <w:r w:rsidRPr="00C70476">
        <w:rPr>
          <w:rFonts w:ascii="Times New Roman" w:hAnsi="Times New Roman"/>
          <w:bCs/>
          <w:sz w:val="24"/>
        </w:rPr>
        <w:t>1</w:t>
      </w:r>
      <w:r w:rsidRPr="00C70476">
        <w:rPr>
          <w:rFonts w:ascii="Times New Roman" w:hAnsi="Times New Roman" w:hint="eastAsia"/>
          <w:bCs/>
          <w:sz w:val="24"/>
        </w:rPr>
        <w:t>、</w:t>
      </w:r>
      <w:r w:rsidRPr="00C70476">
        <w:rPr>
          <w:rFonts w:ascii="Times New Roman" w:hAnsi="Times New Roman"/>
          <w:bCs/>
          <w:sz w:val="24"/>
        </w:rPr>
        <w:t>基金投资所涉及的证券</w:t>
      </w:r>
      <w:r w:rsidRPr="00C70476">
        <w:rPr>
          <w:rFonts w:ascii="Times New Roman" w:hAnsi="Times New Roman" w:hint="eastAsia"/>
          <w:bCs/>
          <w:sz w:val="24"/>
        </w:rPr>
        <w:t>/</w:t>
      </w:r>
      <w:r w:rsidRPr="00C70476">
        <w:rPr>
          <w:rFonts w:ascii="Times New Roman" w:hAnsi="Times New Roman" w:hint="eastAsia"/>
          <w:bCs/>
          <w:sz w:val="24"/>
        </w:rPr>
        <w:t>期货</w:t>
      </w:r>
      <w:r w:rsidRPr="00C70476">
        <w:rPr>
          <w:rFonts w:ascii="Times New Roman" w:hAnsi="Times New Roman"/>
          <w:bCs/>
          <w:sz w:val="24"/>
        </w:rPr>
        <w:t>交易</w:t>
      </w:r>
      <w:r w:rsidRPr="00C70476">
        <w:rPr>
          <w:rFonts w:ascii="Times New Roman" w:hAnsi="Times New Roman" w:hint="eastAsia"/>
          <w:bCs/>
          <w:sz w:val="24"/>
        </w:rPr>
        <w:t>市场</w:t>
      </w:r>
      <w:r w:rsidRPr="00C70476">
        <w:rPr>
          <w:rFonts w:ascii="Times New Roman" w:hAnsi="Times New Roman"/>
          <w:bCs/>
          <w:sz w:val="24"/>
        </w:rPr>
        <w:t>遇法定节假日或因其他原因暂停营业时；</w:t>
      </w:r>
    </w:p>
    <w:p w14:paraId="0FB85B65"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hint="eastAsia"/>
          <w:color w:val="000000"/>
          <w:sz w:val="24"/>
          <w:szCs w:val="24"/>
        </w:rPr>
        <w:t>、</w:t>
      </w:r>
      <w:r>
        <w:rPr>
          <w:rFonts w:ascii="Times New Roman" w:hAnsi="Times New Roman"/>
          <w:color w:val="000000"/>
          <w:sz w:val="24"/>
          <w:szCs w:val="24"/>
        </w:rPr>
        <w:t>因不可抗力或其他情形致使基金管理人、基金托管人无法准确评估基金资产价值时；</w:t>
      </w:r>
    </w:p>
    <w:p w14:paraId="2E96F8CD"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3</w:t>
      </w:r>
      <w:r>
        <w:rPr>
          <w:rFonts w:ascii="Times New Roman" w:hAnsi="Times New Roman" w:hint="eastAsia"/>
          <w:color w:val="000000"/>
          <w:sz w:val="24"/>
          <w:szCs w:val="24"/>
        </w:rPr>
        <w:t>、当前一估值日基金资产净值</w:t>
      </w:r>
      <w:r>
        <w:rPr>
          <w:rFonts w:ascii="Times New Roman" w:hAnsi="Times New Roman" w:hint="eastAsia"/>
          <w:color w:val="000000"/>
          <w:sz w:val="24"/>
          <w:szCs w:val="24"/>
        </w:rPr>
        <w:t>50%</w:t>
      </w:r>
      <w:r>
        <w:rPr>
          <w:rFonts w:ascii="Times New Roman" w:hAnsi="Times New Roman" w:hint="eastAsia"/>
          <w:color w:val="000000"/>
          <w:sz w:val="24"/>
          <w:szCs w:val="24"/>
        </w:rPr>
        <w:t>以上的资产出现无可参考的活跃市场价格且采用估值技术</w:t>
      </w:r>
      <w:proofErr w:type="gramStart"/>
      <w:r>
        <w:rPr>
          <w:rFonts w:ascii="Times New Roman" w:hAnsi="Times New Roman" w:hint="eastAsia"/>
          <w:color w:val="000000"/>
          <w:sz w:val="24"/>
          <w:szCs w:val="24"/>
        </w:rPr>
        <w:t>仍导致</w:t>
      </w:r>
      <w:proofErr w:type="gramEnd"/>
      <w:r>
        <w:rPr>
          <w:rFonts w:ascii="Times New Roman" w:hAnsi="Times New Roman" w:hint="eastAsia"/>
          <w:color w:val="000000"/>
          <w:sz w:val="24"/>
          <w:szCs w:val="24"/>
        </w:rPr>
        <w:t>公允价值存在重大不确定性时，经与基金托管人协商确认后，基金管理人应当暂停估值；</w:t>
      </w:r>
    </w:p>
    <w:p w14:paraId="70D39268"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4</w:t>
      </w:r>
      <w:r>
        <w:rPr>
          <w:rFonts w:ascii="Times New Roman" w:hAnsi="Times New Roman" w:hint="eastAsia"/>
          <w:color w:val="000000"/>
          <w:sz w:val="24"/>
          <w:szCs w:val="24"/>
        </w:rPr>
        <w:t>、</w:t>
      </w:r>
      <w:bookmarkStart w:id="22" w:name="_Hlk147784151"/>
      <w:r>
        <w:rPr>
          <w:rFonts w:ascii="Times New Roman" w:hAnsi="Times New Roman"/>
          <w:color w:val="000000"/>
          <w:sz w:val="24"/>
          <w:szCs w:val="24"/>
        </w:rPr>
        <w:t>法律法规、</w:t>
      </w:r>
      <w:bookmarkEnd w:id="22"/>
      <w:r>
        <w:rPr>
          <w:rFonts w:ascii="Times New Roman" w:hAnsi="Times New Roman"/>
          <w:color w:val="000000"/>
          <w:sz w:val="24"/>
          <w:szCs w:val="24"/>
        </w:rPr>
        <w:t>中国证监会和《基金合同》认定的其</w:t>
      </w:r>
      <w:r>
        <w:rPr>
          <w:rFonts w:ascii="Times New Roman" w:hAnsi="Times New Roman" w:hint="eastAsia"/>
          <w:color w:val="000000"/>
          <w:sz w:val="24"/>
          <w:szCs w:val="24"/>
        </w:rPr>
        <w:t>它</w:t>
      </w:r>
      <w:r>
        <w:rPr>
          <w:rFonts w:ascii="Times New Roman" w:hAnsi="Times New Roman"/>
          <w:color w:val="000000"/>
          <w:sz w:val="24"/>
          <w:szCs w:val="24"/>
        </w:rPr>
        <w:t>情形。</w:t>
      </w:r>
      <w:bookmarkEnd w:id="21"/>
    </w:p>
    <w:p w14:paraId="7FA499FC"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w:t>
      </w:r>
      <w:r>
        <w:rPr>
          <w:rFonts w:ascii="Times New Roman" w:hAnsi="Times New Roman" w:hint="eastAsia"/>
          <w:spacing w:val="-4"/>
          <w:sz w:val="24"/>
          <w:szCs w:val="24"/>
        </w:rPr>
        <w:t>五</w:t>
      </w:r>
      <w:r>
        <w:rPr>
          <w:rFonts w:ascii="Times New Roman" w:hAnsi="Times New Roman"/>
          <w:spacing w:val="-4"/>
          <w:sz w:val="24"/>
          <w:szCs w:val="24"/>
        </w:rPr>
        <w:t>）基金会计制度</w:t>
      </w:r>
    </w:p>
    <w:p w14:paraId="68B462A3"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按国家有关部门规定的会计制度执行。</w:t>
      </w:r>
    </w:p>
    <w:p w14:paraId="6B38FE6C"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w:t>
      </w:r>
      <w:r>
        <w:rPr>
          <w:rFonts w:ascii="Times New Roman" w:hAnsi="Times New Roman" w:hint="eastAsia"/>
          <w:spacing w:val="-4"/>
          <w:sz w:val="24"/>
          <w:szCs w:val="24"/>
        </w:rPr>
        <w:t>六</w:t>
      </w:r>
      <w:r>
        <w:rPr>
          <w:rFonts w:ascii="Times New Roman" w:hAnsi="Times New Roman"/>
          <w:spacing w:val="-4"/>
          <w:sz w:val="24"/>
          <w:szCs w:val="24"/>
        </w:rPr>
        <w:t>）基金账册的建立</w:t>
      </w:r>
    </w:p>
    <w:p w14:paraId="04857511"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基金管理人进行基金会计核算并编制基金财务会计报告。基金管理人独立地设置、记录和保管本基金的全套账册。</w:t>
      </w:r>
      <w:proofErr w:type="gramStart"/>
      <w:r>
        <w:rPr>
          <w:rFonts w:ascii="Times New Roman" w:hAnsi="Times New Roman"/>
          <w:spacing w:val="-4"/>
          <w:sz w:val="24"/>
          <w:szCs w:val="24"/>
        </w:rPr>
        <w:t>若基金</w:t>
      </w:r>
      <w:proofErr w:type="gramEnd"/>
      <w:r>
        <w:rPr>
          <w:rFonts w:ascii="Times New Roman" w:hAnsi="Times New Roman"/>
          <w:spacing w:val="-4"/>
          <w:sz w:val="24"/>
          <w:szCs w:val="24"/>
        </w:rPr>
        <w:t>管理人和基金托管人对会计处理方法存在分歧，应以基金管理人的处理方法为准。若当日核对不符，暂时无法查找到错账的原因而影响到基金净值的计算和公告的，以基金管理人的账册为准。</w:t>
      </w:r>
    </w:p>
    <w:p w14:paraId="0EE8BC2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w:t>
      </w:r>
      <w:r>
        <w:rPr>
          <w:rFonts w:ascii="Times New Roman" w:hAnsi="Times New Roman" w:hint="eastAsia"/>
          <w:spacing w:val="-4"/>
          <w:sz w:val="24"/>
          <w:szCs w:val="24"/>
        </w:rPr>
        <w:t>七</w:t>
      </w:r>
      <w:r>
        <w:rPr>
          <w:rFonts w:ascii="Times New Roman" w:hAnsi="Times New Roman"/>
          <w:spacing w:val="-4"/>
          <w:sz w:val="24"/>
          <w:szCs w:val="24"/>
        </w:rPr>
        <w:t>）基金财务报表与报告的编制和复核</w:t>
      </w:r>
    </w:p>
    <w:p w14:paraId="1187201A" w14:textId="77777777" w:rsidR="0069626C" w:rsidRPr="00C70476" w:rsidRDefault="004A3AC5" w:rsidP="00C70476">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1</w:t>
      </w:r>
      <w:r>
        <w:rPr>
          <w:rFonts w:ascii="Times New Roman" w:hAnsi="Times New Roman" w:hint="eastAsia"/>
          <w:spacing w:val="-4"/>
          <w:sz w:val="24"/>
          <w:szCs w:val="24"/>
        </w:rPr>
        <w:t>、</w:t>
      </w:r>
      <w:r w:rsidR="0069626C" w:rsidRPr="00C70476">
        <w:rPr>
          <w:rFonts w:ascii="Times New Roman" w:hAnsi="Times New Roman" w:hint="eastAsia"/>
          <w:spacing w:val="-4"/>
          <w:sz w:val="24"/>
          <w:szCs w:val="24"/>
        </w:rPr>
        <w:t>财务报表的编制</w:t>
      </w:r>
    </w:p>
    <w:p w14:paraId="07E7498F" w14:textId="77777777" w:rsidR="0069626C" w:rsidRPr="00C70476" w:rsidRDefault="0069626C" w:rsidP="00C70476">
      <w:pPr>
        <w:spacing w:line="360" w:lineRule="auto"/>
        <w:ind w:firstLineChars="200" w:firstLine="472"/>
        <w:jc w:val="both"/>
        <w:rPr>
          <w:rFonts w:ascii="Times New Roman" w:hAnsi="Times New Roman"/>
          <w:spacing w:val="-4"/>
          <w:sz w:val="24"/>
          <w:szCs w:val="24"/>
        </w:rPr>
      </w:pPr>
      <w:r w:rsidRPr="00C70476">
        <w:rPr>
          <w:rFonts w:ascii="Times New Roman" w:hAnsi="Times New Roman" w:hint="eastAsia"/>
          <w:spacing w:val="-4"/>
          <w:sz w:val="24"/>
          <w:szCs w:val="24"/>
        </w:rPr>
        <w:t>基金财务报表由基金管理人编制，基金托管人复核。</w:t>
      </w:r>
    </w:p>
    <w:p w14:paraId="4EFDAAB2" w14:textId="77777777" w:rsidR="0069626C" w:rsidRPr="00C70476" w:rsidRDefault="0069626C" w:rsidP="00C70476">
      <w:pPr>
        <w:spacing w:line="360" w:lineRule="auto"/>
        <w:ind w:firstLineChars="200" w:firstLine="472"/>
        <w:jc w:val="both"/>
        <w:rPr>
          <w:rFonts w:ascii="Times New Roman" w:hAnsi="Times New Roman"/>
          <w:spacing w:val="-4"/>
          <w:sz w:val="24"/>
          <w:szCs w:val="24"/>
        </w:rPr>
      </w:pPr>
      <w:r w:rsidRPr="00C70476">
        <w:rPr>
          <w:rFonts w:ascii="Times New Roman" w:hAnsi="Times New Roman" w:hint="eastAsia"/>
          <w:spacing w:val="-4"/>
          <w:sz w:val="24"/>
          <w:szCs w:val="24"/>
        </w:rPr>
        <w:t>2.</w:t>
      </w:r>
      <w:r w:rsidRPr="00C70476">
        <w:rPr>
          <w:rFonts w:ascii="Times New Roman" w:hAnsi="Times New Roman" w:hint="eastAsia"/>
          <w:spacing w:val="-4"/>
          <w:sz w:val="24"/>
          <w:szCs w:val="24"/>
        </w:rPr>
        <w:t>报表复核</w:t>
      </w:r>
    </w:p>
    <w:p w14:paraId="748A4DE5" w14:textId="77777777" w:rsidR="0069626C" w:rsidRPr="00C70476" w:rsidRDefault="0069626C" w:rsidP="00C70476">
      <w:pPr>
        <w:spacing w:line="360" w:lineRule="auto"/>
        <w:ind w:firstLineChars="200" w:firstLine="472"/>
        <w:jc w:val="both"/>
        <w:rPr>
          <w:rFonts w:ascii="Times New Roman" w:hAnsi="Times New Roman"/>
          <w:spacing w:val="-4"/>
          <w:sz w:val="24"/>
          <w:szCs w:val="24"/>
        </w:rPr>
      </w:pPr>
      <w:r w:rsidRPr="00C70476">
        <w:rPr>
          <w:rFonts w:ascii="Times New Roman" w:hAnsi="Times New Roman" w:hint="eastAsia"/>
          <w:spacing w:val="-4"/>
          <w:sz w:val="24"/>
          <w:szCs w:val="24"/>
        </w:rPr>
        <w:t>基金托管人在收到基金管理人编制的基金财务报表后，进行独立的复核。核对不符时，应及时通知基金管理人共同查出原因，进行调整，直至双方数据完全一致。</w:t>
      </w:r>
    </w:p>
    <w:p w14:paraId="78DB4538" w14:textId="77777777" w:rsidR="0069626C" w:rsidRPr="00C70476" w:rsidRDefault="0069626C" w:rsidP="00C70476">
      <w:pPr>
        <w:spacing w:line="360" w:lineRule="auto"/>
        <w:ind w:firstLineChars="200" w:firstLine="472"/>
        <w:jc w:val="both"/>
        <w:rPr>
          <w:rFonts w:ascii="Times New Roman" w:hAnsi="Times New Roman"/>
          <w:spacing w:val="-4"/>
          <w:sz w:val="24"/>
          <w:szCs w:val="24"/>
        </w:rPr>
      </w:pPr>
      <w:r w:rsidRPr="00C70476">
        <w:rPr>
          <w:rFonts w:ascii="Times New Roman" w:hAnsi="Times New Roman" w:hint="eastAsia"/>
          <w:spacing w:val="-4"/>
          <w:sz w:val="24"/>
          <w:szCs w:val="24"/>
        </w:rPr>
        <w:t>3.</w:t>
      </w:r>
      <w:r w:rsidRPr="00C70476">
        <w:rPr>
          <w:rFonts w:ascii="Times New Roman" w:hAnsi="Times New Roman" w:hint="eastAsia"/>
          <w:spacing w:val="-4"/>
          <w:sz w:val="24"/>
          <w:szCs w:val="24"/>
        </w:rPr>
        <w:t>财务报表的编制与复核时间安排</w:t>
      </w:r>
    </w:p>
    <w:p w14:paraId="0EFB7F71" w14:textId="77777777" w:rsidR="004A3AC5" w:rsidRPr="004A3AC5" w:rsidRDefault="0069626C" w:rsidP="004A3AC5">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w:t>
      </w:r>
      <w:r>
        <w:rPr>
          <w:rFonts w:ascii="Times New Roman" w:hAnsi="Times New Roman" w:hint="eastAsia"/>
          <w:spacing w:val="-4"/>
          <w:sz w:val="24"/>
          <w:szCs w:val="24"/>
        </w:rPr>
        <w:t>1</w:t>
      </w:r>
      <w:r>
        <w:rPr>
          <w:rFonts w:ascii="Times New Roman" w:hAnsi="Times New Roman" w:hint="eastAsia"/>
          <w:spacing w:val="-4"/>
          <w:sz w:val="24"/>
          <w:szCs w:val="24"/>
        </w:rPr>
        <w:t>）</w:t>
      </w:r>
      <w:r w:rsidR="004A3AC5" w:rsidRPr="004A3AC5">
        <w:rPr>
          <w:rFonts w:ascii="Times New Roman" w:hAnsi="Times New Roman"/>
          <w:spacing w:val="-4"/>
          <w:sz w:val="24"/>
          <w:szCs w:val="24"/>
        </w:rPr>
        <w:t>报表的编制</w:t>
      </w:r>
    </w:p>
    <w:p w14:paraId="6154BC89" w14:textId="77777777" w:rsidR="004A3AC5" w:rsidRPr="004A3AC5" w:rsidRDefault="004A3AC5" w:rsidP="004A3AC5">
      <w:pPr>
        <w:spacing w:line="360" w:lineRule="auto"/>
        <w:ind w:firstLineChars="200" w:firstLine="472"/>
        <w:jc w:val="both"/>
        <w:rPr>
          <w:rFonts w:ascii="Times New Roman" w:hAnsi="Times New Roman"/>
          <w:spacing w:val="-4"/>
          <w:sz w:val="24"/>
          <w:szCs w:val="24"/>
        </w:rPr>
      </w:pPr>
      <w:r w:rsidRPr="004A3AC5">
        <w:rPr>
          <w:rFonts w:ascii="Times New Roman" w:hAnsi="Times New Roman" w:hint="eastAsia"/>
          <w:spacing w:val="-4"/>
          <w:sz w:val="24"/>
          <w:szCs w:val="24"/>
        </w:rPr>
        <w:t>基金管理人应当在每月结束后</w:t>
      </w:r>
      <w:r w:rsidRPr="004A3AC5">
        <w:rPr>
          <w:rFonts w:ascii="Times New Roman" w:hAnsi="Times New Roman"/>
          <w:spacing w:val="-4"/>
          <w:sz w:val="24"/>
          <w:szCs w:val="24"/>
        </w:rPr>
        <w:t>5</w:t>
      </w:r>
      <w:r w:rsidRPr="004A3AC5">
        <w:rPr>
          <w:rFonts w:ascii="Times New Roman" w:hAnsi="Times New Roman"/>
          <w:spacing w:val="-4"/>
          <w:sz w:val="24"/>
          <w:szCs w:val="24"/>
        </w:rPr>
        <w:t>个工作日内完成月度报表的编制；在每个季度结束之日起</w:t>
      </w:r>
      <w:r w:rsidRPr="004A3AC5">
        <w:rPr>
          <w:rFonts w:ascii="Times New Roman" w:hAnsi="Times New Roman"/>
          <w:spacing w:val="-4"/>
          <w:sz w:val="24"/>
          <w:szCs w:val="24"/>
        </w:rPr>
        <w:t>15</w:t>
      </w:r>
      <w:r w:rsidRPr="004A3AC5">
        <w:rPr>
          <w:rFonts w:ascii="Times New Roman" w:hAnsi="Times New Roman"/>
          <w:spacing w:val="-4"/>
          <w:sz w:val="24"/>
          <w:szCs w:val="24"/>
        </w:rPr>
        <w:t>个工作日内完成基金季度报告的编制；在上半年结束之日起</w:t>
      </w:r>
      <w:r w:rsidRPr="004A3AC5">
        <w:rPr>
          <w:rFonts w:ascii="Times New Roman" w:hAnsi="Times New Roman"/>
          <w:spacing w:val="-4"/>
          <w:sz w:val="24"/>
          <w:szCs w:val="24"/>
        </w:rPr>
        <w:t>2</w:t>
      </w:r>
      <w:r w:rsidRPr="004A3AC5">
        <w:rPr>
          <w:rFonts w:ascii="Times New Roman" w:hAnsi="Times New Roman"/>
          <w:spacing w:val="-4"/>
          <w:sz w:val="24"/>
          <w:szCs w:val="24"/>
        </w:rPr>
        <w:t>个月内完成基金中期报告的编制；在每年结束之日起</w:t>
      </w:r>
      <w:r w:rsidRPr="004A3AC5">
        <w:rPr>
          <w:rFonts w:ascii="Times New Roman" w:hAnsi="Times New Roman"/>
          <w:spacing w:val="-4"/>
          <w:sz w:val="24"/>
          <w:szCs w:val="24"/>
        </w:rPr>
        <w:t>3</w:t>
      </w:r>
      <w:r w:rsidRPr="004A3AC5">
        <w:rPr>
          <w:rFonts w:ascii="Times New Roman" w:hAnsi="Times New Roman"/>
          <w:spacing w:val="-4"/>
          <w:sz w:val="24"/>
          <w:szCs w:val="24"/>
        </w:rPr>
        <w:t>个月内完成基金年度报告的编制。基金年</w:t>
      </w:r>
      <w:r w:rsidRPr="004A3AC5">
        <w:rPr>
          <w:rFonts w:ascii="Times New Roman" w:hAnsi="Times New Roman"/>
          <w:spacing w:val="-4"/>
          <w:sz w:val="24"/>
          <w:szCs w:val="24"/>
        </w:rPr>
        <w:lastRenderedPageBreak/>
        <w:t>度报告的财务会计报告应当经过符合《证券法》规定的会计师事务所审计。《基金合同》生效不足两个月的，基金管理人可以不编制当期季度报告、中期报告或者年度报告。</w:t>
      </w:r>
    </w:p>
    <w:p w14:paraId="0AD1AD3D" w14:textId="77777777" w:rsidR="004A3AC5" w:rsidRPr="004A3AC5" w:rsidRDefault="0069626C" w:rsidP="004A3AC5">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w:t>
      </w:r>
      <w:r>
        <w:rPr>
          <w:rFonts w:ascii="Times New Roman" w:hAnsi="Times New Roman" w:hint="eastAsia"/>
          <w:spacing w:val="-4"/>
          <w:sz w:val="24"/>
          <w:szCs w:val="24"/>
        </w:rPr>
        <w:t>2</w:t>
      </w:r>
      <w:r>
        <w:rPr>
          <w:rFonts w:ascii="Times New Roman" w:hAnsi="Times New Roman" w:hint="eastAsia"/>
          <w:spacing w:val="-4"/>
          <w:sz w:val="24"/>
          <w:szCs w:val="24"/>
        </w:rPr>
        <w:t>）</w:t>
      </w:r>
      <w:r w:rsidR="004A3AC5" w:rsidRPr="004A3AC5">
        <w:rPr>
          <w:rFonts w:ascii="Times New Roman" w:hAnsi="Times New Roman"/>
          <w:spacing w:val="-4"/>
          <w:sz w:val="24"/>
          <w:szCs w:val="24"/>
        </w:rPr>
        <w:t>报表的复核</w:t>
      </w:r>
    </w:p>
    <w:p w14:paraId="28EFABFE" w14:textId="77777777" w:rsidR="004A3AC5" w:rsidRPr="004A3AC5" w:rsidRDefault="004A3AC5" w:rsidP="004A3AC5">
      <w:pPr>
        <w:spacing w:line="360" w:lineRule="auto"/>
        <w:ind w:firstLineChars="200" w:firstLine="472"/>
        <w:jc w:val="both"/>
        <w:rPr>
          <w:rFonts w:ascii="Times New Roman" w:hAnsi="Times New Roman"/>
          <w:spacing w:val="-4"/>
          <w:sz w:val="24"/>
          <w:szCs w:val="24"/>
        </w:rPr>
      </w:pPr>
      <w:r w:rsidRPr="004A3AC5">
        <w:rPr>
          <w:rFonts w:ascii="Times New Roman" w:hAnsi="Times New Roman" w:hint="eastAsia"/>
          <w:spacing w:val="-4"/>
          <w:sz w:val="24"/>
          <w:szCs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44682E96" w14:textId="46B9E8A7" w:rsidR="002123B7" w:rsidRDefault="004A3AC5">
      <w:pPr>
        <w:spacing w:line="360" w:lineRule="auto"/>
        <w:ind w:firstLineChars="200" w:firstLine="472"/>
        <w:jc w:val="both"/>
        <w:rPr>
          <w:rFonts w:ascii="Times New Roman" w:hAnsi="Times New Roman"/>
          <w:spacing w:val="-4"/>
          <w:sz w:val="24"/>
          <w:szCs w:val="24"/>
        </w:rPr>
      </w:pPr>
      <w:r w:rsidRPr="004A3AC5">
        <w:rPr>
          <w:rFonts w:ascii="Times New Roman" w:hAnsi="Times New Roman" w:hint="eastAsia"/>
          <w:spacing w:val="-4"/>
          <w:sz w:val="24"/>
          <w:szCs w:val="24"/>
        </w:rPr>
        <w:t>基金管理人应留足充分的时间，便于基金托管人复核相关报表及报告。如果基金管理人与基金托管人不能</w:t>
      </w:r>
      <w:proofErr w:type="gramStart"/>
      <w:r w:rsidRPr="004A3AC5">
        <w:rPr>
          <w:rFonts w:ascii="Times New Roman" w:hAnsi="Times New Roman" w:hint="eastAsia"/>
          <w:spacing w:val="-4"/>
          <w:sz w:val="24"/>
          <w:szCs w:val="24"/>
        </w:rPr>
        <w:t>于应当</w:t>
      </w:r>
      <w:proofErr w:type="gramEnd"/>
      <w:r w:rsidRPr="004A3AC5">
        <w:rPr>
          <w:rFonts w:ascii="Times New Roman" w:hAnsi="Times New Roman" w:hint="eastAsia"/>
          <w:spacing w:val="-4"/>
          <w:sz w:val="24"/>
          <w:szCs w:val="24"/>
        </w:rPr>
        <w:t>发布公告之日之前就相关报表达成一致，基金管理人按照其编制的报表对外发布公告，基金托管人有权就相关情况报中国证监会备案。</w:t>
      </w:r>
      <w:r w:rsidR="00D8519F">
        <w:rPr>
          <w:rFonts w:ascii="Times New Roman" w:hAnsi="Times New Roman"/>
          <w:spacing w:val="-4"/>
          <w:sz w:val="24"/>
          <w:szCs w:val="24"/>
        </w:rPr>
        <w:t>（</w:t>
      </w:r>
      <w:r w:rsidR="00D8519F">
        <w:rPr>
          <w:rFonts w:ascii="Times New Roman" w:hAnsi="Times New Roman" w:hint="eastAsia"/>
          <w:spacing w:val="-4"/>
          <w:sz w:val="24"/>
          <w:szCs w:val="24"/>
        </w:rPr>
        <w:t>八</w:t>
      </w:r>
      <w:r w:rsidR="00D8519F">
        <w:rPr>
          <w:rFonts w:ascii="Times New Roman" w:hAnsi="Times New Roman"/>
          <w:spacing w:val="-4"/>
          <w:sz w:val="24"/>
          <w:szCs w:val="24"/>
        </w:rPr>
        <w:t>）基金管理人应</w:t>
      </w:r>
      <w:r w:rsidRPr="004A3AC5">
        <w:rPr>
          <w:rFonts w:ascii="Times New Roman" w:hAnsi="Times New Roman" w:hint="eastAsia"/>
          <w:spacing w:val="-4"/>
          <w:sz w:val="24"/>
          <w:szCs w:val="24"/>
        </w:rPr>
        <w:t>在编制季度报告、中期报告或者年度报告之前及时</w:t>
      </w:r>
      <w:r w:rsidR="00D8519F">
        <w:rPr>
          <w:rFonts w:ascii="Times New Roman" w:hAnsi="Times New Roman"/>
          <w:spacing w:val="-4"/>
          <w:sz w:val="24"/>
          <w:szCs w:val="24"/>
        </w:rPr>
        <w:t>向基金托管人提供基金业绩比较基准的基础数据和编制结果。</w:t>
      </w:r>
    </w:p>
    <w:p w14:paraId="6BD0168B"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23" w:name="_Toc516502494"/>
      <w:bookmarkStart w:id="24" w:name="_Hlk179970627"/>
      <w:r>
        <w:rPr>
          <w:rFonts w:ascii="Times New Roman" w:eastAsia="宋体" w:hAnsi="Times New Roman" w:cs="Times New Roman"/>
          <w:bCs w:val="0"/>
          <w:color w:val="000000" w:themeColor="text1"/>
          <w:kern w:val="2"/>
          <w:lang w:val="en-US" w:bidi="ar-SA"/>
        </w:rPr>
        <w:t>九、基金收益分配</w:t>
      </w:r>
      <w:bookmarkEnd w:id="23"/>
    </w:p>
    <w:p w14:paraId="28FDBB7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基金收益分配是指按规定将基金的可供分配利润按基金份额进行比例分配。</w:t>
      </w:r>
    </w:p>
    <w:p w14:paraId="290DD6DE"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（一）基金收益分配的原则</w:t>
      </w:r>
    </w:p>
    <w:p w14:paraId="12F8C82F"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基金收益分配应遵循下列原则：</w:t>
      </w:r>
    </w:p>
    <w:p w14:paraId="6D247C20"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1</w:t>
      </w:r>
      <w:r>
        <w:rPr>
          <w:rFonts w:ascii="Times New Roman" w:hAnsi="Times New Roman"/>
          <w:spacing w:val="-4"/>
          <w:sz w:val="24"/>
          <w:szCs w:val="24"/>
        </w:rPr>
        <w:t>、每一基金份额享有同等分配权；</w:t>
      </w:r>
    </w:p>
    <w:p w14:paraId="2BBADBA6"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2</w:t>
      </w:r>
      <w:r>
        <w:rPr>
          <w:rFonts w:ascii="Times New Roman" w:hAnsi="Times New Roman"/>
          <w:spacing w:val="-4"/>
          <w:sz w:val="24"/>
          <w:szCs w:val="24"/>
        </w:rPr>
        <w:t>、本</w:t>
      </w:r>
      <w:proofErr w:type="gramStart"/>
      <w:r>
        <w:rPr>
          <w:rFonts w:ascii="Times New Roman" w:hAnsi="Times New Roman"/>
          <w:spacing w:val="-4"/>
          <w:sz w:val="24"/>
          <w:szCs w:val="24"/>
        </w:rPr>
        <w:t>基金基金</w:t>
      </w:r>
      <w:proofErr w:type="gramEnd"/>
      <w:r>
        <w:rPr>
          <w:rFonts w:ascii="Times New Roman" w:hAnsi="Times New Roman"/>
          <w:spacing w:val="-4"/>
          <w:sz w:val="24"/>
          <w:szCs w:val="24"/>
        </w:rPr>
        <w:t>份额的收益分配方式采用现金分红；</w:t>
      </w:r>
    </w:p>
    <w:p w14:paraId="160C588C" w14:textId="77777777" w:rsidR="00335AD6" w:rsidRPr="00984F58" w:rsidRDefault="00335AD6" w:rsidP="00335AD6">
      <w:pPr>
        <w:spacing w:line="360" w:lineRule="auto"/>
        <w:ind w:firstLineChars="225" w:firstLine="540"/>
        <w:rPr>
          <w:bCs/>
          <w:sz w:val="24"/>
        </w:rPr>
      </w:pPr>
      <w:r w:rsidRPr="00984F58">
        <w:rPr>
          <w:rFonts w:hint="eastAsia"/>
          <w:bCs/>
          <w:sz w:val="24"/>
        </w:rPr>
        <w:t>3、基金管理人可对基金相对业绩比较基准的超额收益率以及基金的可供分配利润进行评价，收益</w:t>
      </w:r>
      <w:proofErr w:type="gramStart"/>
      <w:r w:rsidRPr="00984F58">
        <w:rPr>
          <w:rFonts w:hint="eastAsia"/>
          <w:bCs/>
          <w:sz w:val="24"/>
        </w:rPr>
        <w:t>评价日核定</w:t>
      </w:r>
      <w:proofErr w:type="gramEnd"/>
      <w:r w:rsidRPr="00984F58">
        <w:rPr>
          <w:rFonts w:hint="eastAsia"/>
          <w:bCs/>
          <w:sz w:val="24"/>
        </w:rPr>
        <w:t>的基金净值增长率超过业绩比较基准同期增长率或者基金可供分配利润金额大于零时，基金管理人可进行收益分配；</w:t>
      </w:r>
    </w:p>
    <w:p w14:paraId="72ADC2BB" w14:textId="77777777" w:rsidR="00335AD6" w:rsidRDefault="00335AD6" w:rsidP="00335AD6">
      <w:pPr>
        <w:spacing w:line="360" w:lineRule="auto"/>
        <w:ind w:firstLineChars="225" w:firstLine="540"/>
        <w:rPr>
          <w:bCs/>
          <w:sz w:val="24"/>
        </w:rPr>
      </w:pPr>
      <w:r w:rsidRPr="00984F58">
        <w:rPr>
          <w:rFonts w:hint="eastAsia"/>
          <w:bCs/>
          <w:sz w:val="24"/>
        </w:rPr>
        <w:t>4、当基金收益分配根据基金相对业绩比较基准的超额收益率决定时，基于本基金的特点，本基金收益分配无需以弥补亏损为前提，收益分配后基金份额净值有可能低于面值；当基金收益分配根据基金可供分配利润金额决定时，本基金收益分配后基金份额净值不能低于面值，即基金收益分配基准日的基金份额净值减去每单位基金份额收益分配金额后不能低于面值；</w:t>
      </w:r>
    </w:p>
    <w:p w14:paraId="40185E7E" w14:textId="71522503" w:rsidR="002123B7" w:rsidRDefault="00335AD6">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5</w:t>
      </w:r>
      <w:r w:rsidR="00D8519F">
        <w:rPr>
          <w:rFonts w:ascii="Times New Roman" w:hAnsi="Times New Roman"/>
          <w:spacing w:val="-4"/>
          <w:sz w:val="24"/>
          <w:szCs w:val="24"/>
        </w:rPr>
        <w:t>、若《基金合同》生效不满</w:t>
      </w:r>
      <w:r w:rsidR="00D8519F">
        <w:rPr>
          <w:rFonts w:ascii="Times New Roman" w:hAnsi="Times New Roman"/>
          <w:spacing w:val="-4"/>
          <w:sz w:val="24"/>
          <w:szCs w:val="24"/>
        </w:rPr>
        <w:t>3</w:t>
      </w:r>
      <w:r w:rsidR="00D8519F">
        <w:rPr>
          <w:rFonts w:ascii="Times New Roman" w:hAnsi="Times New Roman"/>
          <w:spacing w:val="-4"/>
          <w:sz w:val="24"/>
          <w:szCs w:val="24"/>
        </w:rPr>
        <w:t>个月可不进行收益分配；</w:t>
      </w:r>
    </w:p>
    <w:p w14:paraId="01EDE0DE" w14:textId="7762DAC6" w:rsidR="002123B7" w:rsidRDefault="00335AD6">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6</w:t>
      </w:r>
      <w:r w:rsidR="00D8519F">
        <w:rPr>
          <w:rFonts w:ascii="Times New Roman" w:hAnsi="Times New Roman"/>
          <w:spacing w:val="-4"/>
          <w:sz w:val="24"/>
          <w:szCs w:val="24"/>
        </w:rPr>
        <w:t>、法律法规或监管机关另有规定的，从其规定。证券交易所或基金登记机构对收益分配另有规定的，从其规定。</w:t>
      </w:r>
    </w:p>
    <w:p w14:paraId="1DD85701" w14:textId="0974262F"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lastRenderedPageBreak/>
        <w:t>在不违反法律法规且对基金份额持有人利益无实质性不利影响的前提下，基金管理人</w:t>
      </w:r>
      <w:r w:rsidR="00410EEE">
        <w:rPr>
          <w:rFonts w:ascii="Times New Roman" w:hAnsi="Times New Roman" w:hint="eastAsia"/>
          <w:spacing w:val="-4"/>
          <w:sz w:val="24"/>
          <w:szCs w:val="24"/>
        </w:rPr>
        <w:t>在与基金托管人协商一致后，经履行适当程序，</w:t>
      </w:r>
      <w:r>
        <w:rPr>
          <w:rFonts w:ascii="Times New Roman" w:hAnsi="Times New Roman" w:hint="eastAsia"/>
          <w:spacing w:val="-4"/>
          <w:sz w:val="24"/>
          <w:szCs w:val="24"/>
        </w:rPr>
        <w:t>可对基金收益分配的原则和有关业务规则进行调整，并及时公告。</w:t>
      </w:r>
    </w:p>
    <w:p w14:paraId="0F8E773E"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（二）基金收益分配方案的确定、复核</w:t>
      </w:r>
      <w:r>
        <w:rPr>
          <w:rFonts w:ascii="Times New Roman" w:hAnsi="Times New Roman" w:hint="eastAsia"/>
          <w:spacing w:val="-4"/>
          <w:sz w:val="24"/>
          <w:szCs w:val="24"/>
        </w:rPr>
        <w:t>、</w:t>
      </w:r>
      <w:r>
        <w:rPr>
          <w:rFonts w:ascii="Times New Roman" w:hAnsi="Times New Roman"/>
          <w:spacing w:val="-4"/>
          <w:sz w:val="24"/>
          <w:szCs w:val="24"/>
        </w:rPr>
        <w:t>公告与实施</w:t>
      </w:r>
    </w:p>
    <w:p w14:paraId="678140A4"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1</w:t>
      </w:r>
      <w:r>
        <w:rPr>
          <w:rFonts w:ascii="Times New Roman" w:hAnsi="Times New Roman"/>
          <w:spacing w:val="-4"/>
          <w:sz w:val="24"/>
          <w:szCs w:val="24"/>
        </w:rPr>
        <w:t>、本基金收益分配方案由基金管理人拟定</w:t>
      </w:r>
      <w:r>
        <w:rPr>
          <w:rFonts w:ascii="Times New Roman" w:hAnsi="Times New Roman" w:hint="eastAsia"/>
          <w:spacing w:val="-4"/>
          <w:sz w:val="24"/>
          <w:szCs w:val="24"/>
        </w:rPr>
        <w:t>，并</w:t>
      </w:r>
      <w:r>
        <w:rPr>
          <w:rFonts w:ascii="Times New Roman" w:hAnsi="Times New Roman"/>
          <w:spacing w:val="-4"/>
          <w:sz w:val="24"/>
          <w:szCs w:val="24"/>
        </w:rPr>
        <w:t>由基金托管人</w:t>
      </w:r>
      <w:r>
        <w:rPr>
          <w:rFonts w:ascii="Times New Roman" w:hAnsi="Times New Roman" w:hint="eastAsia"/>
          <w:spacing w:val="-4"/>
          <w:sz w:val="24"/>
          <w:szCs w:val="24"/>
        </w:rPr>
        <w:t>复核</w:t>
      </w:r>
      <w:r>
        <w:rPr>
          <w:rFonts w:ascii="Times New Roman" w:hAnsi="Times New Roman"/>
          <w:spacing w:val="-4"/>
          <w:sz w:val="24"/>
          <w:szCs w:val="24"/>
        </w:rPr>
        <w:t>，</w:t>
      </w:r>
      <w:r>
        <w:rPr>
          <w:rFonts w:ascii="Times New Roman" w:hAnsi="Times New Roman" w:hint="eastAsia"/>
          <w:spacing w:val="-4"/>
          <w:sz w:val="24"/>
          <w:szCs w:val="24"/>
        </w:rPr>
        <w:t>按照《信息披露办法》有关规定在规定媒介</w:t>
      </w:r>
      <w:r>
        <w:rPr>
          <w:rFonts w:ascii="Times New Roman" w:hAnsi="Times New Roman"/>
          <w:spacing w:val="-4"/>
          <w:sz w:val="24"/>
          <w:szCs w:val="24"/>
        </w:rPr>
        <w:t>公告。</w:t>
      </w:r>
    </w:p>
    <w:p w14:paraId="6499B97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2</w:t>
      </w:r>
      <w:r>
        <w:rPr>
          <w:rFonts w:ascii="Times New Roman" w:hAnsi="Times New Roman"/>
          <w:spacing w:val="-4"/>
          <w:sz w:val="24"/>
          <w:szCs w:val="24"/>
        </w:rPr>
        <w:t>、在分配方案公布后</w:t>
      </w:r>
      <w:r>
        <w:rPr>
          <w:rFonts w:ascii="Times New Roman" w:hAnsi="Times New Roman"/>
          <w:spacing w:val="-4"/>
          <w:sz w:val="24"/>
          <w:szCs w:val="24"/>
        </w:rPr>
        <w:t>(</w:t>
      </w:r>
      <w:r>
        <w:rPr>
          <w:rFonts w:ascii="Times New Roman" w:hAnsi="Times New Roman"/>
          <w:spacing w:val="-4"/>
          <w:sz w:val="24"/>
          <w:szCs w:val="24"/>
        </w:rPr>
        <w:t>依据具体方案的规定</w:t>
      </w:r>
      <w:r>
        <w:rPr>
          <w:rFonts w:ascii="Times New Roman" w:hAnsi="Times New Roman"/>
          <w:spacing w:val="-4"/>
          <w:sz w:val="24"/>
          <w:szCs w:val="24"/>
        </w:rPr>
        <w:t>)</w:t>
      </w:r>
      <w:r>
        <w:rPr>
          <w:rFonts w:ascii="Times New Roman" w:hAnsi="Times New Roman"/>
          <w:spacing w:val="-4"/>
          <w:sz w:val="24"/>
          <w:szCs w:val="24"/>
        </w:rPr>
        <w:t>，基金管理人就支付的现金红利向基金托管人发送划款指令，基金托管人按照基金管理人的指令及时进行分红资金的划付。</w:t>
      </w:r>
    </w:p>
    <w:p w14:paraId="786D7EB8"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3</w:t>
      </w:r>
      <w:r>
        <w:rPr>
          <w:rFonts w:ascii="Times New Roman" w:hAnsi="Times New Roman"/>
          <w:spacing w:val="-4"/>
          <w:sz w:val="24"/>
          <w:szCs w:val="24"/>
        </w:rPr>
        <w:t>、法律法规或监管机关另有规定的，从其规定。</w:t>
      </w:r>
    </w:p>
    <w:p w14:paraId="1BA34D49" w14:textId="77777777" w:rsidR="002123B7" w:rsidRDefault="00D8519F">
      <w:pPr>
        <w:spacing w:line="360" w:lineRule="auto"/>
        <w:ind w:firstLineChars="225" w:firstLine="540"/>
        <w:jc w:val="both"/>
        <w:rPr>
          <w:rFonts w:ascii="Times New Roman" w:hAnsi="Times New Roman"/>
          <w:bCs/>
          <w:sz w:val="24"/>
        </w:rPr>
      </w:pPr>
      <w:r>
        <w:rPr>
          <w:rFonts w:ascii="Times New Roman" w:hAnsi="Times New Roman" w:hint="eastAsia"/>
          <w:bCs/>
          <w:sz w:val="24"/>
        </w:rPr>
        <w:t>（三）基金收益分配中发生的费用</w:t>
      </w:r>
    </w:p>
    <w:p w14:paraId="62D8A77C" w14:textId="77777777" w:rsidR="002123B7" w:rsidRDefault="00D8519F">
      <w:pPr>
        <w:spacing w:line="360" w:lineRule="auto"/>
        <w:ind w:firstLineChars="225" w:firstLine="540"/>
        <w:jc w:val="both"/>
        <w:rPr>
          <w:rFonts w:ascii="Times New Roman" w:hAnsi="Times New Roman"/>
          <w:bCs/>
          <w:sz w:val="24"/>
        </w:rPr>
      </w:pPr>
      <w:r>
        <w:rPr>
          <w:rFonts w:ascii="Times New Roman" w:hAnsi="Times New Roman" w:hint="eastAsia"/>
          <w:bCs/>
          <w:sz w:val="24"/>
        </w:rPr>
        <w:t>基金收益分配时所发生的银行转账或其他手续费用由投资者自行承担。</w:t>
      </w:r>
    </w:p>
    <w:p w14:paraId="2C9E2234" w14:textId="77777777" w:rsidR="002123B7" w:rsidRDefault="002123B7">
      <w:pPr>
        <w:spacing w:line="360" w:lineRule="auto"/>
        <w:ind w:firstLineChars="200" w:firstLine="472"/>
        <w:jc w:val="both"/>
        <w:rPr>
          <w:rFonts w:ascii="Times New Roman" w:hAnsi="Times New Roman"/>
          <w:spacing w:val="-4"/>
          <w:sz w:val="24"/>
          <w:szCs w:val="24"/>
        </w:rPr>
      </w:pPr>
    </w:p>
    <w:p w14:paraId="4992FCC8"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25" w:name="_Toc516502495"/>
      <w:r>
        <w:rPr>
          <w:rFonts w:ascii="Times New Roman" w:eastAsia="宋体" w:hAnsi="Times New Roman" w:cs="Times New Roman"/>
          <w:bCs w:val="0"/>
          <w:color w:val="000000" w:themeColor="text1"/>
          <w:kern w:val="2"/>
          <w:lang w:val="en-US" w:bidi="ar-SA"/>
        </w:rPr>
        <w:t>十、基金信息披露</w:t>
      </w:r>
      <w:bookmarkEnd w:id="25"/>
    </w:p>
    <w:p w14:paraId="26F860F8"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（一）保密义务</w:t>
      </w:r>
    </w:p>
    <w:p w14:paraId="21ACDB8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基金托管人和基金管理人应按法律法规、《基金合同》的有关规定进行信息披露，拟公开披露的信息在公开披露之前应予保密。除按《基金法》、</w:t>
      </w:r>
      <w:r>
        <w:rPr>
          <w:rFonts w:ascii="Times New Roman" w:hAnsi="Times New Roman" w:hint="eastAsia"/>
          <w:spacing w:val="-4"/>
          <w:sz w:val="24"/>
          <w:szCs w:val="24"/>
        </w:rPr>
        <w:t>《运作办法》、</w:t>
      </w:r>
      <w:r>
        <w:rPr>
          <w:rFonts w:ascii="Times New Roman" w:hAnsi="Times New Roman"/>
          <w:spacing w:val="-4"/>
          <w:sz w:val="24"/>
          <w:szCs w:val="24"/>
        </w:rPr>
        <w:t>《信息披露办法》、</w:t>
      </w:r>
      <w:r>
        <w:rPr>
          <w:rFonts w:ascii="Times New Roman" w:hAnsi="Times New Roman" w:hint="eastAsia"/>
          <w:spacing w:val="-4"/>
          <w:sz w:val="24"/>
          <w:szCs w:val="24"/>
        </w:rPr>
        <w:t>《流动性风险管理规定》、</w:t>
      </w:r>
      <w:r>
        <w:rPr>
          <w:rFonts w:ascii="Times New Roman" w:hAnsi="Times New Roman"/>
          <w:spacing w:val="-4"/>
          <w:sz w:val="24"/>
          <w:szCs w:val="24"/>
        </w:rPr>
        <w:t>《基金合同》及其他有关规定进行信息披露外，基金管理人和基金托管人对基金运作中产生的信息以及从对方获得的业务信息应予保密。</w:t>
      </w:r>
    </w:p>
    <w:p w14:paraId="7F6F27FA"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基金管理人和基金托管人除了为</w:t>
      </w:r>
      <w:proofErr w:type="gramStart"/>
      <w:r>
        <w:rPr>
          <w:rFonts w:ascii="Times New Roman" w:hAnsi="Times New Roman"/>
          <w:spacing w:val="-4"/>
          <w:sz w:val="24"/>
          <w:szCs w:val="24"/>
        </w:rPr>
        <w:t>合法履行</w:t>
      </w:r>
      <w:proofErr w:type="gramEnd"/>
      <w:r>
        <w:rPr>
          <w:rFonts w:ascii="Times New Roman" w:hAnsi="Times New Roman"/>
          <w:spacing w:val="-4"/>
          <w:sz w:val="24"/>
          <w:szCs w:val="24"/>
        </w:rPr>
        <w:t>法律法规、《基金合同》及本协议规定的义务所必要之外，不得为其他目的使用、利用其所知悉的基金的保密信息，并且应当将保密信息限制在为履行前述义务而需要了解该保密信息的职员范围之内。但是，如下情况不应视为基金管理人或基金托管人违反保密义务：</w:t>
      </w:r>
    </w:p>
    <w:p w14:paraId="665DA2C5"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1</w:t>
      </w:r>
      <w:r>
        <w:rPr>
          <w:rFonts w:ascii="Times New Roman" w:hAnsi="Times New Roman"/>
          <w:spacing w:val="-4"/>
          <w:sz w:val="24"/>
          <w:szCs w:val="24"/>
        </w:rPr>
        <w:t>、非因基金管理人和基金托管人的原因导致保密信息被披露、泄露或公开；</w:t>
      </w:r>
    </w:p>
    <w:p w14:paraId="313A50A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2</w:t>
      </w:r>
      <w:r>
        <w:rPr>
          <w:rFonts w:ascii="Times New Roman" w:hAnsi="Times New Roman"/>
          <w:spacing w:val="-4"/>
          <w:sz w:val="24"/>
          <w:szCs w:val="24"/>
        </w:rPr>
        <w:t>、基金管理人和基金托管人为遵守和服从法院判决或裁定、仲裁裁决或中国证监会等监管机构的命令、决定所做出的信息披露或公开。</w:t>
      </w:r>
    </w:p>
    <w:p w14:paraId="2534345D"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（二）信息披露的内容</w:t>
      </w:r>
    </w:p>
    <w:p w14:paraId="5EC9A1A2" w14:textId="77777777" w:rsidR="002123B7" w:rsidRDefault="00D8519F">
      <w:pPr>
        <w:adjustRightInd w:val="0"/>
        <w:snapToGrid w:val="0"/>
        <w:spacing w:line="360" w:lineRule="auto"/>
        <w:ind w:firstLineChars="200" w:firstLine="480"/>
        <w:jc w:val="both"/>
        <w:rPr>
          <w:rFonts w:ascii="Times New Roman" w:hAnsi="Times New Roman"/>
          <w:spacing w:val="-4"/>
          <w:sz w:val="24"/>
          <w:szCs w:val="24"/>
        </w:rPr>
      </w:pPr>
      <w:r>
        <w:rPr>
          <w:rFonts w:ascii="Times New Roman" w:hAnsi="Times New Roman"/>
          <w:color w:val="000000"/>
          <w:sz w:val="24"/>
          <w:szCs w:val="24"/>
        </w:rPr>
        <w:t>基金的信息披露主要包括基金招募说明书、</w:t>
      </w:r>
      <w:r>
        <w:rPr>
          <w:rFonts w:ascii="Times New Roman" w:hAnsi="Times New Roman" w:hint="eastAsia"/>
          <w:color w:val="000000"/>
          <w:sz w:val="24"/>
          <w:szCs w:val="24"/>
        </w:rPr>
        <w:t>基金产品资料概要、</w:t>
      </w:r>
      <w:r>
        <w:rPr>
          <w:rFonts w:ascii="Times New Roman" w:hAnsi="Times New Roman"/>
          <w:color w:val="000000"/>
          <w:sz w:val="24"/>
          <w:szCs w:val="24"/>
        </w:rPr>
        <w:t>基金合同、</w:t>
      </w:r>
      <w:r>
        <w:rPr>
          <w:rFonts w:ascii="Times New Roman" w:hAnsi="Times New Roman" w:hint="eastAsia"/>
          <w:color w:val="000000"/>
          <w:sz w:val="24"/>
          <w:szCs w:val="24"/>
        </w:rPr>
        <w:t>基</w:t>
      </w:r>
      <w:r>
        <w:rPr>
          <w:rFonts w:ascii="Times New Roman" w:hAnsi="Times New Roman" w:hint="eastAsia"/>
          <w:color w:val="000000"/>
          <w:sz w:val="24"/>
          <w:szCs w:val="24"/>
        </w:rPr>
        <w:lastRenderedPageBreak/>
        <w:t>金</w:t>
      </w:r>
      <w:r>
        <w:rPr>
          <w:rFonts w:ascii="Times New Roman" w:hAnsi="Times New Roman"/>
          <w:color w:val="000000"/>
          <w:sz w:val="24"/>
          <w:szCs w:val="24"/>
        </w:rPr>
        <w:t>托管协议、基金份额发售公告、基金合同生效公告、基金净值</w:t>
      </w:r>
      <w:r>
        <w:rPr>
          <w:rFonts w:ascii="Times New Roman" w:hAnsi="Times New Roman" w:hint="eastAsia"/>
          <w:color w:val="000000"/>
          <w:sz w:val="24"/>
          <w:szCs w:val="24"/>
        </w:rPr>
        <w:t>信息</w:t>
      </w:r>
      <w:r>
        <w:rPr>
          <w:rFonts w:ascii="Times New Roman" w:hAnsi="Times New Roman"/>
          <w:color w:val="000000"/>
          <w:sz w:val="24"/>
          <w:szCs w:val="24"/>
        </w:rPr>
        <w:t>、</w:t>
      </w:r>
      <w:r>
        <w:rPr>
          <w:sz w:val="24"/>
        </w:rPr>
        <w:t>申购</w:t>
      </w:r>
      <w:r>
        <w:rPr>
          <w:rFonts w:hint="eastAsia"/>
          <w:sz w:val="24"/>
        </w:rPr>
        <w:t>、</w:t>
      </w:r>
      <w:r>
        <w:rPr>
          <w:sz w:val="24"/>
        </w:rPr>
        <w:t>赎回清单</w:t>
      </w:r>
      <w:r>
        <w:rPr>
          <w:color w:val="000000"/>
          <w:sz w:val="24"/>
          <w:szCs w:val="24"/>
        </w:rPr>
        <w:t>、上市交易公告书</w:t>
      </w:r>
      <w:r>
        <w:rPr>
          <w:rFonts w:hint="eastAsia"/>
          <w:color w:val="000000"/>
          <w:sz w:val="24"/>
          <w:szCs w:val="24"/>
        </w:rPr>
        <w:t>、</w:t>
      </w:r>
      <w:r>
        <w:rPr>
          <w:color w:val="000000"/>
          <w:sz w:val="24"/>
          <w:szCs w:val="24"/>
        </w:rPr>
        <w:t>基金份额折算日和折算结果公告</w:t>
      </w:r>
      <w:r>
        <w:rPr>
          <w:rFonts w:hint="eastAsia"/>
          <w:color w:val="000000"/>
          <w:sz w:val="24"/>
          <w:szCs w:val="24"/>
        </w:rPr>
        <w:t>、</w:t>
      </w:r>
      <w:r>
        <w:rPr>
          <w:rFonts w:ascii="Times New Roman" w:hAnsi="Times New Roman"/>
          <w:color w:val="000000"/>
          <w:sz w:val="24"/>
          <w:szCs w:val="24"/>
        </w:rPr>
        <w:t>基金定期报告（包括基金年度报告、基金</w:t>
      </w:r>
      <w:r>
        <w:rPr>
          <w:rFonts w:ascii="Times New Roman" w:hAnsi="Times New Roman" w:hint="eastAsia"/>
          <w:color w:val="000000"/>
          <w:sz w:val="24"/>
          <w:szCs w:val="24"/>
        </w:rPr>
        <w:t>中期</w:t>
      </w:r>
      <w:r>
        <w:rPr>
          <w:rFonts w:ascii="Times New Roman" w:hAnsi="Times New Roman"/>
          <w:color w:val="000000"/>
          <w:sz w:val="24"/>
          <w:szCs w:val="24"/>
        </w:rPr>
        <w:t>报告和基金季度报告）、临时报告、澄清</w:t>
      </w:r>
      <w:r>
        <w:rPr>
          <w:rFonts w:ascii="Times New Roman" w:hAnsi="Times New Roman" w:hint="eastAsia"/>
          <w:color w:val="000000"/>
          <w:sz w:val="24"/>
          <w:szCs w:val="24"/>
        </w:rPr>
        <w:t>公</w:t>
      </w:r>
      <w:r>
        <w:rPr>
          <w:rFonts w:ascii="Times New Roman" w:hAnsi="Times New Roman"/>
          <w:color w:val="000000"/>
          <w:sz w:val="24"/>
          <w:szCs w:val="24"/>
        </w:rPr>
        <w:t>告、基金份额持有人大会决议、</w:t>
      </w:r>
      <w:r>
        <w:rPr>
          <w:rFonts w:ascii="Times New Roman" w:hAnsi="Times New Roman" w:hint="eastAsia"/>
          <w:color w:val="000000"/>
          <w:sz w:val="24"/>
          <w:szCs w:val="24"/>
        </w:rPr>
        <w:t>基金参与股指期货交易的信息披露、清算报告、基金投资资产支持证券的信息披露、基金参与融资业务和转融通证券出借业务的信息披露、</w:t>
      </w:r>
      <w:r>
        <w:rPr>
          <w:rFonts w:ascii="Times New Roman" w:hAnsi="Times New Roman"/>
          <w:color w:val="000000"/>
          <w:sz w:val="24"/>
          <w:szCs w:val="24"/>
        </w:rPr>
        <w:t>中国证监会规定的其他信息。基金年度报告</w:t>
      </w:r>
      <w:r>
        <w:rPr>
          <w:rFonts w:ascii="Times New Roman" w:hAnsi="Times New Roman" w:hint="eastAsia"/>
          <w:color w:val="000000"/>
          <w:sz w:val="24"/>
          <w:szCs w:val="24"/>
        </w:rPr>
        <w:t>中的财务会计报告</w:t>
      </w:r>
      <w:r>
        <w:rPr>
          <w:rFonts w:ascii="Times New Roman" w:hAnsi="Times New Roman"/>
          <w:color w:val="000000"/>
          <w:sz w:val="24"/>
          <w:szCs w:val="24"/>
        </w:rPr>
        <w:t>需</w:t>
      </w:r>
      <w:proofErr w:type="gramStart"/>
      <w:r>
        <w:rPr>
          <w:rFonts w:ascii="Times New Roman" w:hAnsi="Times New Roman"/>
          <w:color w:val="000000"/>
          <w:sz w:val="24"/>
          <w:szCs w:val="24"/>
        </w:rPr>
        <w:t>经</w:t>
      </w:r>
      <w:r>
        <w:rPr>
          <w:rFonts w:ascii="Times New Roman" w:hAnsi="Times New Roman" w:hint="eastAsia"/>
          <w:color w:val="000000"/>
          <w:sz w:val="24"/>
          <w:szCs w:val="24"/>
        </w:rPr>
        <w:t>符合</w:t>
      </w:r>
      <w:proofErr w:type="gramEnd"/>
      <w:r>
        <w:rPr>
          <w:rFonts w:ascii="Times New Roman" w:hAnsi="Times New Roman" w:hint="eastAsia"/>
          <w:color w:val="000000"/>
          <w:sz w:val="24"/>
          <w:szCs w:val="24"/>
        </w:rPr>
        <w:t>《证券法》规定</w:t>
      </w:r>
      <w:r>
        <w:rPr>
          <w:rFonts w:ascii="Times New Roman" w:hAnsi="Times New Roman"/>
          <w:color w:val="000000"/>
          <w:sz w:val="24"/>
          <w:szCs w:val="24"/>
        </w:rPr>
        <w:t>的会计师事务所审计后，方可披露。</w:t>
      </w:r>
    </w:p>
    <w:p w14:paraId="784AB97C"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（三）基金托管人和基金管理人在信息披露中的职责和信息披露程序</w:t>
      </w:r>
    </w:p>
    <w:p w14:paraId="65BAD0FE"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1</w:t>
      </w:r>
      <w:r>
        <w:rPr>
          <w:rFonts w:ascii="Times New Roman" w:hAnsi="Times New Roman"/>
          <w:spacing w:val="-4"/>
          <w:sz w:val="24"/>
          <w:szCs w:val="24"/>
        </w:rPr>
        <w:t>、职责</w:t>
      </w:r>
    </w:p>
    <w:p w14:paraId="4AF07F5B" w14:textId="34177BF8" w:rsidR="002123B7" w:rsidRDefault="00D8519F" w:rsidP="004A3AC5">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托管人和基金管理人在信息披露过程中应以保护基金份额持有人利益为宗旨，诚实信用，严守秘密。基金管理人负责办理与基金有关的信息披露事宜，对于本章第（二）条规定的应由基金托管人复核的事项，应经基金托管人复核无误后，由基金管理人予以公布。</w:t>
      </w:r>
      <w:r w:rsidR="00230466" w:rsidRPr="00230466">
        <w:rPr>
          <w:rFonts w:ascii="Times New Roman" w:hAnsi="Times New Roman" w:hint="eastAsia"/>
          <w:spacing w:val="-4"/>
          <w:sz w:val="24"/>
          <w:szCs w:val="24"/>
        </w:rPr>
        <w:t>基金管理人在信息披露时，应说明基金托管人所复核的数据和信息。</w:t>
      </w:r>
      <w:r w:rsidR="00230466" w:rsidRPr="00230466">
        <w:rPr>
          <w:rFonts w:ascii="Times New Roman" w:hAnsi="Times New Roman"/>
          <w:spacing w:val="-4"/>
          <w:sz w:val="24"/>
          <w:szCs w:val="24"/>
        </w:rPr>
        <w:t xml:space="preserve"> </w:t>
      </w:r>
      <w:r w:rsidR="00230466" w:rsidRPr="00230466">
        <w:rPr>
          <w:rFonts w:ascii="Times New Roman" w:hAnsi="Times New Roman"/>
          <w:spacing w:val="-4"/>
          <w:sz w:val="24"/>
          <w:szCs w:val="24"/>
        </w:rPr>
        <w:t>对于基金托管人复核结果与管理人无法达成一致的，基金管理人应按照有关法律法规进行信息披露。</w:t>
      </w:r>
    </w:p>
    <w:p w14:paraId="0752B328" w14:textId="77777777" w:rsidR="00663A64" w:rsidRPr="00663A64" w:rsidRDefault="00663A64" w:rsidP="00663A64">
      <w:pPr>
        <w:spacing w:line="360" w:lineRule="auto"/>
        <w:ind w:firstLineChars="200" w:firstLine="472"/>
        <w:jc w:val="both"/>
        <w:rPr>
          <w:rFonts w:ascii="Times New Roman" w:hAnsi="Times New Roman"/>
          <w:spacing w:val="-4"/>
          <w:sz w:val="24"/>
          <w:szCs w:val="24"/>
        </w:rPr>
      </w:pPr>
      <w:r w:rsidRPr="00663A64">
        <w:rPr>
          <w:rFonts w:ascii="Times New Roman" w:hAnsi="Times New Roman" w:hint="eastAsia"/>
          <w:spacing w:val="-4"/>
          <w:sz w:val="24"/>
          <w:szCs w:val="24"/>
        </w:rPr>
        <w:t>对于不需要基金托管人复核的信息，基金管理人在公告前应告知基金托管人。</w:t>
      </w:r>
    </w:p>
    <w:p w14:paraId="0AAFCAFE" w14:textId="77777777" w:rsidR="00663A64" w:rsidRDefault="00663A64" w:rsidP="00663A64">
      <w:pPr>
        <w:spacing w:line="360" w:lineRule="auto"/>
        <w:ind w:firstLineChars="200" w:firstLine="472"/>
        <w:jc w:val="both"/>
        <w:rPr>
          <w:rFonts w:ascii="Times New Roman" w:hAnsi="Times New Roman"/>
          <w:spacing w:val="-4"/>
          <w:sz w:val="24"/>
          <w:szCs w:val="24"/>
        </w:rPr>
      </w:pPr>
      <w:r w:rsidRPr="00663A64">
        <w:rPr>
          <w:rFonts w:ascii="Times New Roman" w:hAnsi="Times New Roman" w:hint="eastAsia"/>
          <w:spacing w:val="-4"/>
          <w:sz w:val="24"/>
          <w:szCs w:val="24"/>
        </w:rPr>
        <w:t>基金管理人和基金托管人应积极配合、互相监督，保证其履行按照法定方式和限时披露的义务。</w:t>
      </w:r>
    </w:p>
    <w:p w14:paraId="150B345D"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管理人应当在中国证监会规定的时间内，将应予披露的基金信息通过符合中国证监会规定条件的全国性报刊和基金管理人的互联网网站等媒介披露。根据法律法规应由基金托管人公开披露的信息，基金托管人将通过规定报刊和基金托管人的互联网网站公开披露。</w:t>
      </w:r>
    </w:p>
    <w:p w14:paraId="69E48F33"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当出现下述情况时，基金管理人和基金托管人可暂停或延迟披露基金信息：</w:t>
      </w:r>
    </w:p>
    <w:p w14:paraId="0056994F"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0"/>
        </w:rPr>
      </w:pPr>
      <w:r>
        <w:rPr>
          <w:rFonts w:ascii="Times New Roman" w:hAnsi="Times New Roman" w:hint="eastAsia"/>
          <w:color w:val="000000"/>
          <w:sz w:val="24"/>
          <w:szCs w:val="24"/>
        </w:rPr>
        <w:t>（</w:t>
      </w:r>
      <w:r>
        <w:rPr>
          <w:rFonts w:ascii="Times New Roman" w:hAnsi="Times New Roman"/>
          <w:color w:val="000000"/>
          <w:sz w:val="24"/>
          <w:szCs w:val="24"/>
        </w:rPr>
        <w:t>1</w:t>
      </w:r>
      <w:r>
        <w:rPr>
          <w:rFonts w:ascii="Times New Roman" w:hAnsi="Times New Roman" w:hint="eastAsia"/>
          <w:color w:val="000000"/>
          <w:sz w:val="24"/>
          <w:szCs w:val="24"/>
        </w:rPr>
        <w:t>）</w:t>
      </w:r>
      <w:r>
        <w:rPr>
          <w:rFonts w:ascii="Times New Roman" w:hAnsi="Times New Roman" w:hint="eastAsia"/>
          <w:color w:val="000000"/>
          <w:sz w:val="24"/>
          <w:szCs w:val="20"/>
        </w:rPr>
        <w:t>不可抗力</w:t>
      </w:r>
      <w:r>
        <w:rPr>
          <w:rFonts w:ascii="Times New Roman" w:hAnsi="Times New Roman"/>
          <w:color w:val="000000"/>
          <w:sz w:val="24"/>
          <w:szCs w:val="20"/>
        </w:rPr>
        <w:t>；</w:t>
      </w:r>
    </w:p>
    <w:p w14:paraId="15440FE4"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color w:val="000000"/>
          <w:sz w:val="24"/>
          <w:szCs w:val="24"/>
        </w:rPr>
        <w:t>2</w:t>
      </w:r>
      <w:r>
        <w:rPr>
          <w:rFonts w:ascii="Times New Roman" w:hAnsi="Times New Roman" w:hint="eastAsia"/>
          <w:color w:val="000000"/>
          <w:sz w:val="24"/>
          <w:szCs w:val="24"/>
        </w:rPr>
        <w:t>）发生</w:t>
      </w:r>
      <w:r>
        <w:rPr>
          <w:rFonts w:ascii="Times New Roman" w:hAnsi="Times New Roman"/>
          <w:color w:val="000000"/>
          <w:sz w:val="24"/>
          <w:szCs w:val="24"/>
        </w:rPr>
        <w:t>《基金合同》</w:t>
      </w:r>
      <w:r>
        <w:rPr>
          <w:rFonts w:ascii="Times New Roman" w:hAnsi="Times New Roman" w:hint="eastAsia"/>
          <w:color w:val="000000"/>
          <w:sz w:val="24"/>
          <w:szCs w:val="24"/>
        </w:rPr>
        <w:t>约定</w:t>
      </w:r>
      <w:r>
        <w:rPr>
          <w:rFonts w:ascii="Times New Roman" w:hAnsi="Times New Roman"/>
          <w:color w:val="000000"/>
          <w:sz w:val="24"/>
          <w:szCs w:val="24"/>
        </w:rPr>
        <w:t>的暂停估值</w:t>
      </w:r>
      <w:r>
        <w:rPr>
          <w:rFonts w:ascii="Times New Roman" w:hAnsi="Times New Roman" w:hint="eastAsia"/>
          <w:color w:val="000000"/>
          <w:sz w:val="24"/>
          <w:szCs w:val="24"/>
        </w:rPr>
        <w:t>的</w:t>
      </w:r>
      <w:r>
        <w:rPr>
          <w:rFonts w:ascii="Times New Roman" w:hAnsi="Times New Roman"/>
          <w:color w:val="000000"/>
          <w:sz w:val="24"/>
          <w:szCs w:val="24"/>
        </w:rPr>
        <w:t>情形；</w:t>
      </w:r>
    </w:p>
    <w:p w14:paraId="6F226D67"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0"/>
        </w:rPr>
      </w:pPr>
      <w:r>
        <w:rPr>
          <w:rFonts w:ascii="Times New Roman" w:hAnsi="Times New Roman" w:hint="eastAsia"/>
          <w:color w:val="000000"/>
          <w:sz w:val="24"/>
          <w:szCs w:val="24"/>
        </w:rPr>
        <w:t>（</w:t>
      </w:r>
      <w:r>
        <w:rPr>
          <w:rFonts w:ascii="Times New Roman" w:hAnsi="Times New Roman"/>
          <w:color w:val="000000"/>
          <w:sz w:val="24"/>
          <w:szCs w:val="24"/>
        </w:rPr>
        <w:t>3</w:t>
      </w:r>
      <w:r>
        <w:rPr>
          <w:rFonts w:ascii="Times New Roman" w:hAnsi="Times New Roman" w:hint="eastAsia"/>
          <w:color w:val="000000"/>
          <w:sz w:val="24"/>
          <w:szCs w:val="24"/>
        </w:rPr>
        <w:t>）</w:t>
      </w:r>
      <w:r>
        <w:rPr>
          <w:rFonts w:ascii="Times New Roman" w:hAnsi="Times New Roman"/>
          <w:color w:val="000000"/>
          <w:sz w:val="24"/>
          <w:szCs w:val="20"/>
        </w:rPr>
        <w:t>法律法规</w:t>
      </w:r>
      <w:r>
        <w:rPr>
          <w:rFonts w:ascii="Times New Roman" w:hAnsi="Times New Roman" w:hint="eastAsia"/>
          <w:color w:val="000000"/>
          <w:sz w:val="24"/>
          <w:szCs w:val="20"/>
        </w:rPr>
        <w:t>规定、中国证监会或《基金合同》</w:t>
      </w:r>
      <w:r>
        <w:rPr>
          <w:rFonts w:ascii="Times New Roman" w:hAnsi="Times New Roman"/>
          <w:color w:val="000000"/>
          <w:sz w:val="24"/>
          <w:szCs w:val="20"/>
        </w:rPr>
        <w:t>规定的</w:t>
      </w:r>
      <w:r>
        <w:rPr>
          <w:rFonts w:ascii="Times New Roman" w:hAnsi="Times New Roman" w:hint="eastAsia"/>
          <w:color w:val="000000"/>
          <w:sz w:val="24"/>
          <w:szCs w:val="20"/>
        </w:rPr>
        <w:t>其他情形</w:t>
      </w:r>
      <w:r>
        <w:rPr>
          <w:rFonts w:ascii="Times New Roman" w:hAnsi="Times New Roman"/>
          <w:color w:val="000000"/>
          <w:sz w:val="24"/>
          <w:szCs w:val="20"/>
        </w:rPr>
        <w:t>。</w:t>
      </w:r>
    </w:p>
    <w:p w14:paraId="16CBECE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2</w:t>
      </w:r>
      <w:r>
        <w:rPr>
          <w:rFonts w:ascii="Times New Roman" w:hAnsi="Times New Roman"/>
          <w:spacing w:val="-4"/>
          <w:sz w:val="24"/>
          <w:szCs w:val="24"/>
        </w:rPr>
        <w:t>、程序</w:t>
      </w:r>
    </w:p>
    <w:p w14:paraId="284B4556"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按有关规定须经基金托管人复核的信息披露文件，由基金管理人起草、并经基金托管人复核后由基金管理人公告。发生《基金合同》中规定需要披露的事项时，按《基金合同》规定公布。</w:t>
      </w:r>
    </w:p>
    <w:p w14:paraId="6AAFC6A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lastRenderedPageBreak/>
        <w:t>3</w:t>
      </w:r>
      <w:r>
        <w:rPr>
          <w:rFonts w:ascii="Times New Roman" w:hAnsi="Times New Roman" w:hint="eastAsia"/>
          <w:spacing w:val="-4"/>
          <w:sz w:val="24"/>
          <w:szCs w:val="24"/>
        </w:rPr>
        <w:t>、</w:t>
      </w:r>
      <w:r>
        <w:rPr>
          <w:rFonts w:ascii="Times New Roman" w:hAnsi="Times New Roman"/>
          <w:spacing w:val="-4"/>
          <w:sz w:val="24"/>
          <w:szCs w:val="24"/>
        </w:rPr>
        <w:t>信息文本的存放</w:t>
      </w:r>
    </w:p>
    <w:p w14:paraId="74653A1A"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依法必须披露的信息发布后，基金管理人、基金托管人应当按照相关法律法规规定将信息置备于各自住所和基金上市交易的证券交易所</w:t>
      </w:r>
      <w:r>
        <w:rPr>
          <w:rFonts w:ascii="Times New Roman" w:hAnsi="Times New Roman"/>
          <w:spacing w:val="-4"/>
          <w:sz w:val="24"/>
          <w:szCs w:val="24"/>
        </w:rPr>
        <w:t>，供</w:t>
      </w:r>
      <w:r>
        <w:rPr>
          <w:rFonts w:ascii="Times New Roman" w:hAnsi="Times New Roman" w:hint="eastAsia"/>
          <w:spacing w:val="-4"/>
          <w:sz w:val="24"/>
          <w:szCs w:val="24"/>
        </w:rPr>
        <w:t>社会</w:t>
      </w:r>
      <w:r>
        <w:rPr>
          <w:rFonts w:ascii="Times New Roman" w:hAnsi="Times New Roman"/>
          <w:spacing w:val="-4"/>
          <w:sz w:val="24"/>
          <w:szCs w:val="24"/>
        </w:rPr>
        <w:t>公众查阅、复制。</w:t>
      </w:r>
    </w:p>
    <w:p w14:paraId="6A72E92F"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投资者可以免费查阅上述文件。在支付工本费后可在合理时间获得上述文件的复制件或复印件。基金管理人和基金托管人应保证文本的内容与所公告的内容完全一致</w:t>
      </w:r>
      <w:r>
        <w:rPr>
          <w:rFonts w:ascii="Times New Roman" w:hAnsi="Times New Roman" w:hint="eastAsia"/>
          <w:spacing w:val="-4"/>
          <w:sz w:val="24"/>
          <w:szCs w:val="24"/>
        </w:rPr>
        <w:t>。</w:t>
      </w:r>
    </w:p>
    <w:p w14:paraId="5568A616"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26" w:name="_Toc516502496"/>
      <w:r>
        <w:rPr>
          <w:rFonts w:ascii="Times New Roman" w:eastAsia="宋体" w:hAnsi="Times New Roman" w:cs="Times New Roman"/>
          <w:bCs w:val="0"/>
          <w:color w:val="000000" w:themeColor="text1"/>
          <w:kern w:val="2"/>
          <w:lang w:val="en-US" w:bidi="ar-SA"/>
        </w:rPr>
        <w:t>十一、基金费用</w:t>
      </w:r>
      <w:bookmarkEnd w:id="26"/>
    </w:p>
    <w:p w14:paraId="2AB8770E" w14:textId="77777777" w:rsidR="004A3AC5" w:rsidRPr="00612B9E" w:rsidRDefault="004A3AC5" w:rsidP="004A3AC5">
      <w:pPr>
        <w:spacing w:line="360" w:lineRule="auto"/>
        <w:ind w:firstLineChars="225" w:firstLine="540"/>
        <w:rPr>
          <w:sz w:val="24"/>
        </w:rPr>
      </w:pPr>
      <w:bookmarkStart w:id="27" w:name="_Hlk179972147"/>
      <w:r w:rsidRPr="00612B9E">
        <w:rPr>
          <w:rFonts w:hint="eastAsia"/>
          <w:sz w:val="24"/>
        </w:rPr>
        <w:t>（一）基金管理费的计提比例和计提方法</w:t>
      </w:r>
    </w:p>
    <w:p w14:paraId="01BC1E7E" w14:textId="77777777" w:rsidR="004A3AC5" w:rsidRPr="00612B9E" w:rsidRDefault="004A3AC5" w:rsidP="004A3AC5">
      <w:pPr>
        <w:spacing w:line="360" w:lineRule="auto"/>
        <w:ind w:firstLineChars="225" w:firstLine="540"/>
        <w:rPr>
          <w:sz w:val="24"/>
        </w:rPr>
      </w:pPr>
      <w:r w:rsidRPr="00612B9E">
        <w:rPr>
          <w:rFonts w:hint="eastAsia"/>
          <w:sz w:val="24"/>
        </w:rPr>
        <w:t>本基金的管理费按前一日基金资产净值的</w:t>
      </w:r>
      <w:r>
        <w:rPr>
          <w:bCs/>
          <w:sz w:val="24"/>
        </w:rPr>
        <w:t>0.50</w:t>
      </w:r>
      <w:r w:rsidRPr="00612B9E">
        <w:rPr>
          <w:sz w:val="24"/>
        </w:rPr>
        <w:t>%</w:t>
      </w:r>
      <w:r w:rsidRPr="00612B9E">
        <w:rPr>
          <w:rFonts w:hint="eastAsia"/>
          <w:sz w:val="24"/>
        </w:rPr>
        <w:t>年费率计提。管理费的计算方法如下：</w:t>
      </w:r>
    </w:p>
    <w:p w14:paraId="28EA896A" w14:textId="77777777" w:rsidR="004A3AC5" w:rsidRPr="00612B9E" w:rsidRDefault="004A3AC5" w:rsidP="004A3AC5">
      <w:pPr>
        <w:spacing w:line="360" w:lineRule="auto"/>
        <w:ind w:firstLineChars="225" w:firstLine="540"/>
        <w:rPr>
          <w:sz w:val="24"/>
        </w:rPr>
      </w:pPr>
      <w:r w:rsidRPr="00612B9E">
        <w:rPr>
          <w:sz w:val="24"/>
        </w:rPr>
        <w:t>H</w:t>
      </w:r>
      <w:r w:rsidRPr="00612B9E">
        <w:rPr>
          <w:rFonts w:hint="eastAsia"/>
          <w:sz w:val="24"/>
        </w:rPr>
        <w:t>＝</w:t>
      </w:r>
      <w:r w:rsidRPr="00612B9E">
        <w:rPr>
          <w:sz w:val="24"/>
        </w:rPr>
        <w:t>E</w:t>
      </w:r>
      <w:r w:rsidRPr="00612B9E">
        <w:rPr>
          <w:rFonts w:hint="eastAsia"/>
          <w:sz w:val="24"/>
        </w:rPr>
        <w:t>×</w:t>
      </w:r>
      <w:r>
        <w:rPr>
          <w:rFonts w:hint="eastAsia"/>
          <w:bCs/>
          <w:sz w:val="24"/>
        </w:rPr>
        <w:t>0.</w:t>
      </w:r>
      <w:r>
        <w:rPr>
          <w:bCs/>
          <w:sz w:val="24"/>
        </w:rPr>
        <w:t>50%</w:t>
      </w:r>
      <w:r w:rsidRPr="00612B9E">
        <w:rPr>
          <w:rFonts w:hint="eastAsia"/>
          <w:sz w:val="24"/>
        </w:rPr>
        <w:t>÷当年</w:t>
      </w:r>
      <w:r>
        <w:rPr>
          <w:rFonts w:hint="eastAsia"/>
          <w:sz w:val="24"/>
        </w:rPr>
        <w:t>实际</w:t>
      </w:r>
      <w:r w:rsidRPr="00612B9E">
        <w:rPr>
          <w:rFonts w:hint="eastAsia"/>
          <w:sz w:val="24"/>
        </w:rPr>
        <w:t>天数</w:t>
      </w:r>
    </w:p>
    <w:p w14:paraId="48A65F7B" w14:textId="77777777" w:rsidR="004A3AC5" w:rsidRPr="00612B9E" w:rsidRDefault="004A3AC5" w:rsidP="004A3AC5">
      <w:pPr>
        <w:spacing w:line="360" w:lineRule="auto"/>
        <w:ind w:firstLineChars="225" w:firstLine="540"/>
        <w:rPr>
          <w:sz w:val="24"/>
        </w:rPr>
      </w:pPr>
      <w:r w:rsidRPr="00612B9E">
        <w:rPr>
          <w:sz w:val="24"/>
        </w:rPr>
        <w:t>H</w:t>
      </w:r>
      <w:r w:rsidRPr="00612B9E">
        <w:rPr>
          <w:rFonts w:hint="eastAsia"/>
          <w:sz w:val="24"/>
        </w:rPr>
        <w:t>为每日应计提的基金管理费</w:t>
      </w:r>
    </w:p>
    <w:p w14:paraId="31A9D677" w14:textId="77777777" w:rsidR="004A3AC5" w:rsidRPr="00612B9E" w:rsidRDefault="004A3AC5" w:rsidP="004A3AC5">
      <w:pPr>
        <w:spacing w:line="360" w:lineRule="auto"/>
        <w:ind w:firstLineChars="225" w:firstLine="540"/>
        <w:rPr>
          <w:sz w:val="24"/>
        </w:rPr>
      </w:pPr>
      <w:r w:rsidRPr="00612B9E">
        <w:rPr>
          <w:sz w:val="24"/>
        </w:rPr>
        <w:t>E</w:t>
      </w:r>
      <w:r w:rsidRPr="00612B9E">
        <w:rPr>
          <w:rFonts w:hint="eastAsia"/>
          <w:sz w:val="24"/>
        </w:rPr>
        <w:t>为前一日的基金资产净值</w:t>
      </w:r>
    </w:p>
    <w:p w14:paraId="5B955278" w14:textId="651F1CD1" w:rsidR="002123B7" w:rsidRDefault="004A3AC5" w:rsidP="004A3AC5">
      <w:pPr>
        <w:spacing w:line="360" w:lineRule="auto"/>
        <w:ind w:firstLineChars="200" w:firstLine="480"/>
        <w:jc w:val="both"/>
        <w:rPr>
          <w:rFonts w:ascii="Times New Roman" w:hAnsi="Times New Roman"/>
          <w:spacing w:val="-4"/>
          <w:sz w:val="24"/>
          <w:szCs w:val="24"/>
        </w:rPr>
      </w:pPr>
      <w:r w:rsidRPr="00612B9E">
        <w:rPr>
          <w:rFonts w:hint="eastAsia"/>
          <w:sz w:val="24"/>
        </w:rPr>
        <w:t>（二）</w:t>
      </w:r>
      <w:r w:rsidR="00D8519F">
        <w:rPr>
          <w:rFonts w:ascii="Times New Roman" w:hAnsi="Times New Roman"/>
          <w:spacing w:val="-4"/>
          <w:sz w:val="24"/>
          <w:szCs w:val="24"/>
        </w:rPr>
        <w:t>基金托管费的计提比例和计提方法</w:t>
      </w:r>
    </w:p>
    <w:p w14:paraId="0A89AB20"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本基金的托管费按前一日基金资产净值的</w:t>
      </w:r>
      <w:r>
        <w:rPr>
          <w:rFonts w:ascii="Times New Roman" w:hAnsi="Times New Roman"/>
          <w:spacing w:val="-4"/>
          <w:sz w:val="24"/>
          <w:szCs w:val="24"/>
        </w:rPr>
        <w:t>0.10%</w:t>
      </w:r>
      <w:r>
        <w:rPr>
          <w:rFonts w:ascii="Times New Roman" w:hAnsi="Times New Roman"/>
          <w:spacing w:val="-4"/>
          <w:sz w:val="24"/>
          <w:szCs w:val="24"/>
        </w:rPr>
        <w:t>的年费率计提。托管费的计算方法如下：</w:t>
      </w:r>
    </w:p>
    <w:p w14:paraId="5E76A2D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H</w:t>
      </w:r>
      <w:r>
        <w:rPr>
          <w:rFonts w:ascii="Times New Roman" w:hAnsi="Times New Roman"/>
          <w:spacing w:val="-4"/>
          <w:sz w:val="24"/>
          <w:szCs w:val="24"/>
        </w:rPr>
        <w:t>＝</w:t>
      </w:r>
      <w:r>
        <w:rPr>
          <w:rFonts w:ascii="Times New Roman" w:hAnsi="Times New Roman"/>
          <w:spacing w:val="-4"/>
          <w:sz w:val="24"/>
          <w:szCs w:val="24"/>
        </w:rPr>
        <w:t>E×0.10%÷</w:t>
      </w:r>
      <w:r>
        <w:rPr>
          <w:rFonts w:ascii="Times New Roman" w:hAnsi="Times New Roman"/>
          <w:spacing w:val="-4"/>
          <w:sz w:val="24"/>
          <w:szCs w:val="24"/>
        </w:rPr>
        <w:t>当年天数</w:t>
      </w:r>
    </w:p>
    <w:p w14:paraId="085134F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H</w:t>
      </w:r>
      <w:r>
        <w:rPr>
          <w:rFonts w:ascii="Times New Roman" w:hAnsi="Times New Roman"/>
          <w:spacing w:val="-4"/>
          <w:sz w:val="24"/>
          <w:szCs w:val="24"/>
        </w:rPr>
        <w:t>为每日应计提的基金托管费</w:t>
      </w:r>
    </w:p>
    <w:p w14:paraId="2E69F067"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E</w:t>
      </w:r>
      <w:r>
        <w:rPr>
          <w:rFonts w:ascii="Times New Roman" w:hAnsi="Times New Roman"/>
          <w:spacing w:val="-4"/>
          <w:sz w:val="24"/>
          <w:szCs w:val="24"/>
        </w:rPr>
        <w:t>为前一日的基金资产净值</w:t>
      </w:r>
    </w:p>
    <w:p w14:paraId="31385EE2" w14:textId="721108F0" w:rsidR="004A3AC5" w:rsidRPr="00612B9E" w:rsidRDefault="004A3AC5" w:rsidP="0069626C">
      <w:pPr>
        <w:spacing w:line="360" w:lineRule="auto"/>
        <w:ind w:firstLineChars="225" w:firstLine="540"/>
        <w:rPr>
          <w:sz w:val="24"/>
        </w:rPr>
      </w:pPr>
      <w:r w:rsidRPr="00612B9E">
        <w:rPr>
          <w:sz w:val="24"/>
        </w:rPr>
        <w:t>（</w:t>
      </w:r>
      <w:r w:rsidRPr="00612B9E">
        <w:rPr>
          <w:rFonts w:hint="eastAsia"/>
          <w:sz w:val="24"/>
        </w:rPr>
        <w:t>三</w:t>
      </w:r>
      <w:r w:rsidRPr="00612B9E">
        <w:rPr>
          <w:sz w:val="24"/>
        </w:rPr>
        <w:t>）</w:t>
      </w:r>
      <w:r>
        <w:rPr>
          <w:rFonts w:hint="eastAsia"/>
          <w:bCs/>
          <w:sz w:val="24"/>
        </w:rPr>
        <w:t>基金的</w:t>
      </w:r>
      <w:r>
        <w:rPr>
          <w:rFonts w:hint="eastAsia"/>
          <w:sz w:val="24"/>
        </w:rPr>
        <w:t>证券</w:t>
      </w:r>
      <w:r>
        <w:rPr>
          <w:rFonts w:hint="eastAsia"/>
          <w:bCs/>
          <w:sz w:val="24"/>
        </w:rPr>
        <w:t>、期货</w:t>
      </w:r>
      <w:r>
        <w:rPr>
          <w:rFonts w:hint="eastAsia"/>
          <w:sz w:val="24"/>
        </w:rPr>
        <w:t>交易费用、基金</w:t>
      </w:r>
      <w:r w:rsidRPr="00612B9E">
        <w:rPr>
          <w:rFonts w:hint="eastAsia"/>
          <w:sz w:val="24"/>
        </w:rPr>
        <w:t>的银行</w:t>
      </w:r>
      <w:r>
        <w:rPr>
          <w:rFonts w:hint="eastAsia"/>
          <w:bCs/>
          <w:sz w:val="24"/>
        </w:rPr>
        <w:t>汇划</w:t>
      </w:r>
      <w:r w:rsidRPr="00612B9E">
        <w:rPr>
          <w:rFonts w:hint="eastAsia"/>
          <w:sz w:val="24"/>
        </w:rPr>
        <w:t>费用、账户</w:t>
      </w:r>
      <w:r>
        <w:rPr>
          <w:rFonts w:hint="eastAsia"/>
          <w:bCs/>
          <w:sz w:val="24"/>
        </w:rPr>
        <w:t>开、销户及维护费用</w:t>
      </w:r>
      <w:r w:rsidRPr="00612B9E">
        <w:rPr>
          <w:rFonts w:hint="eastAsia"/>
          <w:sz w:val="24"/>
        </w:rPr>
        <w:t>、《基金合同》生效后</w:t>
      </w:r>
      <w:r>
        <w:rPr>
          <w:rFonts w:hint="eastAsia"/>
          <w:sz w:val="24"/>
        </w:rPr>
        <w:t>与基金有关</w:t>
      </w:r>
      <w:r w:rsidRPr="00612B9E">
        <w:rPr>
          <w:rFonts w:hint="eastAsia"/>
          <w:sz w:val="24"/>
        </w:rPr>
        <w:t>的信息披露费用</w:t>
      </w:r>
      <w:r>
        <w:rPr>
          <w:rFonts w:hint="eastAsia"/>
          <w:sz w:val="24"/>
        </w:rPr>
        <w:t>（但法律法规、中国证监会另有规定的除外）</w:t>
      </w:r>
      <w:r w:rsidRPr="00612B9E">
        <w:rPr>
          <w:rFonts w:hint="eastAsia"/>
          <w:sz w:val="24"/>
        </w:rPr>
        <w:t>、基金份额持有人大会费用、</w:t>
      </w:r>
      <w:r>
        <w:rPr>
          <w:rFonts w:hint="eastAsia"/>
          <w:sz w:val="24"/>
        </w:rPr>
        <w:t>基金上市初费和年费、</w:t>
      </w:r>
      <w:r w:rsidR="00B325BA" w:rsidRPr="00B325BA">
        <w:rPr>
          <w:rFonts w:hint="eastAsia"/>
          <w:sz w:val="24"/>
        </w:rPr>
        <w:t>场内注册登记费</w:t>
      </w:r>
      <w:r w:rsidR="00B325BA">
        <w:rPr>
          <w:rFonts w:hint="eastAsia"/>
          <w:sz w:val="24"/>
        </w:rPr>
        <w:t>、</w:t>
      </w:r>
      <w:r>
        <w:rPr>
          <w:rFonts w:hint="eastAsia"/>
          <w:sz w:val="24"/>
        </w:rPr>
        <w:t>IOPV计算与发布费用、收益分配中发生的费用、</w:t>
      </w:r>
      <w:r w:rsidRPr="00612B9E">
        <w:rPr>
          <w:rFonts w:hint="eastAsia"/>
          <w:sz w:val="24"/>
        </w:rPr>
        <w:t>《基金合同》生效后与基金有关的会计师</w:t>
      </w:r>
      <w:r>
        <w:rPr>
          <w:rFonts w:hint="eastAsia"/>
          <w:bCs/>
          <w:sz w:val="24"/>
        </w:rPr>
        <w:t>费、</w:t>
      </w:r>
      <w:r w:rsidRPr="00612B9E">
        <w:rPr>
          <w:rFonts w:hint="eastAsia"/>
          <w:sz w:val="24"/>
        </w:rPr>
        <w:t>律师费</w:t>
      </w:r>
      <w:r>
        <w:rPr>
          <w:rFonts w:hint="eastAsia"/>
          <w:bCs/>
          <w:sz w:val="24"/>
        </w:rPr>
        <w:t>、仲裁费和诉讼费</w:t>
      </w:r>
      <w:r w:rsidRPr="00612B9E">
        <w:rPr>
          <w:rFonts w:hint="eastAsia"/>
          <w:sz w:val="24"/>
        </w:rPr>
        <w:t>等根据有关法律法规、《基金合同》及相应协议的规定，列入当期基金费用。</w:t>
      </w:r>
    </w:p>
    <w:p w14:paraId="5A9CD82B" w14:textId="77777777" w:rsidR="004A3AC5" w:rsidRPr="00612B9E" w:rsidRDefault="004A3AC5" w:rsidP="004A3AC5">
      <w:pPr>
        <w:spacing w:line="360" w:lineRule="auto"/>
        <w:ind w:firstLineChars="225" w:firstLine="540"/>
        <w:rPr>
          <w:sz w:val="24"/>
        </w:rPr>
      </w:pPr>
      <w:r w:rsidRPr="00612B9E">
        <w:rPr>
          <w:rFonts w:hint="eastAsia"/>
          <w:sz w:val="24"/>
        </w:rPr>
        <w:t>（</w:t>
      </w:r>
      <w:r w:rsidR="0069626C">
        <w:rPr>
          <w:rFonts w:hint="eastAsia"/>
          <w:sz w:val="24"/>
        </w:rPr>
        <w:t>四</w:t>
      </w:r>
      <w:r w:rsidRPr="00612B9E">
        <w:rPr>
          <w:rFonts w:hint="eastAsia"/>
          <w:sz w:val="24"/>
        </w:rPr>
        <w:t>）不列入基金费用的项目</w:t>
      </w:r>
    </w:p>
    <w:p w14:paraId="4E1DE22E" w14:textId="77777777" w:rsidR="004A3AC5" w:rsidRPr="003F6322" w:rsidRDefault="004A3AC5" w:rsidP="004A3AC5">
      <w:pPr>
        <w:spacing w:line="360" w:lineRule="auto"/>
        <w:ind w:firstLineChars="225" w:firstLine="540"/>
        <w:rPr>
          <w:sz w:val="24"/>
        </w:rPr>
      </w:pPr>
      <w:r w:rsidRPr="00612B9E">
        <w:rPr>
          <w:rFonts w:hint="eastAsia"/>
          <w:sz w:val="24"/>
        </w:rPr>
        <w:t>《基金合同》生效前的</w:t>
      </w:r>
      <w:r>
        <w:rPr>
          <w:rFonts w:hint="eastAsia"/>
          <w:bCs/>
          <w:sz w:val="24"/>
        </w:rPr>
        <w:t>相关费用</w:t>
      </w:r>
      <w:r w:rsidRPr="00612B9E">
        <w:rPr>
          <w:rFonts w:hint="eastAsia"/>
          <w:sz w:val="24"/>
        </w:rPr>
        <w:t>；基金管理人和基金托管人因未履行或未完全履行义务导致的费用支出或基金财产的损失，</w:t>
      </w:r>
      <w:r>
        <w:rPr>
          <w:rFonts w:hint="eastAsia"/>
          <w:bCs/>
          <w:sz w:val="24"/>
        </w:rPr>
        <w:t>基金管理人和基金托管人</w:t>
      </w:r>
      <w:r w:rsidRPr="00612B9E">
        <w:rPr>
          <w:rFonts w:hint="eastAsia"/>
          <w:sz w:val="24"/>
        </w:rPr>
        <w:t>处理与基金运作无关的事项发生的费用以及其他根据相关法律法规及中国证监会的有关规定</w:t>
      </w:r>
      <w:r w:rsidRPr="00612B9E">
        <w:rPr>
          <w:rFonts w:hint="eastAsia"/>
          <w:sz w:val="24"/>
        </w:rPr>
        <w:lastRenderedPageBreak/>
        <w:t>不得列入基金费用的项目等不列入基金费用。</w:t>
      </w:r>
      <w:r w:rsidRPr="00BF48BC">
        <w:rPr>
          <w:rFonts w:hint="eastAsia"/>
          <w:sz w:val="24"/>
        </w:rPr>
        <w:t>标的指数许可使用费由基金管理人承担，不从基金财产中列支</w:t>
      </w:r>
      <w:r w:rsidRPr="001902BE">
        <w:rPr>
          <w:rFonts w:hint="eastAsia"/>
          <w:sz w:val="24"/>
        </w:rPr>
        <w:t>。</w:t>
      </w:r>
    </w:p>
    <w:p w14:paraId="6B7AE283" w14:textId="77777777" w:rsidR="004A3AC5" w:rsidRPr="00612B9E" w:rsidRDefault="004A3AC5" w:rsidP="004A3AC5">
      <w:pPr>
        <w:spacing w:line="360" w:lineRule="auto"/>
        <w:ind w:firstLineChars="225" w:firstLine="540"/>
        <w:rPr>
          <w:sz w:val="24"/>
        </w:rPr>
      </w:pPr>
      <w:r w:rsidRPr="00612B9E">
        <w:rPr>
          <w:rFonts w:hint="eastAsia"/>
          <w:sz w:val="24"/>
        </w:rPr>
        <w:t>（</w:t>
      </w:r>
      <w:r w:rsidR="0069626C">
        <w:rPr>
          <w:rFonts w:hint="eastAsia"/>
          <w:sz w:val="24"/>
        </w:rPr>
        <w:t>五</w:t>
      </w:r>
      <w:r w:rsidRPr="00612B9E">
        <w:rPr>
          <w:rFonts w:hint="eastAsia"/>
          <w:sz w:val="24"/>
        </w:rPr>
        <w:t>）基金管理费</w:t>
      </w:r>
      <w:r>
        <w:rPr>
          <w:rFonts w:hint="eastAsia"/>
          <w:sz w:val="24"/>
        </w:rPr>
        <w:t>和</w:t>
      </w:r>
      <w:r w:rsidRPr="00612B9E">
        <w:rPr>
          <w:rFonts w:hint="eastAsia"/>
          <w:sz w:val="24"/>
        </w:rPr>
        <w:t>基金托管费的复核程序、支付方式和时间</w:t>
      </w:r>
    </w:p>
    <w:p w14:paraId="6450B9B1" w14:textId="77777777" w:rsidR="004A3AC5" w:rsidRPr="00612B9E" w:rsidRDefault="004A3AC5" w:rsidP="004A3AC5">
      <w:pPr>
        <w:spacing w:line="360" w:lineRule="auto"/>
        <w:ind w:firstLineChars="225" w:firstLine="540"/>
        <w:rPr>
          <w:sz w:val="24"/>
        </w:rPr>
      </w:pPr>
      <w:r w:rsidRPr="00612B9E">
        <w:rPr>
          <w:sz w:val="24"/>
        </w:rPr>
        <w:t>1</w:t>
      </w:r>
      <w:r>
        <w:rPr>
          <w:sz w:val="24"/>
        </w:rPr>
        <w:t>、</w:t>
      </w:r>
      <w:r w:rsidRPr="00612B9E">
        <w:rPr>
          <w:rFonts w:hint="eastAsia"/>
          <w:sz w:val="24"/>
        </w:rPr>
        <w:t>复核程序</w:t>
      </w:r>
    </w:p>
    <w:p w14:paraId="07F0B01E" w14:textId="77777777" w:rsidR="004A3AC5" w:rsidRPr="00612B9E" w:rsidRDefault="004A3AC5" w:rsidP="004A3AC5">
      <w:pPr>
        <w:spacing w:line="360" w:lineRule="auto"/>
        <w:ind w:firstLineChars="225" w:firstLine="540"/>
        <w:rPr>
          <w:sz w:val="24"/>
        </w:rPr>
      </w:pPr>
      <w:r w:rsidRPr="00612B9E">
        <w:rPr>
          <w:rFonts w:hint="eastAsia"/>
          <w:sz w:val="24"/>
        </w:rPr>
        <w:t>基金托管人对基金管理人计提的基金管理费</w:t>
      </w:r>
      <w:r>
        <w:rPr>
          <w:rFonts w:hint="eastAsia"/>
          <w:sz w:val="24"/>
        </w:rPr>
        <w:t>和</w:t>
      </w:r>
      <w:r w:rsidRPr="00612B9E">
        <w:rPr>
          <w:rFonts w:hint="eastAsia"/>
          <w:sz w:val="24"/>
        </w:rPr>
        <w:t>基金托管费等，根据本托管协议和《基金合同》的有关规定进行复核。</w:t>
      </w:r>
    </w:p>
    <w:p w14:paraId="37A12932" w14:textId="77777777" w:rsidR="004A3AC5" w:rsidRPr="00612B9E" w:rsidRDefault="004A3AC5" w:rsidP="004A3AC5">
      <w:pPr>
        <w:spacing w:line="360" w:lineRule="auto"/>
        <w:ind w:firstLineChars="225" w:firstLine="540"/>
        <w:rPr>
          <w:sz w:val="24"/>
        </w:rPr>
      </w:pPr>
      <w:r w:rsidRPr="00612B9E">
        <w:rPr>
          <w:sz w:val="24"/>
        </w:rPr>
        <w:t>2</w:t>
      </w:r>
      <w:r>
        <w:rPr>
          <w:sz w:val="24"/>
        </w:rPr>
        <w:t>、</w:t>
      </w:r>
      <w:r w:rsidRPr="00612B9E">
        <w:rPr>
          <w:rFonts w:hint="eastAsia"/>
          <w:sz w:val="24"/>
        </w:rPr>
        <w:t>支付方式和时间</w:t>
      </w:r>
    </w:p>
    <w:p w14:paraId="3CB622C7" w14:textId="2013B696" w:rsidR="002123B7" w:rsidRDefault="004A3AC5" w:rsidP="004A3AC5">
      <w:pPr>
        <w:spacing w:line="360" w:lineRule="auto"/>
        <w:ind w:firstLineChars="200" w:firstLine="480"/>
        <w:jc w:val="both"/>
        <w:rPr>
          <w:rFonts w:ascii="Times New Roman" w:hAnsi="Times New Roman"/>
          <w:spacing w:val="-4"/>
          <w:sz w:val="24"/>
          <w:szCs w:val="24"/>
        </w:rPr>
      </w:pPr>
      <w:r w:rsidRPr="00612B9E">
        <w:rPr>
          <w:rFonts w:hint="eastAsia"/>
          <w:sz w:val="24"/>
        </w:rPr>
        <w:t>基金管理费、</w:t>
      </w:r>
      <w:r w:rsidR="00D8519F">
        <w:rPr>
          <w:rFonts w:ascii="Times New Roman" w:hAnsi="Times New Roman" w:hint="eastAsia"/>
          <w:spacing w:val="-4"/>
          <w:sz w:val="24"/>
          <w:szCs w:val="24"/>
        </w:rPr>
        <w:t>基金托管费每日计提，逐日累计至每月月末，按月支付，经基金管理人与基金托管人双方核对无误后，</w:t>
      </w:r>
      <w:r w:rsidRPr="00612B9E">
        <w:rPr>
          <w:rFonts w:hint="eastAsia"/>
          <w:sz w:val="24"/>
        </w:rPr>
        <w:t>由基金托管人根据与基金管理人核对一致的财务数据，自动在月初</w:t>
      </w:r>
      <w:r w:rsidRPr="00612B9E">
        <w:rPr>
          <w:sz w:val="24"/>
        </w:rPr>
        <w:t>5</w:t>
      </w:r>
      <w:proofErr w:type="gramStart"/>
      <w:r w:rsidRPr="00612B9E">
        <w:rPr>
          <w:rFonts w:hint="eastAsia"/>
          <w:sz w:val="24"/>
        </w:rPr>
        <w:t>个</w:t>
      </w:r>
      <w:proofErr w:type="gramEnd"/>
      <w:r w:rsidRPr="00612B9E">
        <w:rPr>
          <w:rFonts w:hint="eastAsia"/>
          <w:sz w:val="24"/>
        </w:rPr>
        <w:t>工作日内、按照指定的账户路径进行资金支付，基金管理人无需再出具资金划拨指令。费用自动扣划后，基金管理人应进行核对，如发现数据不符，及时联系基金托管人协商解决。</w:t>
      </w:r>
      <w:r w:rsidR="00D8519F">
        <w:rPr>
          <w:rFonts w:ascii="Times New Roman" w:hAnsi="Times New Roman"/>
          <w:spacing w:val="-4"/>
          <w:sz w:val="24"/>
          <w:szCs w:val="24"/>
        </w:rPr>
        <w:t>若遇法定节假日、休息日或不可抗力致使无法按时支付的，顺延至最近可支付日支付。</w:t>
      </w:r>
      <w:bookmarkEnd w:id="27"/>
    </w:p>
    <w:p w14:paraId="32610E4D" w14:textId="77777777" w:rsidR="004A3AC5" w:rsidRPr="00612B9E" w:rsidRDefault="004A3AC5" w:rsidP="004A3AC5">
      <w:pPr>
        <w:spacing w:line="360" w:lineRule="auto"/>
        <w:ind w:firstLineChars="225" w:firstLine="540"/>
        <w:rPr>
          <w:sz w:val="24"/>
        </w:rPr>
      </w:pPr>
      <w:r w:rsidRPr="00612B9E">
        <w:rPr>
          <w:rFonts w:hint="eastAsia"/>
          <w:sz w:val="24"/>
        </w:rPr>
        <w:t>在首期支付基金管理费</w:t>
      </w:r>
      <w:r w:rsidRPr="00612B9E">
        <w:rPr>
          <w:sz w:val="24"/>
        </w:rPr>
        <w:t>前，基金管理人应向</w:t>
      </w:r>
      <w:r>
        <w:rPr>
          <w:rFonts w:hint="eastAsia"/>
          <w:bCs/>
          <w:sz w:val="24"/>
        </w:rPr>
        <w:t>基金</w:t>
      </w:r>
      <w:r w:rsidRPr="00612B9E">
        <w:rPr>
          <w:sz w:val="24"/>
        </w:rPr>
        <w:t>托管人出具正式函件指定基金管理费的收款账户。基金管理人如需要</w:t>
      </w:r>
      <w:proofErr w:type="gramStart"/>
      <w:r w:rsidRPr="00612B9E">
        <w:rPr>
          <w:rFonts w:hint="eastAsia"/>
          <w:sz w:val="24"/>
        </w:rPr>
        <w:t>变更此</w:t>
      </w:r>
      <w:proofErr w:type="gramEnd"/>
      <w:r w:rsidRPr="00612B9E">
        <w:rPr>
          <w:rFonts w:hint="eastAsia"/>
          <w:sz w:val="24"/>
        </w:rPr>
        <w:t>账户，应提前</w:t>
      </w:r>
      <w:r w:rsidRPr="00612B9E">
        <w:rPr>
          <w:sz w:val="24"/>
        </w:rPr>
        <w:t>5个工作日向</w:t>
      </w:r>
      <w:r>
        <w:rPr>
          <w:rFonts w:hint="eastAsia"/>
          <w:bCs/>
          <w:sz w:val="24"/>
        </w:rPr>
        <w:t>基金</w:t>
      </w:r>
      <w:r w:rsidRPr="00612B9E">
        <w:rPr>
          <w:sz w:val="24"/>
        </w:rPr>
        <w:t>托管人出具书面的收款账户变更通知。</w:t>
      </w:r>
    </w:p>
    <w:p w14:paraId="2C61105E" w14:textId="3F91424D" w:rsidR="002123B7" w:rsidRDefault="00D8519F" w:rsidP="007C6FD2">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w:t>
      </w:r>
      <w:r w:rsidR="0069626C">
        <w:rPr>
          <w:rFonts w:ascii="Times New Roman" w:hAnsi="Times New Roman" w:hint="eastAsia"/>
          <w:spacing w:val="-4"/>
          <w:sz w:val="24"/>
          <w:szCs w:val="24"/>
        </w:rPr>
        <w:t>六</w:t>
      </w:r>
      <w:r>
        <w:rPr>
          <w:rFonts w:ascii="Times New Roman" w:hAnsi="Times New Roman"/>
          <w:spacing w:val="-4"/>
          <w:sz w:val="24"/>
          <w:szCs w:val="24"/>
        </w:rPr>
        <w:t>）违规处理方式</w:t>
      </w:r>
    </w:p>
    <w:p w14:paraId="22BDB1AE"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托管人发现基金管理人违反《基金法》、《基金合同》、《运作办法》及其他有关规定从基金财产中列支费用时，基金托管人可要求基金管理人予以说明解释，如基金管理人无正当理由，基金托管人可拒绝支付。</w:t>
      </w:r>
      <w:bookmarkEnd w:id="24"/>
    </w:p>
    <w:p w14:paraId="62561748"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28" w:name="_Toc516502497"/>
      <w:r>
        <w:rPr>
          <w:rFonts w:ascii="Times New Roman" w:eastAsia="宋体" w:hAnsi="Times New Roman" w:cs="Times New Roman"/>
          <w:bCs w:val="0"/>
          <w:color w:val="000000" w:themeColor="text1"/>
          <w:kern w:val="2"/>
          <w:lang w:val="en-US" w:bidi="ar-SA"/>
        </w:rPr>
        <w:t>十二、基金份额持有人名册的登记与保管</w:t>
      </w:r>
      <w:bookmarkEnd w:id="28"/>
    </w:p>
    <w:p w14:paraId="1BC81267" w14:textId="266FD358" w:rsidR="000A56DF" w:rsidRPr="000A56DF" w:rsidRDefault="000A56DF" w:rsidP="000A56DF">
      <w:pPr>
        <w:spacing w:line="360" w:lineRule="auto"/>
        <w:ind w:firstLineChars="200" w:firstLine="472"/>
        <w:jc w:val="both"/>
        <w:rPr>
          <w:rFonts w:ascii="Times New Roman" w:hAnsi="Times New Roman"/>
          <w:spacing w:val="-4"/>
          <w:sz w:val="24"/>
          <w:szCs w:val="24"/>
        </w:rPr>
      </w:pPr>
      <w:bookmarkStart w:id="29" w:name="_Toc516502498"/>
      <w:r w:rsidRPr="000A56DF">
        <w:rPr>
          <w:rFonts w:ascii="Times New Roman" w:hAnsi="Times New Roman" w:hint="eastAsia"/>
          <w:spacing w:val="-4"/>
          <w:sz w:val="24"/>
          <w:szCs w:val="24"/>
        </w:rPr>
        <w:t>基金份额持有人名册至少应包括基金份额持有人的名称和持有的基金份额。基金份额持有人名册由基金登记机构根据基金管理人的指令编制和保管。基金管理人和基金托管人应分别保管基金份额持有人名册，保存期</w:t>
      </w:r>
      <w:r w:rsidR="00BC55B9">
        <w:rPr>
          <w:rFonts w:ascii="Times New Roman" w:hAnsi="Times New Roman" w:hint="eastAsia"/>
          <w:spacing w:val="-4"/>
          <w:sz w:val="24"/>
          <w:szCs w:val="24"/>
        </w:rPr>
        <w:t>限</w:t>
      </w:r>
      <w:r w:rsidR="00230466">
        <w:rPr>
          <w:rFonts w:ascii="Times New Roman" w:hAnsi="Times New Roman" w:hint="eastAsia"/>
          <w:spacing w:val="-4"/>
          <w:sz w:val="24"/>
          <w:szCs w:val="24"/>
        </w:rPr>
        <w:t>按照法律法规的规定执行</w:t>
      </w:r>
      <w:r w:rsidRPr="000A56DF">
        <w:rPr>
          <w:rFonts w:ascii="Times New Roman" w:hAnsi="Times New Roman" w:hint="eastAsia"/>
          <w:spacing w:val="-4"/>
          <w:sz w:val="24"/>
          <w:szCs w:val="24"/>
        </w:rPr>
        <w:t>。如不能妥善保管，则按相关法规承担责任。</w:t>
      </w:r>
    </w:p>
    <w:p w14:paraId="6576CCD0" w14:textId="77777777" w:rsidR="000A56DF" w:rsidRPr="000A56DF" w:rsidRDefault="000A56DF" w:rsidP="000A56DF">
      <w:pPr>
        <w:spacing w:line="360" w:lineRule="auto"/>
        <w:ind w:firstLineChars="200" w:firstLine="472"/>
        <w:jc w:val="both"/>
        <w:rPr>
          <w:rFonts w:ascii="Times New Roman" w:hAnsi="Times New Roman"/>
          <w:spacing w:val="-4"/>
          <w:sz w:val="24"/>
          <w:szCs w:val="24"/>
        </w:rPr>
      </w:pPr>
      <w:r w:rsidRPr="000A56DF">
        <w:rPr>
          <w:rFonts w:ascii="Times New Roman" w:hAnsi="Times New Roman" w:hint="eastAsia"/>
          <w:spacing w:val="-4"/>
          <w:sz w:val="24"/>
          <w:szCs w:val="24"/>
        </w:rPr>
        <w:t>在基金托管人要求或编制中期报告和年报前，基金管理人应将有关资料送交基金托管人，不得无故拒绝或延误提供，并保证其的真实性、准确性和完整性。基金托管人不得将所保管的基金份额持有人名册用于基金托管业务以外的其他用途，并应遵守保密义务。</w:t>
      </w:r>
    </w:p>
    <w:p w14:paraId="199C27C6" w14:textId="77777777" w:rsidR="002123B7" w:rsidRDefault="00D8519F" w:rsidP="000A56D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r>
        <w:rPr>
          <w:rFonts w:ascii="Times New Roman" w:eastAsia="宋体" w:hAnsi="Times New Roman" w:cs="Times New Roman"/>
          <w:bCs w:val="0"/>
          <w:color w:val="000000" w:themeColor="text1"/>
          <w:kern w:val="2"/>
          <w:lang w:val="en-US" w:bidi="ar-SA"/>
        </w:rPr>
        <w:lastRenderedPageBreak/>
        <w:t>十三、基金有关文件档案的保存</w:t>
      </w:r>
      <w:bookmarkEnd w:id="29"/>
    </w:p>
    <w:p w14:paraId="16AE931A"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（一）档案保存</w:t>
      </w:r>
    </w:p>
    <w:p w14:paraId="424DFA74" w14:textId="3D466EF5"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基金管理人应保存基金财产管理业务活动的记录、账册、报表和其他相关资料。基金托管人应保存基金托管业务活动的记录、账册、报表和其他相关资料。基金管理人和基金托管人都应当按</w:t>
      </w:r>
      <w:r w:rsidR="00230466">
        <w:rPr>
          <w:rFonts w:ascii="Times New Roman" w:hAnsi="Times New Roman"/>
          <w:spacing w:val="-4"/>
          <w:sz w:val="24"/>
          <w:szCs w:val="24"/>
        </w:rPr>
        <w:t>法律法规</w:t>
      </w:r>
      <w:r>
        <w:rPr>
          <w:rFonts w:ascii="Times New Roman" w:hAnsi="Times New Roman"/>
          <w:spacing w:val="-4"/>
          <w:sz w:val="24"/>
          <w:szCs w:val="24"/>
        </w:rPr>
        <w:t>规定的期限保管。</w:t>
      </w:r>
    </w:p>
    <w:p w14:paraId="448DFBD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（二）合同档案的建立</w:t>
      </w:r>
    </w:p>
    <w:p w14:paraId="16038728"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基金管理人代表基金签署与基金相关的重大合同文本后，应及时将重大合同</w:t>
      </w:r>
      <w:r>
        <w:rPr>
          <w:rFonts w:ascii="Times New Roman" w:hAnsi="Times New Roman" w:hint="eastAsia"/>
          <w:spacing w:val="-4"/>
          <w:sz w:val="24"/>
          <w:szCs w:val="24"/>
        </w:rPr>
        <w:t>扫描</w:t>
      </w:r>
      <w:r>
        <w:rPr>
          <w:rFonts w:ascii="Times New Roman" w:hAnsi="Times New Roman"/>
          <w:spacing w:val="-4"/>
          <w:sz w:val="24"/>
          <w:szCs w:val="24"/>
        </w:rPr>
        <w:t>件发送给基金托管人，并在十个工作日内将合同文本正本送达基金托管人处。</w:t>
      </w:r>
    </w:p>
    <w:p w14:paraId="2064BC6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（三）变更与协助</w:t>
      </w:r>
    </w:p>
    <w:p w14:paraId="539CC86F" w14:textId="77777777" w:rsidR="002123B7" w:rsidRDefault="00D8519F">
      <w:pPr>
        <w:spacing w:line="360" w:lineRule="auto"/>
        <w:ind w:firstLineChars="200" w:firstLine="472"/>
        <w:jc w:val="both"/>
        <w:rPr>
          <w:rFonts w:ascii="Times New Roman" w:hAnsi="Times New Roman"/>
          <w:spacing w:val="-4"/>
          <w:sz w:val="24"/>
          <w:szCs w:val="24"/>
        </w:rPr>
      </w:pPr>
      <w:proofErr w:type="gramStart"/>
      <w:r>
        <w:rPr>
          <w:rFonts w:ascii="Times New Roman" w:hAnsi="Times New Roman"/>
          <w:spacing w:val="-4"/>
          <w:sz w:val="24"/>
          <w:szCs w:val="24"/>
        </w:rPr>
        <w:t>若基金</w:t>
      </w:r>
      <w:proofErr w:type="gramEnd"/>
      <w:r>
        <w:rPr>
          <w:rFonts w:ascii="Times New Roman" w:hAnsi="Times New Roman"/>
          <w:spacing w:val="-4"/>
          <w:sz w:val="24"/>
          <w:szCs w:val="24"/>
        </w:rPr>
        <w:t>管理人</w:t>
      </w:r>
      <w:r>
        <w:rPr>
          <w:rFonts w:ascii="Times New Roman" w:hAnsi="Times New Roman"/>
          <w:spacing w:val="-4"/>
          <w:sz w:val="24"/>
          <w:szCs w:val="24"/>
        </w:rPr>
        <w:t>/</w:t>
      </w:r>
      <w:r>
        <w:rPr>
          <w:rFonts w:ascii="Times New Roman" w:hAnsi="Times New Roman"/>
          <w:spacing w:val="-4"/>
          <w:sz w:val="24"/>
          <w:szCs w:val="24"/>
        </w:rPr>
        <w:t>基金托管人发生变更，未变更的一方有义务协助变更后的接任人接收相应文件。</w:t>
      </w:r>
    </w:p>
    <w:p w14:paraId="7211FB04"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30" w:name="_Toc516502499"/>
      <w:bookmarkStart w:id="31" w:name="_Hlk179972439"/>
      <w:r>
        <w:rPr>
          <w:rFonts w:ascii="Times New Roman" w:eastAsia="宋体" w:hAnsi="Times New Roman" w:cs="Times New Roman"/>
          <w:bCs w:val="0"/>
          <w:color w:val="000000" w:themeColor="text1"/>
          <w:kern w:val="2"/>
          <w:lang w:val="en-US" w:bidi="ar-SA"/>
        </w:rPr>
        <w:t>十四、基金管理人和基金托管人的更换</w:t>
      </w:r>
      <w:bookmarkEnd w:id="30"/>
    </w:p>
    <w:p w14:paraId="36D7B061"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（一）基金管理人的更换</w:t>
      </w:r>
    </w:p>
    <w:p w14:paraId="0B9650AF"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1</w:t>
      </w:r>
      <w:r>
        <w:rPr>
          <w:rFonts w:ascii="Times New Roman" w:hAnsi="Times New Roman" w:hint="eastAsia"/>
          <w:color w:val="000000"/>
          <w:sz w:val="24"/>
          <w:szCs w:val="24"/>
          <w:lang w:val="en-US"/>
        </w:rPr>
        <w:t>、</w:t>
      </w:r>
      <w:r>
        <w:rPr>
          <w:rFonts w:ascii="Times New Roman" w:hAnsi="Times New Roman" w:hint="eastAsia"/>
          <w:color w:val="000000"/>
          <w:sz w:val="24"/>
          <w:szCs w:val="24"/>
        </w:rPr>
        <w:t>基金管理人的更换条件</w:t>
      </w:r>
    </w:p>
    <w:p w14:paraId="20A1FC14"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有下列情形之一的，基金管理人职责终止：</w:t>
      </w:r>
    </w:p>
    <w:p w14:paraId="01504F14"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1</w:t>
      </w:r>
      <w:r>
        <w:rPr>
          <w:rFonts w:ascii="Times New Roman" w:hAnsi="Times New Roman" w:hint="eastAsia"/>
          <w:color w:val="000000"/>
          <w:sz w:val="24"/>
          <w:szCs w:val="24"/>
        </w:rPr>
        <w:t>）基金管理人被依法取消基金管理资格；</w:t>
      </w:r>
    </w:p>
    <w:p w14:paraId="00F67482"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2</w:t>
      </w:r>
      <w:r>
        <w:rPr>
          <w:rFonts w:ascii="Times New Roman" w:hAnsi="Times New Roman" w:hint="eastAsia"/>
          <w:color w:val="000000"/>
          <w:sz w:val="24"/>
          <w:szCs w:val="24"/>
        </w:rPr>
        <w:t>）基金管理人被基金份额持有人大会解任；</w:t>
      </w:r>
    </w:p>
    <w:p w14:paraId="09E04239"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lang w:val="en-US"/>
        </w:rPr>
      </w:pPr>
      <w:r>
        <w:rPr>
          <w:rFonts w:ascii="Times New Roman" w:hAnsi="Times New Roman" w:hint="eastAsia"/>
          <w:color w:val="000000"/>
          <w:sz w:val="24"/>
          <w:szCs w:val="24"/>
        </w:rPr>
        <w:t>（</w:t>
      </w:r>
      <w:r>
        <w:rPr>
          <w:rFonts w:ascii="Times New Roman" w:hAnsi="Times New Roman" w:hint="eastAsia"/>
          <w:color w:val="000000"/>
          <w:sz w:val="24"/>
          <w:szCs w:val="24"/>
        </w:rPr>
        <w:t>3</w:t>
      </w:r>
      <w:r>
        <w:rPr>
          <w:rFonts w:ascii="Times New Roman" w:hAnsi="Times New Roman" w:hint="eastAsia"/>
          <w:color w:val="000000"/>
          <w:sz w:val="24"/>
          <w:szCs w:val="24"/>
        </w:rPr>
        <w:t>）基金管理人依法解散、被依法撤销或被依法宣告破产；</w:t>
      </w:r>
    </w:p>
    <w:p w14:paraId="7B593D03"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4</w:t>
      </w:r>
      <w:r>
        <w:rPr>
          <w:rFonts w:ascii="Times New Roman" w:hAnsi="Times New Roman" w:hint="eastAsia"/>
          <w:color w:val="000000"/>
          <w:sz w:val="24"/>
          <w:szCs w:val="24"/>
        </w:rPr>
        <w:t>）法律法规及中国证监会规定的和基金合同约定的其他情形。</w:t>
      </w:r>
    </w:p>
    <w:p w14:paraId="2986856A"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2</w:t>
      </w:r>
      <w:r>
        <w:rPr>
          <w:rFonts w:ascii="Times New Roman" w:hAnsi="Times New Roman" w:hint="eastAsia"/>
          <w:color w:val="000000"/>
          <w:sz w:val="24"/>
          <w:szCs w:val="24"/>
        </w:rPr>
        <w:t>、基金管理人的更换程序</w:t>
      </w:r>
    </w:p>
    <w:p w14:paraId="28B8EE7A"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更换基金管理人必须依照如下程序进行：</w:t>
      </w:r>
    </w:p>
    <w:p w14:paraId="59A19649"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1</w:t>
      </w:r>
      <w:r>
        <w:rPr>
          <w:rFonts w:ascii="Times New Roman" w:hAnsi="Times New Roman" w:hint="eastAsia"/>
          <w:color w:val="000000"/>
          <w:sz w:val="24"/>
          <w:szCs w:val="24"/>
        </w:rPr>
        <w:t>）提名：</w:t>
      </w:r>
      <w:proofErr w:type="gramStart"/>
      <w:r>
        <w:rPr>
          <w:rFonts w:ascii="Times New Roman" w:hAnsi="Times New Roman" w:hint="eastAsia"/>
          <w:bCs/>
          <w:sz w:val="24"/>
        </w:rPr>
        <w:t>新任基金</w:t>
      </w:r>
      <w:proofErr w:type="gramEnd"/>
      <w:r>
        <w:rPr>
          <w:rFonts w:ascii="Times New Roman" w:hAnsi="Times New Roman" w:hint="eastAsia"/>
          <w:bCs/>
          <w:sz w:val="24"/>
        </w:rPr>
        <w:t>管理人由基金托管人或由单独或合计持有</w:t>
      </w:r>
      <w:r>
        <w:rPr>
          <w:rFonts w:ascii="Times New Roman" w:hAnsi="Times New Roman"/>
          <w:bCs/>
          <w:sz w:val="24"/>
        </w:rPr>
        <w:t>10%</w:t>
      </w:r>
      <w:r>
        <w:rPr>
          <w:rFonts w:ascii="Times New Roman" w:hAnsi="Times New Roman"/>
          <w:bCs/>
          <w:sz w:val="24"/>
        </w:rPr>
        <w:t>以上（含</w:t>
      </w:r>
      <w:r>
        <w:rPr>
          <w:rFonts w:ascii="Times New Roman" w:hAnsi="Times New Roman"/>
          <w:bCs/>
          <w:sz w:val="24"/>
        </w:rPr>
        <w:t>10%</w:t>
      </w:r>
      <w:r>
        <w:rPr>
          <w:rFonts w:ascii="Times New Roman" w:hAnsi="Times New Roman"/>
          <w:bCs/>
          <w:sz w:val="24"/>
        </w:rPr>
        <w:t>）基金份额的基金份额持有人提名</w:t>
      </w:r>
      <w:r>
        <w:rPr>
          <w:rFonts w:ascii="Times New Roman" w:hAnsi="Times New Roman" w:hint="eastAsia"/>
          <w:color w:val="000000"/>
          <w:sz w:val="24"/>
          <w:szCs w:val="24"/>
        </w:rPr>
        <w:t>；</w:t>
      </w:r>
    </w:p>
    <w:p w14:paraId="270F51CD"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2</w:t>
      </w:r>
      <w:r>
        <w:rPr>
          <w:rFonts w:ascii="Times New Roman" w:hAnsi="Times New Roman" w:hint="eastAsia"/>
          <w:color w:val="000000"/>
          <w:sz w:val="24"/>
          <w:szCs w:val="24"/>
        </w:rPr>
        <w:t>）决议：基金份额持有人大会在基金管理人职责终止后</w:t>
      </w:r>
      <w:r>
        <w:rPr>
          <w:rFonts w:ascii="Times New Roman" w:hAnsi="Times New Roman" w:hint="eastAsia"/>
          <w:color w:val="000000"/>
          <w:sz w:val="24"/>
          <w:szCs w:val="24"/>
        </w:rPr>
        <w:t>6</w:t>
      </w:r>
      <w:r>
        <w:rPr>
          <w:rFonts w:ascii="Times New Roman" w:hAnsi="Times New Roman" w:hint="eastAsia"/>
          <w:color w:val="000000"/>
          <w:sz w:val="24"/>
          <w:szCs w:val="24"/>
        </w:rPr>
        <w:t>个月内对被提名的基金管理人形成决议，该决议需经参加大会的基金份额持有人所持表决权的三分之二以上（含三分之二）表决通过</w:t>
      </w:r>
      <w:r>
        <w:rPr>
          <w:bCs/>
          <w:sz w:val="24"/>
        </w:rPr>
        <w:t>，决议自表决通过之日起生效</w:t>
      </w:r>
      <w:r>
        <w:rPr>
          <w:rFonts w:ascii="Times New Roman" w:hAnsi="Times New Roman" w:hint="eastAsia"/>
          <w:color w:val="000000"/>
          <w:sz w:val="24"/>
          <w:szCs w:val="24"/>
        </w:rPr>
        <w:t>；</w:t>
      </w:r>
    </w:p>
    <w:p w14:paraId="11C1F2CD"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3</w:t>
      </w:r>
      <w:r>
        <w:rPr>
          <w:rFonts w:ascii="Times New Roman" w:hAnsi="Times New Roman" w:hint="eastAsia"/>
          <w:color w:val="000000"/>
          <w:sz w:val="24"/>
          <w:szCs w:val="24"/>
        </w:rPr>
        <w:t>）临时基金管理人：</w:t>
      </w:r>
      <w:proofErr w:type="gramStart"/>
      <w:r>
        <w:rPr>
          <w:rFonts w:ascii="Times New Roman" w:hAnsi="Times New Roman" w:hint="eastAsia"/>
          <w:bCs/>
          <w:sz w:val="24"/>
        </w:rPr>
        <w:t>新任基金</w:t>
      </w:r>
      <w:proofErr w:type="gramEnd"/>
      <w:r>
        <w:rPr>
          <w:rFonts w:ascii="Times New Roman" w:hAnsi="Times New Roman" w:hint="eastAsia"/>
          <w:bCs/>
          <w:sz w:val="24"/>
        </w:rPr>
        <w:t>管理人产生之前，由中国证监会指定临时基金管理人</w:t>
      </w:r>
      <w:r>
        <w:rPr>
          <w:rFonts w:ascii="Times New Roman" w:hAnsi="Times New Roman" w:hint="eastAsia"/>
          <w:color w:val="000000"/>
          <w:sz w:val="24"/>
          <w:szCs w:val="24"/>
        </w:rPr>
        <w:t>；</w:t>
      </w:r>
    </w:p>
    <w:p w14:paraId="588C6755"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lastRenderedPageBreak/>
        <w:t>（</w:t>
      </w:r>
      <w:r>
        <w:rPr>
          <w:rFonts w:ascii="Times New Roman" w:hAnsi="Times New Roman" w:hint="eastAsia"/>
          <w:color w:val="000000"/>
          <w:sz w:val="24"/>
          <w:szCs w:val="24"/>
        </w:rPr>
        <w:t>4</w:t>
      </w:r>
      <w:r>
        <w:rPr>
          <w:rFonts w:ascii="Times New Roman" w:hAnsi="Times New Roman" w:hint="eastAsia"/>
          <w:color w:val="000000"/>
          <w:sz w:val="24"/>
          <w:szCs w:val="24"/>
        </w:rPr>
        <w:t>）备案：</w:t>
      </w:r>
      <w:r>
        <w:rPr>
          <w:rFonts w:ascii="Times New Roman" w:hAnsi="Times New Roman" w:hint="eastAsia"/>
          <w:sz w:val="24"/>
          <w:szCs w:val="24"/>
        </w:rPr>
        <w:t>基金份额持有人大会更换基金管理人的决议须报中国证监会备案</w:t>
      </w:r>
      <w:r>
        <w:rPr>
          <w:rFonts w:ascii="Times New Roman" w:hAnsi="Times New Roman" w:hint="eastAsia"/>
          <w:color w:val="000000"/>
          <w:sz w:val="24"/>
          <w:szCs w:val="24"/>
        </w:rPr>
        <w:t>；</w:t>
      </w:r>
    </w:p>
    <w:p w14:paraId="1D64FEF3"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5</w:t>
      </w:r>
      <w:r>
        <w:rPr>
          <w:rFonts w:ascii="Times New Roman" w:hAnsi="Times New Roman" w:hint="eastAsia"/>
          <w:color w:val="000000"/>
          <w:sz w:val="24"/>
          <w:szCs w:val="24"/>
        </w:rPr>
        <w:t>）公告：基金管理人更换后，由基金托管人在更换</w:t>
      </w:r>
      <w:r>
        <w:rPr>
          <w:rFonts w:ascii="Times New Roman" w:hAnsi="Times New Roman"/>
          <w:color w:val="000000"/>
          <w:sz w:val="24"/>
          <w:szCs w:val="24"/>
        </w:rPr>
        <w:t>基金管理人的基金份额持有人大会决议</w:t>
      </w:r>
      <w:r>
        <w:rPr>
          <w:rFonts w:ascii="Times New Roman" w:hAnsi="Times New Roman" w:hint="eastAsia"/>
          <w:color w:val="000000"/>
          <w:sz w:val="24"/>
          <w:szCs w:val="24"/>
        </w:rPr>
        <w:t>生效后</w:t>
      </w:r>
      <w:r>
        <w:rPr>
          <w:rFonts w:ascii="Times New Roman" w:hAnsi="Times New Roman"/>
          <w:color w:val="000000"/>
          <w:sz w:val="24"/>
          <w:szCs w:val="24"/>
        </w:rPr>
        <w:t>2</w:t>
      </w:r>
      <w:r>
        <w:rPr>
          <w:rFonts w:ascii="Times New Roman" w:hAnsi="Times New Roman"/>
          <w:color w:val="000000"/>
          <w:sz w:val="24"/>
          <w:szCs w:val="24"/>
        </w:rPr>
        <w:t>日内在规定媒介公告</w:t>
      </w:r>
      <w:r>
        <w:rPr>
          <w:rFonts w:ascii="Times New Roman" w:hAnsi="Times New Roman" w:hint="eastAsia"/>
          <w:color w:val="000000"/>
          <w:sz w:val="24"/>
          <w:szCs w:val="24"/>
        </w:rPr>
        <w:t>；</w:t>
      </w:r>
    </w:p>
    <w:p w14:paraId="4695664D" w14:textId="77777777" w:rsidR="002123B7" w:rsidRDefault="00D8519F">
      <w:pPr>
        <w:adjustRightInd w:val="0"/>
        <w:snapToGrid w:val="0"/>
        <w:spacing w:line="360" w:lineRule="auto"/>
        <w:ind w:firstLineChars="200" w:firstLine="480"/>
        <w:jc w:val="both"/>
        <w:rPr>
          <w:rFonts w:ascii="Times New Roman" w:hAnsi="Times New Roman"/>
          <w:bCs/>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6</w:t>
      </w:r>
      <w:r>
        <w:rPr>
          <w:rFonts w:ascii="Times New Roman" w:hAnsi="Times New Roman" w:hint="eastAsia"/>
          <w:color w:val="000000"/>
          <w:sz w:val="24"/>
          <w:szCs w:val="24"/>
        </w:rPr>
        <w:t>）</w:t>
      </w:r>
      <w:r>
        <w:rPr>
          <w:rFonts w:ascii="Times New Roman" w:hAnsi="Times New Roman"/>
          <w:bCs/>
          <w:sz w:val="24"/>
        </w:rPr>
        <w:t>交接：基金管理人职责终止的，基金管理人应妥善保管基金管理业务资料，及时向临时基金管理人或</w:t>
      </w:r>
      <w:proofErr w:type="gramStart"/>
      <w:r>
        <w:rPr>
          <w:rFonts w:ascii="Times New Roman" w:hAnsi="Times New Roman"/>
          <w:bCs/>
          <w:sz w:val="24"/>
        </w:rPr>
        <w:t>新任基金</w:t>
      </w:r>
      <w:proofErr w:type="gramEnd"/>
      <w:r>
        <w:rPr>
          <w:rFonts w:ascii="Times New Roman" w:hAnsi="Times New Roman"/>
          <w:bCs/>
          <w:sz w:val="24"/>
        </w:rPr>
        <w:t>管理人办理基金管理业务的移交手续，临时基金管理人或</w:t>
      </w:r>
      <w:proofErr w:type="gramStart"/>
      <w:r>
        <w:rPr>
          <w:rFonts w:ascii="Times New Roman" w:hAnsi="Times New Roman"/>
          <w:bCs/>
          <w:sz w:val="24"/>
        </w:rPr>
        <w:t>新任基金</w:t>
      </w:r>
      <w:proofErr w:type="gramEnd"/>
      <w:r>
        <w:rPr>
          <w:rFonts w:ascii="Times New Roman" w:hAnsi="Times New Roman"/>
          <w:bCs/>
          <w:sz w:val="24"/>
        </w:rPr>
        <w:t>管理人应及时接收。</w:t>
      </w:r>
      <w:proofErr w:type="gramStart"/>
      <w:r>
        <w:rPr>
          <w:rFonts w:ascii="Times New Roman" w:hAnsi="Times New Roman" w:hint="eastAsia"/>
          <w:bCs/>
          <w:sz w:val="24"/>
        </w:rPr>
        <w:t>新任基金</w:t>
      </w:r>
      <w:proofErr w:type="gramEnd"/>
      <w:r>
        <w:rPr>
          <w:rFonts w:ascii="Times New Roman" w:hAnsi="Times New Roman" w:hint="eastAsia"/>
          <w:bCs/>
          <w:sz w:val="24"/>
        </w:rPr>
        <w:t>管理人或者临时</w:t>
      </w:r>
      <w:r>
        <w:rPr>
          <w:rFonts w:ascii="Times New Roman" w:hAnsi="Times New Roman"/>
          <w:bCs/>
          <w:sz w:val="24"/>
        </w:rPr>
        <w:t>基金管理人应与基金托管人核对基金资产总值</w:t>
      </w:r>
      <w:r>
        <w:rPr>
          <w:rFonts w:ascii="Times New Roman" w:hAnsi="Times New Roman" w:hint="eastAsia"/>
          <w:bCs/>
          <w:sz w:val="24"/>
        </w:rPr>
        <w:t>和净值</w:t>
      </w:r>
      <w:r>
        <w:rPr>
          <w:rFonts w:ascii="Times New Roman" w:hAnsi="Times New Roman" w:hint="eastAsia"/>
          <w:bCs/>
          <w:color w:val="000000"/>
          <w:sz w:val="24"/>
          <w:szCs w:val="24"/>
        </w:rPr>
        <w:t>；</w:t>
      </w:r>
    </w:p>
    <w:p w14:paraId="6C827063"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7</w:t>
      </w:r>
      <w:r>
        <w:rPr>
          <w:rFonts w:ascii="Times New Roman" w:hAnsi="Times New Roman" w:hint="eastAsia"/>
          <w:color w:val="000000"/>
          <w:sz w:val="24"/>
          <w:szCs w:val="24"/>
        </w:rPr>
        <w:t>）审计：基金管理人职责终止的，应当按照法律法规规定聘请会计师事务所对基金财产进行审计，并将审计结果予以公告，同时报</w:t>
      </w:r>
      <w:r>
        <w:rPr>
          <w:rFonts w:ascii="Times New Roman" w:hAnsi="Times New Roman" w:hint="eastAsia"/>
          <w:sz w:val="24"/>
          <w:szCs w:val="24"/>
        </w:rPr>
        <w:t>中国证监会</w:t>
      </w:r>
      <w:r>
        <w:rPr>
          <w:rFonts w:ascii="Times New Roman" w:hAnsi="Times New Roman" w:hint="eastAsia"/>
          <w:color w:val="000000"/>
          <w:sz w:val="24"/>
          <w:szCs w:val="24"/>
        </w:rPr>
        <w:t>备案。审计费用由基金财产承担；</w:t>
      </w:r>
    </w:p>
    <w:p w14:paraId="631E6CB1" w14:textId="77777777" w:rsidR="002123B7" w:rsidRDefault="00D8519F">
      <w:pPr>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8</w:t>
      </w:r>
      <w:r>
        <w:rPr>
          <w:rFonts w:ascii="Times New Roman" w:hAnsi="Times New Roman" w:hint="eastAsia"/>
          <w:color w:val="000000"/>
          <w:sz w:val="24"/>
          <w:szCs w:val="24"/>
        </w:rPr>
        <w:t>）基金名称变更：基金管理人更换后，如果原任或</w:t>
      </w:r>
      <w:proofErr w:type="gramStart"/>
      <w:r>
        <w:rPr>
          <w:rFonts w:ascii="Times New Roman" w:hAnsi="Times New Roman" w:hint="eastAsia"/>
          <w:color w:val="000000"/>
          <w:sz w:val="24"/>
          <w:szCs w:val="24"/>
        </w:rPr>
        <w:t>新任基金</w:t>
      </w:r>
      <w:proofErr w:type="gramEnd"/>
      <w:r>
        <w:rPr>
          <w:rFonts w:ascii="Times New Roman" w:hAnsi="Times New Roman" w:hint="eastAsia"/>
          <w:color w:val="000000"/>
          <w:sz w:val="24"/>
          <w:szCs w:val="24"/>
        </w:rPr>
        <w:t>管理人要求，应按其要求替换或删除基金名称中</w:t>
      </w:r>
      <w:r>
        <w:rPr>
          <w:rFonts w:ascii="Times New Roman" w:hAnsi="Times New Roman" w:hint="eastAsia"/>
          <w:sz w:val="24"/>
          <w:szCs w:val="24"/>
        </w:rPr>
        <w:t>与</w:t>
      </w:r>
      <w:proofErr w:type="gramStart"/>
      <w:r>
        <w:rPr>
          <w:rFonts w:ascii="Times New Roman" w:hAnsi="Times New Roman" w:hint="eastAsia"/>
          <w:sz w:val="24"/>
          <w:szCs w:val="24"/>
        </w:rPr>
        <w:t>原基金</w:t>
      </w:r>
      <w:proofErr w:type="gramEnd"/>
      <w:r>
        <w:rPr>
          <w:rFonts w:ascii="Times New Roman" w:hAnsi="Times New Roman" w:hint="eastAsia"/>
          <w:sz w:val="24"/>
          <w:szCs w:val="24"/>
        </w:rPr>
        <w:t>管理人有关</w:t>
      </w:r>
      <w:r>
        <w:rPr>
          <w:rFonts w:ascii="Times New Roman" w:hAnsi="Times New Roman" w:hint="eastAsia"/>
          <w:color w:val="000000"/>
          <w:sz w:val="24"/>
          <w:szCs w:val="24"/>
        </w:rPr>
        <w:t>的</w:t>
      </w:r>
      <w:r>
        <w:rPr>
          <w:rFonts w:ascii="Times New Roman" w:hAnsi="Times New Roman" w:hint="eastAsia"/>
          <w:sz w:val="24"/>
          <w:szCs w:val="24"/>
        </w:rPr>
        <w:t>名称</w:t>
      </w:r>
      <w:r>
        <w:rPr>
          <w:rFonts w:ascii="Times New Roman" w:hAnsi="Times New Roman" w:hint="eastAsia"/>
          <w:color w:val="000000"/>
          <w:sz w:val="24"/>
          <w:szCs w:val="24"/>
        </w:rPr>
        <w:t>字样。</w:t>
      </w:r>
    </w:p>
    <w:p w14:paraId="213C9D57"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9</w:t>
      </w:r>
      <w:r>
        <w:rPr>
          <w:rFonts w:ascii="Times New Roman" w:hAnsi="Times New Roman" w:hint="eastAsia"/>
          <w:color w:val="000000"/>
          <w:sz w:val="24"/>
          <w:szCs w:val="24"/>
        </w:rPr>
        <w:t>）新任或临时基金管理人接收基金管理业务前，</w:t>
      </w:r>
      <w:proofErr w:type="gramStart"/>
      <w:r>
        <w:rPr>
          <w:rFonts w:ascii="Times New Roman" w:hAnsi="Times New Roman" w:hint="eastAsia"/>
          <w:color w:val="000000"/>
          <w:sz w:val="24"/>
          <w:szCs w:val="24"/>
        </w:rPr>
        <w:t>原基金</w:t>
      </w:r>
      <w:proofErr w:type="gramEnd"/>
      <w:r>
        <w:rPr>
          <w:rFonts w:ascii="Times New Roman" w:hAnsi="Times New Roman" w:hint="eastAsia"/>
          <w:color w:val="000000"/>
          <w:sz w:val="24"/>
          <w:szCs w:val="24"/>
        </w:rPr>
        <w:t>管理人应</w:t>
      </w:r>
      <w:r>
        <w:rPr>
          <w:rFonts w:ascii="Times New Roman" w:hAnsi="Times New Roman" w:hint="eastAsia"/>
          <w:sz w:val="24"/>
          <w:szCs w:val="24"/>
        </w:rPr>
        <w:t>依据法律法规、《基金合同》或《托管协议》的规定</w:t>
      </w:r>
      <w:r>
        <w:rPr>
          <w:rFonts w:ascii="Times New Roman" w:hAnsi="Times New Roman" w:hint="eastAsia"/>
          <w:color w:val="000000"/>
          <w:sz w:val="24"/>
          <w:szCs w:val="24"/>
        </w:rPr>
        <w:t>继续履行相关职责，并维护基金份额持有人的合法权益。</w:t>
      </w:r>
      <w:proofErr w:type="gramStart"/>
      <w:r>
        <w:rPr>
          <w:rFonts w:ascii="Times New Roman" w:hAnsi="Times New Roman" w:hint="eastAsia"/>
          <w:color w:val="000000"/>
          <w:sz w:val="24"/>
          <w:szCs w:val="24"/>
        </w:rPr>
        <w:t>原基金</w:t>
      </w:r>
      <w:proofErr w:type="gramEnd"/>
      <w:r>
        <w:rPr>
          <w:rFonts w:ascii="Times New Roman" w:hAnsi="Times New Roman" w:hint="eastAsia"/>
          <w:color w:val="000000"/>
          <w:sz w:val="24"/>
          <w:szCs w:val="24"/>
        </w:rPr>
        <w:t>管理人在继续履行相关职责期间，仍有权按照基金合同的规定收取基金管理费。</w:t>
      </w:r>
    </w:p>
    <w:p w14:paraId="2D6CE0AF"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（二）基金托管人的更换</w:t>
      </w:r>
    </w:p>
    <w:p w14:paraId="44F45764"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1</w:t>
      </w:r>
      <w:r>
        <w:rPr>
          <w:rFonts w:ascii="Times New Roman" w:hAnsi="Times New Roman" w:hint="eastAsia"/>
          <w:color w:val="000000"/>
          <w:sz w:val="24"/>
          <w:szCs w:val="24"/>
        </w:rPr>
        <w:t>、基金托管人的更换条件</w:t>
      </w:r>
    </w:p>
    <w:p w14:paraId="6CC96B8C"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有下列情形之一的，基金托管人职责终止：</w:t>
      </w:r>
    </w:p>
    <w:p w14:paraId="062FB9FF"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1</w:t>
      </w:r>
      <w:r>
        <w:rPr>
          <w:rFonts w:ascii="Times New Roman" w:hAnsi="Times New Roman" w:hint="eastAsia"/>
          <w:color w:val="000000"/>
          <w:sz w:val="24"/>
          <w:szCs w:val="24"/>
        </w:rPr>
        <w:t>）基金托管人被依法取消基金托管资格；</w:t>
      </w:r>
    </w:p>
    <w:p w14:paraId="6FFF20E8"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2</w:t>
      </w:r>
      <w:r>
        <w:rPr>
          <w:rFonts w:ascii="Times New Roman" w:hAnsi="Times New Roman" w:hint="eastAsia"/>
          <w:color w:val="000000"/>
          <w:sz w:val="24"/>
          <w:szCs w:val="24"/>
        </w:rPr>
        <w:t>）基金托管人被基金份额持有人大会解任；</w:t>
      </w:r>
      <w:r>
        <w:rPr>
          <w:rFonts w:ascii="Times New Roman" w:hAnsi="Times New Roman" w:hint="eastAsia"/>
          <w:color w:val="000000"/>
          <w:sz w:val="24"/>
          <w:szCs w:val="24"/>
        </w:rPr>
        <w:t xml:space="preserve"> </w:t>
      </w:r>
    </w:p>
    <w:p w14:paraId="299E6A1B"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3</w:t>
      </w:r>
      <w:r>
        <w:rPr>
          <w:rFonts w:ascii="Times New Roman" w:hAnsi="Times New Roman" w:hint="eastAsia"/>
          <w:color w:val="000000"/>
          <w:sz w:val="24"/>
          <w:szCs w:val="24"/>
        </w:rPr>
        <w:t>）基金托管人依法解散、被依法撤销或被依法宣</w:t>
      </w:r>
      <w:r>
        <w:rPr>
          <w:rFonts w:ascii="Times New Roman" w:hAnsi="Times New Roman"/>
          <w:color w:val="000000"/>
          <w:sz w:val="24"/>
          <w:szCs w:val="24"/>
        </w:rPr>
        <w:t>告</w:t>
      </w:r>
      <w:r>
        <w:rPr>
          <w:rFonts w:ascii="Times New Roman" w:hAnsi="Times New Roman" w:hint="eastAsia"/>
          <w:color w:val="000000"/>
          <w:sz w:val="24"/>
          <w:szCs w:val="24"/>
        </w:rPr>
        <w:t>破产；</w:t>
      </w:r>
    </w:p>
    <w:p w14:paraId="3D59512B"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4</w:t>
      </w:r>
      <w:r>
        <w:rPr>
          <w:rFonts w:ascii="Times New Roman" w:hAnsi="Times New Roman" w:hint="eastAsia"/>
          <w:color w:val="000000"/>
          <w:sz w:val="24"/>
          <w:szCs w:val="24"/>
        </w:rPr>
        <w:t>）法律法规及中国证监会规定的和基金合同约定的其他情形。</w:t>
      </w:r>
    </w:p>
    <w:p w14:paraId="268BC3C7"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2</w:t>
      </w:r>
      <w:r>
        <w:rPr>
          <w:rFonts w:ascii="Times New Roman" w:hAnsi="Times New Roman" w:hint="eastAsia"/>
          <w:color w:val="000000"/>
          <w:sz w:val="24"/>
          <w:szCs w:val="24"/>
        </w:rPr>
        <w:t>、基金托管人的更换程序</w:t>
      </w:r>
    </w:p>
    <w:p w14:paraId="5AE26502"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1</w:t>
      </w:r>
      <w:r>
        <w:rPr>
          <w:rFonts w:ascii="Times New Roman" w:hAnsi="Times New Roman" w:hint="eastAsia"/>
          <w:color w:val="000000"/>
          <w:sz w:val="24"/>
          <w:szCs w:val="24"/>
        </w:rPr>
        <w:t>）提名：</w:t>
      </w:r>
      <w:proofErr w:type="gramStart"/>
      <w:r>
        <w:rPr>
          <w:rFonts w:ascii="Times New Roman" w:hAnsi="Times New Roman" w:hint="eastAsia"/>
          <w:color w:val="000000"/>
          <w:sz w:val="24"/>
          <w:szCs w:val="24"/>
        </w:rPr>
        <w:t>新任基金</w:t>
      </w:r>
      <w:proofErr w:type="gramEnd"/>
      <w:r>
        <w:rPr>
          <w:rFonts w:ascii="Times New Roman" w:hAnsi="Times New Roman" w:hint="eastAsia"/>
          <w:color w:val="000000"/>
          <w:sz w:val="24"/>
          <w:szCs w:val="24"/>
        </w:rPr>
        <w:t>托管人由基金管理人</w:t>
      </w:r>
      <w:r>
        <w:rPr>
          <w:rFonts w:ascii="Times New Roman" w:hAnsi="Times New Roman" w:hint="eastAsia"/>
          <w:sz w:val="24"/>
          <w:szCs w:val="24"/>
        </w:rPr>
        <w:t>或由单独或合计持有</w:t>
      </w:r>
      <w:r>
        <w:rPr>
          <w:rFonts w:ascii="Times New Roman" w:hAnsi="Times New Roman" w:hint="eastAsia"/>
          <w:sz w:val="24"/>
          <w:szCs w:val="24"/>
        </w:rPr>
        <w:t>10%</w:t>
      </w:r>
      <w:r>
        <w:rPr>
          <w:rFonts w:ascii="Times New Roman" w:hAnsi="Times New Roman" w:hint="eastAsia"/>
          <w:sz w:val="24"/>
          <w:szCs w:val="24"/>
        </w:rPr>
        <w:t>以上（含</w:t>
      </w:r>
      <w:r>
        <w:rPr>
          <w:rFonts w:ascii="Times New Roman" w:hAnsi="Times New Roman" w:hint="eastAsia"/>
          <w:sz w:val="24"/>
          <w:szCs w:val="24"/>
        </w:rPr>
        <w:t>10%</w:t>
      </w:r>
      <w:r>
        <w:rPr>
          <w:rFonts w:ascii="Times New Roman" w:hAnsi="Times New Roman" w:hint="eastAsia"/>
          <w:sz w:val="24"/>
          <w:szCs w:val="24"/>
        </w:rPr>
        <w:t>）基金份额的基金份额持有人</w:t>
      </w:r>
      <w:r>
        <w:rPr>
          <w:rFonts w:ascii="Times New Roman" w:hAnsi="Times New Roman" w:hint="eastAsia"/>
          <w:color w:val="000000"/>
          <w:sz w:val="24"/>
          <w:szCs w:val="24"/>
        </w:rPr>
        <w:t>提名；</w:t>
      </w:r>
    </w:p>
    <w:p w14:paraId="3A49F503"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2</w:t>
      </w:r>
      <w:r>
        <w:rPr>
          <w:rFonts w:ascii="Times New Roman" w:hAnsi="Times New Roman" w:hint="eastAsia"/>
          <w:color w:val="000000"/>
          <w:sz w:val="24"/>
          <w:szCs w:val="24"/>
        </w:rPr>
        <w:t>）决议：基金份额持有人大会在基金托管人职责终止后</w:t>
      </w:r>
      <w:r>
        <w:rPr>
          <w:rFonts w:ascii="Times New Roman" w:hAnsi="Times New Roman" w:hint="eastAsia"/>
          <w:color w:val="000000"/>
          <w:sz w:val="24"/>
          <w:szCs w:val="24"/>
        </w:rPr>
        <w:t>6</w:t>
      </w:r>
      <w:r>
        <w:rPr>
          <w:rFonts w:ascii="Times New Roman" w:hAnsi="Times New Roman" w:hint="eastAsia"/>
          <w:color w:val="000000"/>
          <w:sz w:val="24"/>
          <w:szCs w:val="24"/>
        </w:rPr>
        <w:t>个月内对被提名的基金托管人形成决议，该决议需经参加大会的基金份额持有人所持表决权的三分之二以上（含三分之二）表决通过，决议自表决通过之日起生效；</w:t>
      </w:r>
    </w:p>
    <w:p w14:paraId="42495486"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3</w:t>
      </w:r>
      <w:r>
        <w:rPr>
          <w:rFonts w:ascii="Times New Roman" w:hAnsi="Times New Roman" w:hint="eastAsia"/>
          <w:color w:val="000000"/>
          <w:sz w:val="24"/>
          <w:szCs w:val="24"/>
        </w:rPr>
        <w:t>）临时基金托管人：</w:t>
      </w:r>
      <w:proofErr w:type="gramStart"/>
      <w:r>
        <w:rPr>
          <w:rFonts w:ascii="Times New Roman" w:hAnsi="Times New Roman" w:hint="eastAsia"/>
          <w:color w:val="000000"/>
          <w:sz w:val="24"/>
          <w:szCs w:val="24"/>
        </w:rPr>
        <w:t>新任基金</w:t>
      </w:r>
      <w:proofErr w:type="gramEnd"/>
      <w:r>
        <w:rPr>
          <w:rFonts w:ascii="Times New Roman" w:hAnsi="Times New Roman" w:hint="eastAsia"/>
          <w:color w:val="000000"/>
          <w:sz w:val="24"/>
          <w:szCs w:val="24"/>
        </w:rPr>
        <w:t>托管人产生之前，由中国证监会指定临时基</w:t>
      </w:r>
      <w:r>
        <w:rPr>
          <w:rFonts w:ascii="Times New Roman" w:hAnsi="Times New Roman" w:hint="eastAsia"/>
          <w:color w:val="000000"/>
          <w:sz w:val="24"/>
          <w:szCs w:val="24"/>
        </w:rPr>
        <w:lastRenderedPageBreak/>
        <w:t>金托管人；</w:t>
      </w:r>
    </w:p>
    <w:p w14:paraId="123C69C1"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sz w:val="24"/>
          <w:szCs w:val="24"/>
        </w:rPr>
        <w:t>（</w:t>
      </w:r>
      <w:r>
        <w:rPr>
          <w:rFonts w:ascii="Times New Roman" w:hAnsi="Times New Roman" w:hint="eastAsia"/>
          <w:sz w:val="24"/>
          <w:szCs w:val="24"/>
        </w:rPr>
        <w:t>4</w:t>
      </w:r>
      <w:r>
        <w:rPr>
          <w:rFonts w:ascii="Times New Roman" w:hAnsi="Times New Roman" w:hint="eastAsia"/>
          <w:sz w:val="24"/>
          <w:szCs w:val="24"/>
        </w:rPr>
        <w:t>）备案：基金份额持有人大会更换基金托管人的决议须报中国证监会备案</w:t>
      </w:r>
      <w:r>
        <w:rPr>
          <w:rFonts w:ascii="Times New Roman" w:hAnsi="Times New Roman" w:hint="eastAsia"/>
          <w:color w:val="000000"/>
          <w:sz w:val="24"/>
          <w:szCs w:val="24"/>
        </w:rPr>
        <w:t>；</w:t>
      </w:r>
    </w:p>
    <w:p w14:paraId="32B1D91F"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5</w:t>
      </w:r>
      <w:r>
        <w:rPr>
          <w:rFonts w:ascii="Times New Roman" w:hAnsi="Times New Roman" w:hint="eastAsia"/>
          <w:color w:val="000000"/>
          <w:sz w:val="24"/>
          <w:szCs w:val="24"/>
        </w:rPr>
        <w:t>）公告：基金托管人更换后，由基金管理人在更换</w:t>
      </w:r>
      <w:r>
        <w:rPr>
          <w:rFonts w:ascii="Times New Roman" w:hAnsi="Times New Roman"/>
          <w:color w:val="000000"/>
          <w:sz w:val="24"/>
          <w:szCs w:val="24"/>
        </w:rPr>
        <w:t>基金</w:t>
      </w:r>
      <w:r>
        <w:rPr>
          <w:rFonts w:ascii="Times New Roman" w:hAnsi="Times New Roman" w:hint="eastAsia"/>
          <w:color w:val="000000"/>
          <w:sz w:val="24"/>
          <w:szCs w:val="24"/>
        </w:rPr>
        <w:t>托管</w:t>
      </w:r>
      <w:r>
        <w:rPr>
          <w:rFonts w:ascii="Times New Roman" w:hAnsi="Times New Roman"/>
          <w:color w:val="000000"/>
          <w:sz w:val="24"/>
          <w:szCs w:val="24"/>
        </w:rPr>
        <w:t>人的基金份额持有人大会决议</w:t>
      </w:r>
      <w:r>
        <w:rPr>
          <w:rFonts w:ascii="Times New Roman" w:hAnsi="Times New Roman" w:hint="eastAsia"/>
          <w:color w:val="000000"/>
          <w:sz w:val="24"/>
          <w:szCs w:val="24"/>
        </w:rPr>
        <w:t>生效后</w:t>
      </w:r>
      <w:r>
        <w:rPr>
          <w:rFonts w:ascii="Times New Roman" w:hAnsi="Times New Roman"/>
          <w:color w:val="000000"/>
          <w:sz w:val="24"/>
          <w:szCs w:val="24"/>
        </w:rPr>
        <w:t>2</w:t>
      </w:r>
      <w:r>
        <w:rPr>
          <w:rFonts w:ascii="Times New Roman" w:hAnsi="Times New Roman"/>
          <w:color w:val="000000"/>
          <w:sz w:val="24"/>
          <w:szCs w:val="24"/>
        </w:rPr>
        <w:t>日内在规定媒介公告</w:t>
      </w:r>
      <w:r>
        <w:rPr>
          <w:rFonts w:ascii="Times New Roman" w:hAnsi="Times New Roman" w:hint="eastAsia"/>
          <w:color w:val="000000"/>
          <w:sz w:val="24"/>
          <w:szCs w:val="24"/>
        </w:rPr>
        <w:t>；</w:t>
      </w:r>
    </w:p>
    <w:p w14:paraId="6BE34317"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6</w:t>
      </w:r>
      <w:r>
        <w:rPr>
          <w:rFonts w:ascii="Times New Roman" w:hAnsi="Times New Roman" w:hint="eastAsia"/>
          <w:color w:val="000000"/>
          <w:sz w:val="24"/>
          <w:szCs w:val="24"/>
        </w:rPr>
        <w:t>）交接：基金托管人职责终止的，应当妥善保管基金财产和基金托管业务资料，及时办理基金财产和基金托管业务的移交手续，</w:t>
      </w:r>
      <w:proofErr w:type="gramStart"/>
      <w:r>
        <w:rPr>
          <w:rFonts w:ascii="Times New Roman" w:hAnsi="Times New Roman" w:hint="eastAsia"/>
          <w:color w:val="000000"/>
          <w:sz w:val="24"/>
          <w:szCs w:val="24"/>
        </w:rPr>
        <w:t>新任基金</w:t>
      </w:r>
      <w:proofErr w:type="gramEnd"/>
      <w:r>
        <w:rPr>
          <w:rFonts w:ascii="Times New Roman" w:hAnsi="Times New Roman" w:hint="eastAsia"/>
          <w:color w:val="000000"/>
          <w:sz w:val="24"/>
          <w:szCs w:val="24"/>
        </w:rPr>
        <w:t>托管人或者临时基金托管人应当及时接收。</w:t>
      </w:r>
      <w:proofErr w:type="gramStart"/>
      <w:r>
        <w:rPr>
          <w:rFonts w:ascii="Times New Roman" w:hAnsi="Times New Roman" w:hint="eastAsia"/>
          <w:color w:val="000000"/>
          <w:sz w:val="24"/>
          <w:szCs w:val="24"/>
        </w:rPr>
        <w:t>新任基金</w:t>
      </w:r>
      <w:proofErr w:type="gramEnd"/>
      <w:r>
        <w:rPr>
          <w:rFonts w:ascii="Times New Roman" w:hAnsi="Times New Roman" w:hint="eastAsia"/>
          <w:color w:val="000000"/>
          <w:sz w:val="24"/>
          <w:szCs w:val="24"/>
        </w:rPr>
        <w:t>托管人或者临时基金托管人应与基</w:t>
      </w:r>
      <w:r>
        <w:rPr>
          <w:rFonts w:ascii="Times New Roman" w:hAnsi="Times New Roman" w:hint="eastAsia"/>
          <w:sz w:val="24"/>
          <w:szCs w:val="24"/>
        </w:rPr>
        <w:t>金管理人核对基金资产总值</w:t>
      </w:r>
      <w:r>
        <w:rPr>
          <w:rFonts w:ascii="Times New Roman" w:hAnsi="Times New Roman" w:hint="eastAsia"/>
          <w:bCs/>
          <w:sz w:val="24"/>
          <w:szCs w:val="24"/>
        </w:rPr>
        <w:t>和净值</w:t>
      </w:r>
      <w:r>
        <w:rPr>
          <w:rFonts w:ascii="Times New Roman" w:hAnsi="Times New Roman" w:hint="eastAsia"/>
          <w:bCs/>
          <w:color w:val="000000"/>
          <w:sz w:val="24"/>
          <w:szCs w:val="24"/>
        </w:rPr>
        <w:t>；</w:t>
      </w:r>
    </w:p>
    <w:p w14:paraId="0891B87A"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7</w:t>
      </w:r>
      <w:r>
        <w:rPr>
          <w:rFonts w:ascii="Times New Roman" w:hAnsi="Times New Roman" w:hint="eastAsia"/>
          <w:color w:val="000000"/>
          <w:sz w:val="24"/>
          <w:szCs w:val="24"/>
        </w:rPr>
        <w:t>）审计：基金托管人职责终止的，应当按照法律法规规定聘请会计师事务所对基金财产进行审计，并将审计结果予以公告，同时报</w:t>
      </w:r>
      <w:r>
        <w:rPr>
          <w:rFonts w:ascii="Times New Roman" w:hAnsi="Times New Roman" w:hint="eastAsia"/>
          <w:sz w:val="24"/>
          <w:szCs w:val="24"/>
        </w:rPr>
        <w:t>中国证监会</w:t>
      </w:r>
      <w:r>
        <w:rPr>
          <w:rFonts w:ascii="Times New Roman" w:hAnsi="Times New Roman" w:hint="eastAsia"/>
          <w:color w:val="000000"/>
          <w:sz w:val="24"/>
          <w:szCs w:val="24"/>
        </w:rPr>
        <w:t>备案。审计费用由基金财产承担。</w:t>
      </w:r>
    </w:p>
    <w:p w14:paraId="595EE22E"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w:t>
      </w:r>
      <w:r>
        <w:rPr>
          <w:rFonts w:ascii="Times New Roman" w:hAnsi="Times New Roman" w:hint="eastAsia"/>
          <w:color w:val="000000"/>
          <w:sz w:val="24"/>
          <w:szCs w:val="24"/>
        </w:rPr>
        <w:t>8</w:t>
      </w:r>
      <w:r>
        <w:rPr>
          <w:rFonts w:ascii="Times New Roman" w:hAnsi="Times New Roman" w:hint="eastAsia"/>
          <w:color w:val="000000"/>
          <w:sz w:val="24"/>
          <w:szCs w:val="24"/>
        </w:rPr>
        <w:t>）新任或临时基金托管人接收基金财产和基金托管业务前，</w:t>
      </w:r>
      <w:proofErr w:type="gramStart"/>
      <w:r>
        <w:rPr>
          <w:rFonts w:ascii="Times New Roman" w:hAnsi="Times New Roman" w:hint="eastAsia"/>
          <w:color w:val="000000"/>
          <w:sz w:val="24"/>
          <w:szCs w:val="24"/>
        </w:rPr>
        <w:t>原基金</w:t>
      </w:r>
      <w:proofErr w:type="gramEnd"/>
      <w:r>
        <w:rPr>
          <w:rFonts w:ascii="Times New Roman" w:hAnsi="Times New Roman" w:hint="eastAsia"/>
          <w:color w:val="000000"/>
          <w:sz w:val="24"/>
          <w:szCs w:val="24"/>
        </w:rPr>
        <w:t>托管人应</w:t>
      </w:r>
      <w:r>
        <w:rPr>
          <w:rFonts w:ascii="Times New Roman" w:hAnsi="Times New Roman" w:hint="eastAsia"/>
          <w:sz w:val="24"/>
          <w:szCs w:val="24"/>
        </w:rPr>
        <w:t>依据法律法规、《基金合同》或《托管协议》的规定</w:t>
      </w:r>
      <w:r>
        <w:rPr>
          <w:rFonts w:ascii="Times New Roman" w:hAnsi="Times New Roman" w:hint="eastAsia"/>
          <w:color w:val="000000"/>
          <w:sz w:val="24"/>
          <w:szCs w:val="24"/>
        </w:rPr>
        <w:t>继续履行相关职责，并维护基金份额持有人的合法权益。</w:t>
      </w:r>
      <w:proofErr w:type="gramStart"/>
      <w:r>
        <w:rPr>
          <w:rFonts w:ascii="Times New Roman" w:hAnsi="Times New Roman" w:hint="eastAsia"/>
          <w:color w:val="000000"/>
          <w:sz w:val="24"/>
          <w:szCs w:val="24"/>
        </w:rPr>
        <w:t>原基金</w:t>
      </w:r>
      <w:proofErr w:type="gramEnd"/>
      <w:r>
        <w:rPr>
          <w:rFonts w:ascii="Times New Roman" w:hAnsi="Times New Roman" w:hint="eastAsia"/>
          <w:color w:val="000000"/>
          <w:sz w:val="24"/>
          <w:szCs w:val="24"/>
        </w:rPr>
        <w:t>托管人在继续履行相关职责期间，仍有权按照基金合同的规定收取基金托管费。</w:t>
      </w:r>
    </w:p>
    <w:p w14:paraId="2817F1F4"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（三）基金管理人与基金托管人同时更换</w:t>
      </w:r>
    </w:p>
    <w:p w14:paraId="39A9DF0E"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1</w:t>
      </w:r>
      <w:r>
        <w:rPr>
          <w:rFonts w:ascii="Times New Roman" w:hAnsi="Times New Roman" w:hint="eastAsia"/>
          <w:color w:val="000000"/>
          <w:sz w:val="24"/>
          <w:szCs w:val="24"/>
        </w:rPr>
        <w:t>、提名：如果基金管理人和基金托管人同时更换，由单独或合计持有基金总份额</w:t>
      </w:r>
      <w:r>
        <w:rPr>
          <w:rFonts w:ascii="Times New Roman" w:hAnsi="Times New Roman" w:hint="eastAsia"/>
          <w:color w:val="000000"/>
          <w:sz w:val="24"/>
          <w:szCs w:val="24"/>
        </w:rPr>
        <w:t>10%</w:t>
      </w:r>
      <w:r>
        <w:rPr>
          <w:rFonts w:ascii="Times New Roman" w:hAnsi="Times New Roman" w:hint="eastAsia"/>
          <w:color w:val="000000"/>
          <w:sz w:val="24"/>
          <w:szCs w:val="24"/>
        </w:rPr>
        <w:t>以上（含</w:t>
      </w:r>
      <w:r>
        <w:rPr>
          <w:rFonts w:ascii="Times New Roman" w:hAnsi="Times New Roman" w:hint="eastAsia"/>
          <w:color w:val="000000"/>
          <w:sz w:val="24"/>
          <w:szCs w:val="24"/>
        </w:rPr>
        <w:t>10%</w:t>
      </w:r>
      <w:r>
        <w:rPr>
          <w:rFonts w:ascii="Times New Roman" w:hAnsi="Times New Roman" w:hint="eastAsia"/>
          <w:color w:val="000000"/>
          <w:sz w:val="24"/>
          <w:szCs w:val="24"/>
        </w:rPr>
        <w:t>）的基金份额持有人提名新的基金管理人和基金托管人；</w:t>
      </w:r>
    </w:p>
    <w:p w14:paraId="44DEE584"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2</w:t>
      </w:r>
      <w:r>
        <w:rPr>
          <w:rFonts w:ascii="Times New Roman" w:hAnsi="Times New Roman" w:hint="eastAsia"/>
          <w:color w:val="000000"/>
          <w:sz w:val="24"/>
          <w:szCs w:val="24"/>
        </w:rPr>
        <w:t>、基金管理人和基金托管人的更换分别按上述程序进行；</w:t>
      </w:r>
    </w:p>
    <w:p w14:paraId="3617D318"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3</w:t>
      </w:r>
      <w:r>
        <w:rPr>
          <w:rFonts w:ascii="Times New Roman" w:hAnsi="Times New Roman" w:hint="eastAsia"/>
          <w:color w:val="000000"/>
          <w:sz w:val="24"/>
          <w:szCs w:val="24"/>
        </w:rPr>
        <w:t>、公告：</w:t>
      </w:r>
      <w:proofErr w:type="gramStart"/>
      <w:r>
        <w:rPr>
          <w:rFonts w:ascii="Times New Roman" w:hAnsi="Times New Roman" w:hint="eastAsia"/>
          <w:color w:val="000000"/>
          <w:sz w:val="24"/>
          <w:szCs w:val="24"/>
        </w:rPr>
        <w:t>新任基金</w:t>
      </w:r>
      <w:proofErr w:type="gramEnd"/>
      <w:r>
        <w:rPr>
          <w:rFonts w:ascii="Times New Roman" w:hAnsi="Times New Roman" w:hint="eastAsia"/>
          <w:color w:val="000000"/>
          <w:sz w:val="24"/>
          <w:szCs w:val="24"/>
        </w:rPr>
        <w:t>管理人和</w:t>
      </w:r>
      <w:proofErr w:type="gramStart"/>
      <w:r>
        <w:rPr>
          <w:rFonts w:ascii="Times New Roman" w:hAnsi="Times New Roman" w:hint="eastAsia"/>
          <w:color w:val="000000"/>
          <w:sz w:val="24"/>
          <w:szCs w:val="24"/>
        </w:rPr>
        <w:t>新任基金</w:t>
      </w:r>
      <w:proofErr w:type="gramEnd"/>
      <w:r>
        <w:rPr>
          <w:rFonts w:ascii="Times New Roman" w:hAnsi="Times New Roman" w:hint="eastAsia"/>
          <w:color w:val="000000"/>
          <w:sz w:val="24"/>
          <w:szCs w:val="24"/>
        </w:rPr>
        <w:t>托管人</w:t>
      </w:r>
      <w:r>
        <w:rPr>
          <w:rFonts w:ascii="Times New Roman" w:hAnsi="Times New Roman" w:hint="eastAsia"/>
          <w:sz w:val="24"/>
          <w:szCs w:val="24"/>
        </w:rPr>
        <w:t>应</w:t>
      </w:r>
      <w:r>
        <w:rPr>
          <w:rFonts w:ascii="Times New Roman" w:hAnsi="Times New Roman" w:hint="eastAsia"/>
          <w:color w:val="000000"/>
          <w:sz w:val="24"/>
          <w:szCs w:val="24"/>
        </w:rPr>
        <w:t>在</w:t>
      </w:r>
      <w:r>
        <w:rPr>
          <w:rFonts w:ascii="Times New Roman" w:hAnsi="Times New Roman" w:hint="eastAsia"/>
          <w:sz w:val="24"/>
          <w:szCs w:val="24"/>
        </w:rPr>
        <w:t>更换基金管理人和基金托管人的基金份额持有人大会决议生效后</w:t>
      </w:r>
      <w:r>
        <w:rPr>
          <w:rFonts w:ascii="Times New Roman" w:hAnsi="Times New Roman"/>
          <w:color w:val="000000"/>
          <w:sz w:val="24"/>
          <w:szCs w:val="24"/>
        </w:rPr>
        <w:t>2</w:t>
      </w:r>
      <w:r>
        <w:rPr>
          <w:rFonts w:ascii="Times New Roman" w:hAnsi="Times New Roman"/>
          <w:color w:val="000000"/>
          <w:sz w:val="24"/>
          <w:szCs w:val="24"/>
        </w:rPr>
        <w:t>日内在规定媒介上联合公告</w:t>
      </w:r>
      <w:r>
        <w:rPr>
          <w:rFonts w:ascii="Times New Roman" w:hAnsi="Times New Roman" w:hint="eastAsia"/>
          <w:color w:val="000000"/>
          <w:sz w:val="24"/>
          <w:szCs w:val="24"/>
        </w:rPr>
        <w:t>。</w:t>
      </w:r>
    </w:p>
    <w:p w14:paraId="4B0A06E6" w14:textId="77777777" w:rsidR="002123B7" w:rsidRDefault="00D8519F">
      <w:pPr>
        <w:spacing w:line="360" w:lineRule="auto"/>
        <w:ind w:firstLineChars="200" w:firstLine="480"/>
        <w:jc w:val="both"/>
        <w:rPr>
          <w:bCs/>
          <w:sz w:val="24"/>
        </w:rPr>
      </w:pPr>
      <w:r>
        <w:rPr>
          <w:rFonts w:ascii="Times New Roman" w:hAnsi="Times New Roman" w:hint="eastAsia"/>
          <w:bCs/>
          <w:sz w:val="24"/>
        </w:rPr>
        <w:t>（四）本部</w:t>
      </w:r>
      <w:proofErr w:type="gramStart"/>
      <w:r>
        <w:rPr>
          <w:rFonts w:ascii="Times New Roman" w:hAnsi="Times New Roman" w:hint="eastAsia"/>
          <w:bCs/>
          <w:sz w:val="24"/>
        </w:rPr>
        <w:t>分关于</w:t>
      </w:r>
      <w:proofErr w:type="gramEnd"/>
      <w:r>
        <w:rPr>
          <w:rFonts w:ascii="Times New Roman" w:hAnsi="Times New Roman" w:hint="eastAsia"/>
          <w:bCs/>
          <w:sz w:val="24"/>
        </w:rPr>
        <w:t>基金管理人、基金托管人更换条件和程序的约定，凡是直接引用法律法规的部分，如将来法律法规修改导致相关内容被取消或变更的，基金管理人与基金托管人根据新颁布的法律法规协商一致并提前公告后，可直接对相应内容进行修改和调整，无需召开基金份额持有人大会审议。</w:t>
      </w:r>
      <w:bookmarkEnd w:id="17"/>
      <w:bookmarkEnd w:id="31"/>
    </w:p>
    <w:p w14:paraId="5AB794D2"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32" w:name="_Toc516502500"/>
      <w:r>
        <w:rPr>
          <w:rFonts w:ascii="Times New Roman" w:eastAsia="宋体" w:hAnsi="Times New Roman" w:cs="Times New Roman"/>
          <w:bCs w:val="0"/>
          <w:color w:val="000000" w:themeColor="text1"/>
          <w:kern w:val="2"/>
          <w:lang w:val="en-US" w:bidi="ar-SA"/>
        </w:rPr>
        <w:t>十五、禁止行为</w:t>
      </w:r>
      <w:bookmarkEnd w:id="32"/>
    </w:p>
    <w:p w14:paraId="4FD53260"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托管协议当事人禁止从事的行为，包括但不限于：</w:t>
      </w:r>
    </w:p>
    <w:p w14:paraId="40FA70E8"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（一）基金管理人、基金托管人将其固有财产或者他人财产混同于基金财产从事证券投资。</w:t>
      </w:r>
    </w:p>
    <w:p w14:paraId="62CA3A90"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lastRenderedPageBreak/>
        <w:t>（二）基金管理人不公平地对待其管理的不同基金财产。基金托管人不公平地对待其托管的不同基金财产。</w:t>
      </w:r>
    </w:p>
    <w:p w14:paraId="03358EB1"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（三）基金管理人、基金托管人利用基金财产为基金份额持有人以外的第三人牟取利益。</w:t>
      </w:r>
    </w:p>
    <w:p w14:paraId="38AFD0C0"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（四）基金管理人、基金托管人向基金份额持有人违规承诺收益或者承担损失。</w:t>
      </w:r>
    </w:p>
    <w:p w14:paraId="4BE8354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（五）基金管理人、基金托管人侵占、挪用基金财产。</w:t>
      </w:r>
    </w:p>
    <w:p w14:paraId="265112B4"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（六）基金管理人、基金托管人对泄露因职务便利获取的未公开信息、利用该信息从事或者明示、暗示他人从事相关的交易活动。</w:t>
      </w:r>
    </w:p>
    <w:p w14:paraId="0F474D6C"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（七）基金管理人、基金托管人玩忽职守，不按照规定履行职责。</w:t>
      </w:r>
    </w:p>
    <w:p w14:paraId="3D71ED65"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（八）基金管理人在没有充足资金的情况下向基金托管人发出投资指令和付款指令，或违规向基金托管人发出指令。</w:t>
      </w:r>
    </w:p>
    <w:p w14:paraId="56AD0844"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（九）基金管理人、基金托管人在行政上、财务上不</w:t>
      </w:r>
      <w:proofErr w:type="gramStart"/>
      <w:r>
        <w:rPr>
          <w:rFonts w:ascii="Times New Roman" w:hAnsi="Times New Roman"/>
          <w:spacing w:val="-4"/>
          <w:sz w:val="24"/>
          <w:szCs w:val="24"/>
        </w:rPr>
        <w:t>独立</w:t>
      </w:r>
      <w:r>
        <w:rPr>
          <w:rFonts w:ascii="Times New Roman" w:hAnsi="Times New Roman"/>
          <w:spacing w:val="-4"/>
          <w:sz w:val="24"/>
          <w:szCs w:val="24"/>
        </w:rPr>
        <w:t>,</w:t>
      </w:r>
      <w:proofErr w:type="gramEnd"/>
      <w:r>
        <w:rPr>
          <w:rFonts w:ascii="Times New Roman" w:hAnsi="Times New Roman"/>
          <w:spacing w:val="-4"/>
          <w:sz w:val="24"/>
          <w:szCs w:val="24"/>
        </w:rPr>
        <w:t>其高级管理人员和其他从业人员相互兼职。</w:t>
      </w:r>
    </w:p>
    <w:p w14:paraId="47230AF8"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（十）基金托管人私自动用或处分基金资产，根据基金管理人的合法指令、《基金合同》或托管协议的规定进行处分的除外。</w:t>
      </w:r>
    </w:p>
    <w:p w14:paraId="2668A60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（十一）基金财产用于下列投资或者活动：</w:t>
      </w:r>
    </w:p>
    <w:p w14:paraId="17B5735F"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1</w:t>
      </w:r>
      <w:r>
        <w:rPr>
          <w:rFonts w:ascii="Times New Roman" w:hAnsi="Times New Roman"/>
          <w:spacing w:val="-4"/>
          <w:sz w:val="24"/>
          <w:szCs w:val="24"/>
        </w:rPr>
        <w:t>、承销证券；</w:t>
      </w:r>
    </w:p>
    <w:p w14:paraId="2717B26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2</w:t>
      </w:r>
      <w:r>
        <w:rPr>
          <w:rFonts w:ascii="Times New Roman" w:hAnsi="Times New Roman"/>
          <w:spacing w:val="-4"/>
          <w:sz w:val="24"/>
          <w:szCs w:val="24"/>
        </w:rPr>
        <w:t>、违反规定向他人贷款或者提供担保；</w:t>
      </w:r>
    </w:p>
    <w:p w14:paraId="53248178"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3</w:t>
      </w:r>
      <w:r>
        <w:rPr>
          <w:rFonts w:ascii="Times New Roman" w:hAnsi="Times New Roman"/>
          <w:spacing w:val="-4"/>
          <w:sz w:val="24"/>
          <w:szCs w:val="24"/>
        </w:rPr>
        <w:t>、从事承担无限责任的投资；</w:t>
      </w:r>
    </w:p>
    <w:p w14:paraId="3A87C730"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4</w:t>
      </w:r>
      <w:r>
        <w:rPr>
          <w:rFonts w:ascii="Times New Roman" w:hAnsi="Times New Roman"/>
          <w:spacing w:val="-4"/>
          <w:sz w:val="24"/>
          <w:szCs w:val="24"/>
        </w:rPr>
        <w:t>、买卖其他基金份额，但是中国证监会另有规定的除外；</w:t>
      </w:r>
    </w:p>
    <w:p w14:paraId="05F15A2D"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5</w:t>
      </w:r>
      <w:r>
        <w:rPr>
          <w:rFonts w:ascii="Times New Roman" w:hAnsi="Times New Roman"/>
          <w:spacing w:val="-4"/>
          <w:sz w:val="24"/>
          <w:szCs w:val="24"/>
        </w:rPr>
        <w:t>、向</w:t>
      </w:r>
      <w:r>
        <w:rPr>
          <w:rFonts w:ascii="Times New Roman" w:hAnsi="Times New Roman" w:hint="eastAsia"/>
          <w:spacing w:val="-4"/>
          <w:sz w:val="24"/>
          <w:szCs w:val="24"/>
        </w:rPr>
        <w:t>其</w:t>
      </w:r>
      <w:r>
        <w:rPr>
          <w:rFonts w:ascii="Times New Roman" w:hAnsi="Times New Roman"/>
          <w:spacing w:val="-4"/>
          <w:sz w:val="24"/>
          <w:szCs w:val="24"/>
        </w:rPr>
        <w:t>基金管理人、基金托管人出资；</w:t>
      </w:r>
    </w:p>
    <w:p w14:paraId="171D2CBE"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6</w:t>
      </w:r>
      <w:r>
        <w:rPr>
          <w:rFonts w:ascii="Times New Roman" w:hAnsi="Times New Roman"/>
          <w:spacing w:val="-4"/>
          <w:sz w:val="24"/>
          <w:szCs w:val="24"/>
        </w:rPr>
        <w:t>、从事内幕交易、操纵证券交易价格及其他不正当的证券交易活动；</w:t>
      </w:r>
    </w:p>
    <w:p w14:paraId="554A37EF"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7</w:t>
      </w:r>
      <w:r>
        <w:rPr>
          <w:rFonts w:ascii="Times New Roman" w:hAnsi="Times New Roman"/>
          <w:spacing w:val="-4"/>
          <w:sz w:val="24"/>
          <w:szCs w:val="24"/>
        </w:rPr>
        <w:t>、法律、行政法规和中国证监会规定禁止的其他活动。</w:t>
      </w:r>
    </w:p>
    <w:p w14:paraId="1B50AD8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法律、行政法规</w:t>
      </w:r>
      <w:r>
        <w:rPr>
          <w:rFonts w:ascii="Times New Roman" w:hAnsi="Times New Roman"/>
          <w:spacing w:val="-4"/>
          <w:sz w:val="24"/>
          <w:szCs w:val="24"/>
        </w:rPr>
        <w:t>或监管部门取消或变更上述</w:t>
      </w:r>
      <w:r>
        <w:rPr>
          <w:rFonts w:ascii="Times New Roman" w:hAnsi="Times New Roman" w:hint="eastAsia"/>
          <w:spacing w:val="-4"/>
          <w:sz w:val="24"/>
          <w:szCs w:val="24"/>
        </w:rPr>
        <w:t>限制，如适用于本基金，则本基金投资不再受相关限制或以变更后的规定为准</w:t>
      </w:r>
      <w:r>
        <w:rPr>
          <w:rFonts w:ascii="Times New Roman" w:hAnsi="Times New Roman"/>
          <w:spacing w:val="-4"/>
          <w:sz w:val="24"/>
          <w:szCs w:val="24"/>
        </w:rPr>
        <w:t>。</w:t>
      </w:r>
    </w:p>
    <w:p w14:paraId="011E0ED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（十二）法律法规和《基金合同》禁止的其他行为，以及依照法律、行政法规有关规定，由中国证监会规定禁止基金管理人、基金托管人从事的其他行为。</w:t>
      </w:r>
    </w:p>
    <w:p w14:paraId="792C8FDE"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33" w:name="_Toc516502501"/>
      <w:bookmarkStart w:id="34" w:name="_Hlk147757618"/>
      <w:r>
        <w:rPr>
          <w:rFonts w:ascii="Times New Roman" w:eastAsia="宋体" w:hAnsi="Times New Roman" w:cs="Times New Roman"/>
          <w:bCs w:val="0"/>
          <w:color w:val="000000" w:themeColor="text1"/>
          <w:kern w:val="2"/>
          <w:lang w:val="en-US" w:bidi="ar-SA"/>
        </w:rPr>
        <w:t>十六、托管协议的变更、终止与基金财产的清算</w:t>
      </w:r>
      <w:bookmarkEnd w:id="33"/>
    </w:p>
    <w:p w14:paraId="3D982D36"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（一）托管协议的变更程序</w:t>
      </w:r>
    </w:p>
    <w:p w14:paraId="120B55D9"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lastRenderedPageBreak/>
        <w:t>本协议双方当事人经协商一致，可以对协议进行修改。修改后的新协议，其内容不得与基金合同的规定有任何冲突。基金托管协议的变更</w:t>
      </w:r>
      <w:r>
        <w:rPr>
          <w:rFonts w:ascii="Times New Roman" w:hAnsi="Times New Roman" w:hint="eastAsia"/>
          <w:color w:val="000000"/>
          <w:sz w:val="24"/>
          <w:szCs w:val="24"/>
        </w:rPr>
        <w:t>依据法律法规规定</w:t>
      </w:r>
      <w:r>
        <w:rPr>
          <w:rFonts w:ascii="Times New Roman" w:hAnsi="Times New Roman"/>
          <w:color w:val="000000"/>
          <w:sz w:val="24"/>
          <w:szCs w:val="24"/>
        </w:rPr>
        <w:t>报中国证监会</w:t>
      </w:r>
      <w:r>
        <w:rPr>
          <w:rFonts w:ascii="Times New Roman" w:hAnsi="Times New Roman" w:hint="eastAsia"/>
          <w:color w:val="000000"/>
          <w:sz w:val="24"/>
          <w:szCs w:val="24"/>
        </w:rPr>
        <w:t>备案</w:t>
      </w:r>
      <w:r>
        <w:rPr>
          <w:rFonts w:ascii="Times New Roman" w:hAnsi="Times New Roman"/>
          <w:color w:val="000000"/>
          <w:sz w:val="24"/>
          <w:szCs w:val="24"/>
        </w:rPr>
        <w:t>。</w:t>
      </w:r>
    </w:p>
    <w:p w14:paraId="57E92884"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（二）基金托管协议终止的情形</w:t>
      </w:r>
    </w:p>
    <w:p w14:paraId="26C4431F"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hint="eastAsia"/>
          <w:color w:val="000000"/>
          <w:sz w:val="24"/>
          <w:szCs w:val="24"/>
        </w:rPr>
        <w:t>、</w:t>
      </w:r>
      <w:r>
        <w:rPr>
          <w:rFonts w:ascii="Times New Roman" w:hAnsi="Times New Roman"/>
          <w:color w:val="000000"/>
          <w:sz w:val="24"/>
          <w:szCs w:val="24"/>
        </w:rPr>
        <w:t>基金合同终止；</w:t>
      </w:r>
    </w:p>
    <w:p w14:paraId="524FB6B4"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2</w:t>
      </w:r>
      <w:r>
        <w:rPr>
          <w:rFonts w:ascii="Times New Roman" w:hAnsi="Times New Roman" w:hint="eastAsia"/>
          <w:color w:val="000000"/>
          <w:sz w:val="24"/>
          <w:szCs w:val="24"/>
        </w:rPr>
        <w:t>、</w:t>
      </w:r>
      <w:r>
        <w:rPr>
          <w:rFonts w:ascii="Times New Roman" w:hAnsi="Times New Roman"/>
          <w:color w:val="000000"/>
          <w:sz w:val="24"/>
          <w:szCs w:val="24"/>
        </w:rPr>
        <w:t>基金托管人解散、依法被撤销、破产或由其他基金托管人接管基金资产；</w:t>
      </w:r>
    </w:p>
    <w:p w14:paraId="57210B4E"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3</w:t>
      </w:r>
      <w:r>
        <w:rPr>
          <w:rFonts w:ascii="Times New Roman" w:hAnsi="Times New Roman" w:hint="eastAsia"/>
          <w:color w:val="000000"/>
          <w:sz w:val="24"/>
          <w:szCs w:val="24"/>
        </w:rPr>
        <w:t>、</w:t>
      </w:r>
      <w:r>
        <w:rPr>
          <w:rFonts w:ascii="Times New Roman" w:hAnsi="Times New Roman"/>
          <w:color w:val="000000"/>
          <w:sz w:val="24"/>
          <w:szCs w:val="24"/>
        </w:rPr>
        <w:t>基金管理人解散、依法被撤销、破产或由其他基金管理人接管基金管理权；</w:t>
      </w:r>
    </w:p>
    <w:p w14:paraId="29BB891A"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4</w:t>
      </w:r>
      <w:r>
        <w:rPr>
          <w:rFonts w:ascii="Times New Roman" w:hAnsi="Times New Roman" w:hint="eastAsia"/>
          <w:color w:val="000000"/>
          <w:sz w:val="24"/>
          <w:szCs w:val="24"/>
        </w:rPr>
        <w:t>、</w:t>
      </w:r>
      <w:r>
        <w:rPr>
          <w:rFonts w:ascii="Times New Roman" w:hAnsi="Times New Roman"/>
          <w:color w:val="000000"/>
          <w:sz w:val="24"/>
          <w:szCs w:val="24"/>
        </w:rPr>
        <w:t>发生法律法规</w:t>
      </w:r>
      <w:r>
        <w:rPr>
          <w:rFonts w:ascii="Times New Roman" w:hAnsi="Times New Roman" w:hint="eastAsia"/>
          <w:color w:val="000000"/>
          <w:sz w:val="24"/>
          <w:szCs w:val="24"/>
        </w:rPr>
        <w:t>、中国证监会</w:t>
      </w:r>
      <w:r>
        <w:rPr>
          <w:rFonts w:ascii="Times New Roman" w:hAnsi="Times New Roman"/>
          <w:color w:val="000000"/>
          <w:sz w:val="24"/>
          <w:szCs w:val="24"/>
        </w:rPr>
        <w:t>或基金合同规定的终止事项。</w:t>
      </w:r>
    </w:p>
    <w:p w14:paraId="1A877527"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bookmarkStart w:id="35" w:name="_Hlk179973139"/>
      <w:r>
        <w:rPr>
          <w:rFonts w:ascii="Times New Roman" w:hAnsi="Times New Roman"/>
          <w:color w:val="000000"/>
          <w:sz w:val="24"/>
          <w:szCs w:val="24"/>
        </w:rPr>
        <w:t>（三）基金财产的清算</w:t>
      </w:r>
    </w:p>
    <w:p w14:paraId="59A61050"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1</w:t>
      </w:r>
      <w:r>
        <w:rPr>
          <w:rFonts w:ascii="Times New Roman" w:hAnsi="Times New Roman" w:hint="eastAsia"/>
          <w:color w:val="000000"/>
          <w:sz w:val="24"/>
          <w:szCs w:val="24"/>
        </w:rPr>
        <w:t>、</w:t>
      </w:r>
      <w:r>
        <w:rPr>
          <w:rFonts w:ascii="Times New Roman" w:hAnsi="Times New Roman"/>
          <w:color w:val="000000"/>
          <w:sz w:val="24"/>
          <w:szCs w:val="24"/>
        </w:rPr>
        <w:t>基金财产清算小组</w:t>
      </w:r>
      <w:r>
        <w:rPr>
          <w:rFonts w:ascii="Times New Roman" w:hAnsi="Times New Roman" w:hint="eastAsia"/>
          <w:color w:val="000000"/>
          <w:sz w:val="24"/>
          <w:szCs w:val="24"/>
        </w:rPr>
        <w:t>：自出现《基金合同》终止事由之日起</w:t>
      </w:r>
      <w:r>
        <w:rPr>
          <w:rFonts w:ascii="Times New Roman" w:hAnsi="Times New Roman" w:hint="eastAsia"/>
          <w:color w:val="000000"/>
          <w:sz w:val="24"/>
          <w:szCs w:val="24"/>
        </w:rPr>
        <w:t>30</w:t>
      </w:r>
      <w:r>
        <w:rPr>
          <w:rFonts w:ascii="Times New Roman" w:hAnsi="Times New Roman" w:hint="eastAsia"/>
          <w:color w:val="000000"/>
          <w:sz w:val="24"/>
          <w:szCs w:val="24"/>
        </w:rPr>
        <w:t>个工作日内</w:t>
      </w:r>
      <w:r>
        <w:rPr>
          <w:rFonts w:ascii="Times New Roman" w:hAnsi="Times New Roman"/>
          <w:color w:val="000000"/>
          <w:sz w:val="24"/>
          <w:szCs w:val="24"/>
        </w:rPr>
        <w:t>成立清算小组，</w:t>
      </w:r>
      <w:r>
        <w:rPr>
          <w:rFonts w:ascii="Times New Roman" w:hAnsi="Times New Roman" w:hint="eastAsia"/>
          <w:color w:val="000000"/>
          <w:sz w:val="24"/>
          <w:szCs w:val="24"/>
        </w:rPr>
        <w:t>基金管理人组织</w:t>
      </w:r>
      <w:r>
        <w:rPr>
          <w:rFonts w:ascii="Times New Roman" w:hAnsi="Times New Roman"/>
          <w:color w:val="000000"/>
          <w:sz w:val="24"/>
          <w:szCs w:val="24"/>
        </w:rPr>
        <w:t>基金财产清算小组</w:t>
      </w:r>
      <w:r>
        <w:rPr>
          <w:rFonts w:ascii="Times New Roman" w:hAnsi="Times New Roman" w:hint="eastAsia"/>
          <w:color w:val="000000"/>
          <w:sz w:val="24"/>
          <w:szCs w:val="24"/>
        </w:rPr>
        <w:t>并</w:t>
      </w:r>
      <w:r>
        <w:rPr>
          <w:rFonts w:ascii="Times New Roman" w:hAnsi="Times New Roman"/>
          <w:color w:val="000000"/>
          <w:sz w:val="24"/>
          <w:szCs w:val="24"/>
        </w:rPr>
        <w:t>在中国证监会的监督下进行基金清算。</w:t>
      </w:r>
      <w:r>
        <w:rPr>
          <w:rFonts w:ascii="Times New Roman" w:hAnsi="Times New Roman" w:hint="eastAsia"/>
          <w:color w:val="000000"/>
          <w:sz w:val="24"/>
          <w:szCs w:val="24"/>
        </w:rPr>
        <w:t>在基金财产清算小组接管基金财产之前，基金管理人和基金托管人应按照基金合同和托管协议的规定继续履行保护基金财产安全的职责。</w:t>
      </w:r>
    </w:p>
    <w:p w14:paraId="52CCC147"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2</w:t>
      </w:r>
      <w:r>
        <w:rPr>
          <w:rFonts w:ascii="Times New Roman" w:hAnsi="Times New Roman" w:hint="eastAsia"/>
          <w:color w:val="000000"/>
          <w:sz w:val="24"/>
          <w:szCs w:val="24"/>
        </w:rPr>
        <w:t>、</w:t>
      </w:r>
      <w:r>
        <w:rPr>
          <w:rFonts w:ascii="Times New Roman" w:hAnsi="Times New Roman"/>
          <w:color w:val="000000"/>
          <w:sz w:val="24"/>
          <w:szCs w:val="24"/>
        </w:rPr>
        <w:t>基金</w:t>
      </w:r>
      <w:r>
        <w:rPr>
          <w:rFonts w:ascii="Times New Roman" w:hAnsi="Times New Roman" w:hint="eastAsia"/>
          <w:color w:val="000000"/>
          <w:sz w:val="24"/>
          <w:szCs w:val="24"/>
        </w:rPr>
        <w:t>财产</w:t>
      </w:r>
      <w:r>
        <w:rPr>
          <w:rFonts w:ascii="Times New Roman" w:hAnsi="Times New Roman"/>
          <w:color w:val="000000"/>
          <w:sz w:val="24"/>
          <w:szCs w:val="24"/>
        </w:rPr>
        <w:t>清算小组</w:t>
      </w:r>
      <w:r>
        <w:rPr>
          <w:rFonts w:ascii="Times New Roman" w:hAnsi="Times New Roman" w:hint="eastAsia"/>
          <w:color w:val="000000"/>
          <w:sz w:val="24"/>
          <w:szCs w:val="24"/>
        </w:rPr>
        <w:t>组成：基金财产清算小组成员</w:t>
      </w:r>
      <w:r>
        <w:rPr>
          <w:rFonts w:ascii="Times New Roman" w:hAnsi="Times New Roman"/>
          <w:color w:val="000000"/>
          <w:sz w:val="24"/>
          <w:szCs w:val="24"/>
        </w:rPr>
        <w:t>由基金管理人、基金托管人、</w:t>
      </w:r>
      <w:r>
        <w:rPr>
          <w:rFonts w:ascii="Times New Roman" w:hAnsi="Times New Roman" w:hint="eastAsia"/>
          <w:color w:val="000000"/>
          <w:sz w:val="24"/>
          <w:szCs w:val="24"/>
        </w:rPr>
        <w:t>符合《证券法》规定</w:t>
      </w:r>
      <w:r>
        <w:rPr>
          <w:bCs/>
          <w:sz w:val="24"/>
        </w:rPr>
        <w:t>的</w:t>
      </w:r>
      <w:r>
        <w:rPr>
          <w:rFonts w:ascii="Times New Roman" w:hAnsi="Times New Roman"/>
          <w:color w:val="000000"/>
          <w:sz w:val="24"/>
          <w:szCs w:val="24"/>
        </w:rPr>
        <w:t>注册会计师、律师以及中国证监会指定的人员组成。基金</w:t>
      </w:r>
      <w:r>
        <w:rPr>
          <w:rFonts w:ascii="Times New Roman" w:hAnsi="Times New Roman" w:hint="eastAsia"/>
          <w:color w:val="000000"/>
          <w:sz w:val="24"/>
          <w:szCs w:val="24"/>
        </w:rPr>
        <w:t>财产</w:t>
      </w:r>
      <w:r>
        <w:rPr>
          <w:rFonts w:ascii="Times New Roman" w:hAnsi="Times New Roman"/>
          <w:color w:val="000000"/>
          <w:sz w:val="24"/>
          <w:szCs w:val="24"/>
        </w:rPr>
        <w:t>清算小组可以聘用必要的工作人员。</w:t>
      </w:r>
    </w:p>
    <w:p w14:paraId="141F9012"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3</w:t>
      </w:r>
      <w:r>
        <w:rPr>
          <w:rFonts w:ascii="Times New Roman" w:hAnsi="Times New Roman" w:hint="eastAsia"/>
          <w:color w:val="000000"/>
          <w:sz w:val="24"/>
          <w:szCs w:val="24"/>
        </w:rPr>
        <w:t>、</w:t>
      </w:r>
      <w:r>
        <w:rPr>
          <w:rFonts w:ascii="Times New Roman" w:hAnsi="Times New Roman"/>
          <w:color w:val="000000"/>
          <w:sz w:val="24"/>
          <w:szCs w:val="24"/>
        </w:rPr>
        <w:t>基金</w:t>
      </w:r>
      <w:r>
        <w:rPr>
          <w:rFonts w:ascii="Times New Roman" w:hAnsi="Times New Roman" w:hint="eastAsia"/>
          <w:color w:val="000000"/>
          <w:sz w:val="24"/>
          <w:szCs w:val="24"/>
        </w:rPr>
        <w:t>财产</w:t>
      </w:r>
      <w:r>
        <w:rPr>
          <w:rFonts w:ascii="Times New Roman" w:hAnsi="Times New Roman"/>
          <w:color w:val="000000"/>
          <w:sz w:val="24"/>
          <w:szCs w:val="24"/>
        </w:rPr>
        <w:t>清算小组</w:t>
      </w:r>
      <w:r>
        <w:rPr>
          <w:rFonts w:ascii="Times New Roman" w:hAnsi="Times New Roman" w:hint="eastAsia"/>
          <w:color w:val="000000"/>
          <w:sz w:val="24"/>
          <w:szCs w:val="24"/>
        </w:rPr>
        <w:t>职责：基金财产清算小组</w:t>
      </w:r>
      <w:r>
        <w:rPr>
          <w:rFonts w:ascii="Times New Roman" w:hAnsi="Times New Roman"/>
          <w:color w:val="000000"/>
          <w:sz w:val="24"/>
          <w:szCs w:val="24"/>
        </w:rPr>
        <w:t>负责基金财产的保管、清理、估价、变现和分配。基金</w:t>
      </w:r>
      <w:r>
        <w:rPr>
          <w:rFonts w:ascii="Times New Roman" w:hAnsi="Times New Roman" w:hint="eastAsia"/>
          <w:color w:val="000000"/>
          <w:sz w:val="24"/>
          <w:szCs w:val="24"/>
        </w:rPr>
        <w:t>财产</w:t>
      </w:r>
      <w:r>
        <w:rPr>
          <w:rFonts w:ascii="Times New Roman" w:hAnsi="Times New Roman"/>
          <w:color w:val="000000"/>
          <w:sz w:val="24"/>
          <w:szCs w:val="24"/>
        </w:rPr>
        <w:t>清算小组可以依法进行必要的民事活动。</w:t>
      </w:r>
    </w:p>
    <w:p w14:paraId="19E6BCC3"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4</w:t>
      </w:r>
      <w:r>
        <w:rPr>
          <w:rFonts w:ascii="Times New Roman" w:hAnsi="Times New Roman" w:hint="eastAsia"/>
          <w:color w:val="000000"/>
          <w:sz w:val="24"/>
          <w:szCs w:val="24"/>
        </w:rPr>
        <w:t>、</w:t>
      </w:r>
      <w:r>
        <w:rPr>
          <w:rFonts w:ascii="Times New Roman" w:hAnsi="Times New Roman"/>
          <w:color w:val="000000"/>
          <w:sz w:val="24"/>
          <w:szCs w:val="24"/>
        </w:rPr>
        <w:t>基金财产清算程序</w:t>
      </w:r>
      <w:r>
        <w:rPr>
          <w:rFonts w:ascii="Times New Roman" w:hAnsi="Times New Roman" w:hint="eastAsia"/>
          <w:color w:val="000000"/>
          <w:sz w:val="24"/>
          <w:szCs w:val="24"/>
        </w:rPr>
        <w:t>：</w:t>
      </w:r>
    </w:p>
    <w:p w14:paraId="43E43D7C"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bCs/>
          <w:sz w:val="24"/>
        </w:rPr>
        <w:t>1</w:t>
      </w:r>
      <w:r>
        <w:rPr>
          <w:rFonts w:ascii="Times New Roman" w:hAnsi="Times New Roman"/>
          <w:bCs/>
          <w:sz w:val="24"/>
        </w:rPr>
        <w:t>）</w:t>
      </w:r>
      <w:r>
        <w:rPr>
          <w:rFonts w:ascii="Times New Roman" w:hAnsi="Times New Roman" w:hint="eastAsia"/>
          <w:bCs/>
          <w:sz w:val="24"/>
        </w:rPr>
        <w:t>《基金合同》终止情形出现时</w:t>
      </w:r>
      <w:r>
        <w:rPr>
          <w:rFonts w:ascii="Times New Roman" w:hAnsi="Times New Roman"/>
          <w:bCs/>
          <w:sz w:val="24"/>
        </w:rPr>
        <w:t>，由基金财产清算小组统一接管基金；</w:t>
      </w:r>
    </w:p>
    <w:p w14:paraId="2617A42D"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bCs/>
          <w:sz w:val="24"/>
        </w:rPr>
        <w:t>2</w:t>
      </w:r>
      <w:r>
        <w:rPr>
          <w:rFonts w:ascii="Times New Roman" w:hAnsi="Times New Roman"/>
          <w:bCs/>
          <w:sz w:val="24"/>
        </w:rPr>
        <w:t>）对基金财产和债权债务进行清理和确认；</w:t>
      </w:r>
    </w:p>
    <w:p w14:paraId="74021BED"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bCs/>
          <w:sz w:val="24"/>
        </w:rPr>
        <w:t>3</w:t>
      </w:r>
      <w:r>
        <w:rPr>
          <w:rFonts w:ascii="Times New Roman" w:hAnsi="Times New Roman"/>
          <w:bCs/>
          <w:sz w:val="24"/>
        </w:rPr>
        <w:t>）对基金财产进行估值和变现；</w:t>
      </w:r>
    </w:p>
    <w:p w14:paraId="0FF63B2D"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bCs/>
          <w:sz w:val="24"/>
        </w:rPr>
        <w:t>4</w:t>
      </w:r>
      <w:r>
        <w:rPr>
          <w:rFonts w:ascii="Times New Roman" w:hAnsi="Times New Roman"/>
          <w:bCs/>
          <w:sz w:val="24"/>
        </w:rPr>
        <w:t>）制作清算报告；</w:t>
      </w:r>
    </w:p>
    <w:p w14:paraId="7448EC5C"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bCs/>
          <w:sz w:val="24"/>
        </w:rPr>
        <w:t>5</w:t>
      </w:r>
      <w:r>
        <w:rPr>
          <w:rFonts w:ascii="Times New Roman" w:hAnsi="Times New Roman"/>
          <w:bCs/>
          <w:sz w:val="24"/>
        </w:rPr>
        <w:t>）聘请会计师事务所对清算报告进行外部审计，聘请律师事务所对清算报告出具法律意见书；</w:t>
      </w:r>
    </w:p>
    <w:p w14:paraId="2CA07C69"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bCs/>
          <w:sz w:val="24"/>
        </w:rPr>
        <w:t>6</w:t>
      </w:r>
      <w:r>
        <w:rPr>
          <w:rFonts w:ascii="Times New Roman" w:hAnsi="Times New Roman"/>
          <w:bCs/>
          <w:sz w:val="24"/>
        </w:rPr>
        <w:t>）将清算报告报中国证监会备案并公告</w:t>
      </w:r>
      <w:r>
        <w:rPr>
          <w:rFonts w:ascii="Times New Roman" w:hAnsi="Times New Roman" w:hint="eastAsia"/>
          <w:bCs/>
          <w:sz w:val="24"/>
        </w:rPr>
        <w:t>；</w:t>
      </w:r>
    </w:p>
    <w:p w14:paraId="23D18CB5"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bCs/>
          <w:sz w:val="24"/>
        </w:rPr>
        <w:t>（</w:t>
      </w:r>
      <w:r>
        <w:rPr>
          <w:rFonts w:ascii="Times New Roman" w:hAnsi="Times New Roman"/>
          <w:bCs/>
          <w:sz w:val="24"/>
        </w:rPr>
        <w:t>7</w:t>
      </w:r>
      <w:r>
        <w:rPr>
          <w:rFonts w:ascii="Times New Roman" w:hAnsi="Times New Roman"/>
          <w:bCs/>
          <w:sz w:val="24"/>
        </w:rPr>
        <w:t>）对基金</w:t>
      </w:r>
      <w:r>
        <w:rPr>
          <w:rFonts w:ascii="Times New Roman" w:hAnsi="Times New Roman" w:hint="eastAsia"/>
          <w:bCs/>
          <w:sz w:val="24"/>
        </w:rPr>
        <w:t>剩余</w:t>
      </w:r>
      <w:r>
        <w:rPr>
          <w:rFonts w:ascii="Times New Roman" w:hAnsi="Times New Roman"/>
          <w:bCs/>
          <w:sz w:val="24"/>
        </w:rPr>
        <w:t>财产进行分配</w:t>
      </w:r>
      <w:r>
        <w:rPr>
          <w:rFonts w:ascii="Times New Roman" w:hAnsi="Times New Roman" w:hint="eastAsia"/>
          <w:bCs/>
          <w:sz w:val="24"/>
        </w:rPr>
        <w:t>。</w:t>
      </w:r>
    </w:p>
    <w:p w14:paraId="390FB6F3"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5</w:t>
      </w:r>
      <w:r>
        <w:rPr>
          <w:rFonts w:ascii="Times New Roman" w:hAnsi="Times New Roman" w:hint="eastAsia"/>
          <w:bCs/>
          <w:sz w:val="24"/>
        </w:rPr>
        <w:t>、基金财产清算的期限为</w:t>
      </w:r>
      <w:r>
        <w:rPr>
          <w:rFonts w:ascii="Times New Roman" w:hAnsi="Times New Roman"/>
          <w:bCs/>
          <w:sz w:val="24"/>
        </w:rPr>
        <w:t>6</w:t>
      </w:r>
      <w:r>
        <w:rPr>
          <w:rFonts w:ascii="Times New Roman" w:hAnsi="Times New Roman"/>
          <w:bCs/>
          <w:sz w:val="24"/>
        </w:rPr>
        <w:t>个月，但因本基金所持证券的流动性受到限制而不能及时变现的，清算期限相应顺延。</w:t>
      </w:r>
    </w:p>
    <w:p w14:paraId="2AEA4EC9"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6</w:t>
      </w:r>
      <w:r>
        <w:rPr>
          <w:rFonts w:ascii="Times New Roman" w:hAnsi="Times New Roman" w:hint="eastAsia"/>
          <w:color w:val="000000"/>
          <w:sz w:val="24"/>
          <w:szCs w:val="24"/>
        </w:rPr>
        <w:t>、</w:t>
      </w:r>
      <w:r>
        <w:rPr>
          <w:rFonts w:ascii="Times New Roman" w:hAnsi="Times New Roman"/>
          <w:color w:val="000000"/>
          <w:sz w:val="24"/>
          <w:szCs w:val="24"/>
        </w:rPr>
        <w:t>清算费用</w:t>
      </w:r>
    </w:p>
    <w:p w14:paraId="79DD4BEF"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lastRenderedPageBreak/>
        <w:t>清算费用是指基金</w:t>
      </w:r>
      <w:r>
        <w:rPr>
          <w:rFonts w:ascii="Times New Roman" w:hAnsi="Times New Roman" w:hint="eastAsia"/>
          <w:color w:val="000000"/>
          <w:sz w:val="24"/>
          <w:szCs w:val="24"/>
        </w:rPr>
        <w:t>财产</w:t>
      </w:r>
      <w:r>
        <w:rPr>
          <w:rFonts w:ascii="Times New Roman" w:hAnsi="Times New Roman"/>
          <w:color w:val="000000"/>
          <w:sz w:val="24"/>
          <w:szCs w:val="24"/>
        </w:rPr>
        <w:t>清算小组在进行基金清算过程中发生的所有合理费用，清算费用由基金</w:t>
      </w:r>
      <w:r>
        <w:rPr>
          <w:rFonts w:ascii="Times New Roman" w:hAnsi="Times New Roman" w:hint="eastAsia"/>
          <w:color w:val="000000"/>
          <w:sz w:val="24"/>
          <w:szCs w:val="24"/>
        </w:rPr>
        <w:t>财产</w:t>
      </w:r>
      <w:r>
        <w:rPr>
          <w:rFonts w:ascii="Times New Roman" w:hAnsi="Times New Roman"/>
          <w:color w:val="000000"/>
          <w:sz w:val="24"/>
          <w:szCs w:val="24"/>
        </w:rPr>
        <w:t>清算小组优先从基金财产中支付。</w:t>
      </w:r>
    </w:p>
    <w:p w14:paraId="39B704A3"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7</w:t>
      </w:r>
      <w:r>
        <w:rPr>
          <w:rFonts w:ascii="Times New Roman" w:hAnsi="Times New Roman" w:hint="eastAsia"/>
          <w:color w:val="000000"/>
          <w:sz w:val="24"/>
          <w:szCs w:val="24"/>
        </w:rPr>
        <w:t>、</w:t>
      </w:r>
      <w:r>
        <w:rPr>
          <w:rFonts w:ascii="Times New Roman" w:hAnsi="Times New Roman"/>
          <w:bCs/>
          <w:sz w:val="24"/>
        </w:rPr>
        <w:t>基金财产清算剩余资产的分配</w:t>
      </w:r>
    </w:p>
    <w:p w14:paraId="3D39C1F3" w14:textId="77777777" w:rsidR="002123B7" w:rsidRDefault="00D8519F">
      <w:pPr>
        <w:spacing w:line="360" w:lineRule="auto"/>
        <w:ind w:firstLineChars="200" w:firstLine="480"/>
        <w:jc w:val="both"/>
        <w:rPr>
          <w:rFonts w:ascii="Times New Roman" w:hAnsi="Times New Roman"/>
          <w:bCs/>
          <w:sz w:val="24"/>
        </w:rPr>
      </w:pPr>
      <w:r>
        <w:rPr>
          <w:rFonts w:ascii="Times New Roman" w:hAnsi="Times New Roman" w:hint="eastAsia"/>
          <w:bCs/>
          <w:sz w:val="24"/>
        </w:rPr>
        <w:t>依据基金财产清算的分配方案，将基金财产清算后的全部剩余资产扣除基金财产清算费用、交纳所欠税款并清偿基金债务后，按基金份额持有人持有的基金份额比例进行分配。</w:t>
      </w:r>
    </w:p>
    <w:p w14:paraId="6BD24DDC"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hint="eastAsia"/>
          <w:color w:val="000000"/>
          <w:sz w:val="24"/>
          <w:szCs w:val="24"/>
        </w:rPr>
        <w:t>8</w:t>
      </w:r>
      <w:r>
        <w:rPr>
          <w:rFonts w:ascii="Times New Roman" w:hAnsi="Times New Roman" w:hint="eastAsia"/>
          <w:color w:val="000000"/>
          <w:sz w:val="24"/>
          <w:szCs w:val="24"/>
        </w:rPr>
        <w:t>、</w:t>
      </w:r>
      <w:r>
        <w:rPr>
          <w:rFonts w:ascii="Times New Roman" w:hAnsi="Times New Roman"/>
          <w:color w:val="000000"/>
          <w:sz w:val="24"/>
          <w:szCs w:val="24"/>
        </w:rPr>
        <w:t>基金财产清算的公告</w:t>
      </w:r>
    </w:p>
    <w:p w14:paraId="7E01CECE"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清算过程中的有关重大事项须及时公告；</w:t>
      </w:r>
      <w:r>
        <w:rPr>
          <w:rFonts w:ascii="Times New Roman" w:hAnsi="Times New Roman" w:hint="eastAsia"/>
          <w:color w:val="000000"/>
          <w:sz w:val="24"/>
          <w:szCs w:val="24"/>
        </w:rPr>
        <w:t>基金财产清算报告</w:t>
      </w:r>
      <w:proofErr w:type="gramStart"/>
      <w:r>
        <w:rPr>
          <w:rFonts w:ascii="Times New Roman" w:hAnsi="Times New Roman" w:hint="eastAsia"/>
          <w:color w:val="000000"/>
          <w:sz w:val="24"/>
          <w:szCs w:val="24"/>
        </w:rPr>
        <w:t>经符合</w:t>
      </w:r>
      <w:proofErr w:type="gramEnd"/>
      <w:r>
        <w:rPr>
          <w:rFonts w:ascii="Times New Roman" w:hAnsi="Times New Roman" w:hint="eastAsia"/>
          <w:color w:val="000000"/>
          <w:sz w:val="24"/>
          <w:szCs w:val="24"/>
        </w:rPr>
        <w:t>《证券法》规定的会计师事务所审计并由律师事务所出具法律意见书后报中国证监会备案并公告。</w:t>
      </w:r>
      <w:r>
        <w:rPr>
          <w:rFonts w:ascii="Times New Roman" w:hAnsi="Times New Roman"/>
          <w:color w:val="000000"/>
          <w:sz w:val="24"/>
          <w:szCs w:val="24"/>
        </w:rPr>
        <w:t>基金财产清算公告于基金财产清算报告报中国证监会备案后</w:t>
      </w:r>
      <w:r>
        <w:rPr>
          <w:rFonts w:ascii="Times New Roman" w:hAnsi="Times New Roman" w:hint="eastAsia"/>
          <w:color w:val="000000"/>
          <w:sz w:val="24"/>
          <w:szCs w:val="24"/>
        </w:rPr>
        <w:t>5</w:t>
      </w:r>
      <w:r>
        <w:rPr>
          <w:rFonts w:ascii="Times New Roman" w:hAnsi="Times New Roman"/>
          <w:color w:val="000000"/>
          <w:sz w:val="24"/>
          <w:szCs w:val="24"/>
        </w:rPr>
        <w:t>个工作日内由基金财产清算小组进行公告</w:t>
      </w:r>
      <w:r>
        <w:rPr>
          <w:rFonts w:ascii="Times New Roman" w:hAnsi="Times New Roman" w:hint="eastAsia"/>
          <w:color w:val="000000"/>
          <w:sz w:val="24"/>
          <w:szCs w:val="24"/>
        </w:rPr>
        <w:t>，基金财产清算小组应当将清算报告登载在规定网站上，并将清算报告提示性公告登载在规定报刊上</w:t>
      </w:r>
      <w:r>
        <w:rPr>
          <w:rFonts w:ascii="Times New Roman" w:hAnsi="Times New Roman"/>
          <w:color w:val="000000"/>
          <w:sz w:val="24"/>
          <w:szCs w:val="24"/>
        </w:rPr>
        <w:t>。</w:t>
      </w:r>
    </w:p>
    <w:p w14:paraId="2667A59B" w14:textId="77777777"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rFonts w:ascii="Times New Roman" w:hAnsi="Times New Roman"/>
          <w:color w:val="000000"/>
          <w:sz w:val="24"/>
          <w:szCs w:val="24"/>
        </w:rPr>
        <w:t>9</w:t>
      </w:r>
      <w:r>
        <w:rPr>
          <w:rFonts w:ascii="Times New Roman" w:hAnsi="Times New Roman" w:hint="eastAsia"/>
          <w:color w:val="000000"/>
          <w:sz w:val="24"/>
          <w:szCs w:val="24"/>
        </w:rPr>
        <w:t>、</w:t>
      </w:r>
      <w:r>
        <w:rPr>
          <w:rFonts w:ascii="Times New Roman" w:hAnsi="Times New Roman"/>
          <w:color w:val="000000"/>
          <w:sz w:val="24"/>
          <w:szCs w:val="24"/>
        </w:rPr>
        <w:t>基金财产清算账册及文件的保存</w:t>
      </w:r>
    </w:p>
    <w:p w14:paraId="7148ED05" w14:textId="6B224B00" w:rsidR="002123B7" w:rsidRDefault="00D8519F">
      <w:pPr>
        <w:adjustRightInd w:val="0"/>
        <w:snapToGrid w:val="0"/>
        <w:spacing w:line="360" w:lineRule="auto"/>
        <w:ind w:firstLineChars="200" w:firstLine="480"/>
        <w:jc w:val="both"/>
        <w:rPr>
          <w:rFonts w:ascii="Times New Roman" w:hAnsi="Times New Roman"/>
          <w:color w:val="000000"/>
          <w:sz w:val="24"/>
          <w:szCs w:val="24"/>
        </w:rPr>
      </w:pPr>
      <w:r>
        <w:rPr>
          <w:bCs/>
          <w:sz w:val="24"/>
        </w:rPr>
        <w:t>基金财产清算账册及有关文件由基金托管人</w:t>
      </w:r>
      <w:r>
        <w:rPr>
          <w:rFonts w:hint="eastAsia"/>
          <w:bCs/>
          <w:sz w:val="24"/>
        </w:rPr>
        <w:t>保存</w:t>
      </w:r>
      <w:bookmarkEnd w:id="35"/>
      <w:r w:rsidR="00C02237">
        <w:rPr>
          <w:rFonts w:ascii="Times New Roman" w:hAnsi="Times New Roman" w:hint="eastAsia"/>
          <w:color w:val="000000"/>
          <w:sz w:val="24"/>
          <w:szCs w:val="24"/>
        </w:rPr>
        <w:t>，保存</w:t>
      </w:r>
      <w:r w:rsidR="00230466">
        <w:rPr>
          <w:rFonts w:ascii="Times New Roman" w:hAnsi="Times New Roman" w:hint="eastAsia"/>
          <w:color w:val="000000"/>
          <w:sz w:val="24"/>
          <w:szCs w:val="24"/>
        </w:rPr>
        <w:t>期限</w:t>
      </w:r>
      <w:r w:rsidR="00230466">
        <w:rPr>
          <w:rFonts w:hint="eastAsia"/>
          <w:bCs/>
          <w:sz w:val="24"/>
        </w:rPr>
        <w:t>按照法律法规的规定执行。</w:t>
      </w:r>
    </w:p>
    <w:p w14:paraId="15B9BE1F"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36" w:name="_Toc516502502"/>
      <w:bookmarkStart w:id="37" w:name="_Hlk179973482"/>
      <w:bookmarkEnd w:id="34"/>
      <w:r>
        <w:rPr>
          <w:rFonts w:ascii="Times New Roman" w:eastAsia="宋体" w:hAnsi="Times New Roman" w:cs="Times New Roman"/>
          <w:bCs w:val="0"/>
          <w:color w:val="000000" w:themeColor="text1"/>
          <w:kern w:val="2"/>
          <w:lang w:val="en-US" w:bidi="ar-SA"/>
        </w:rPr>
        <w:t>十七、违约责任</w:t>
      </w:r>
      <w:bookmarkEnd w:id="36"/>
    </w:p>
    <w:p w14:paraId="11BF74E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（一）基金管理人、基金托管人不履行本协议或履行本协议不符合约定的，应当承担违约责任。</w:t>
      </w:r>
    </w:p>
    <w:p w14:paraId="78F5240C"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（二）基金管理人、基金托管人在履行各自职责的过程中，违反《基金法》</w:t>
      </w:r>
      <w:r>
        <w:rPr>
          <w:rFonts w:ascii="Times New Roman" w:hAnsi="Times New Roman" w:hint="eastAsia"/>
          <w:spacing w:val="-4"/>
          <w:sz w:val="24"/>
          <w:szCs w:val="24"/>
        </w:rPr>
        <w:t>等法律法规的规定</w:t>
      </w:r>
      <w:r>
        <w:rPr>
          <w:rFonts w:ascii="Times New Roman" w:hAnsi="Times New Roman"/>
          <w:spacing w:val="-4"/>
          <w:sz w:val="24"/>
          <w:szCs w:val="24"/>
        </w:rPr>
        <w:t>或者《基金合同》和本托管协议约定，给基金财产或者基金份额持有人造成损害的，应当分别对各自的行为依法承担赔偿责任</w:t>
      </w:r>
      <w:r>
        <w:rPr>
          <w:rFonts w:ascii="Times New Roman" w:hAnsi="Times New Roman" w:hint="eastAsia"/>
          <w:spacing w:val="-4"/>
          <w:sz w:val="24"/>
          <w:szCs w:val="24"/>
        </w:rPr>
        <w:t>；因共同行为给基金财产或者基金份额持有人造成损害的，应当承担连带赔偿责任。</w:t>
      </w:r>
      <w:r>
        <w:rPr>
          <w:rFonts w:ascii="Times New Roman" w:hAnsi="Times New Roman"/>
          <w:spacing w:val="-4"/>
          <w:sz w:val="24"/>
          <w:szCs w:val="24"/>
        </w:rPr>
        <w:t>对损失的赔偿，仅限于直接损失。</w:t>
      </w:r>
    </w:p>
    <w:p w14:paraId="6F74E7E7"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三）当事人违约，给另一方当事人造成损失的，应就直接损失进行赔偿；给基金资产造成损失的，应就直接损失进行赔偿，另一方当事人有权利及义务代表基金向违约方追偿。如发生下列情况，当事人应当免责：</w:t>
      </w:r>
    </w:p>
    <w:p w14:paraId="72F1796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1</w:t>
      </w:r>
      <w:r>
        <w:rPr>
          <w:rFonts w:ascii="Times New Roman" w:hAnsi="Times New Roman"/>
          <w:spacing w:val="-4"/>
          <w:sz w:val="24"/>
          <w:szCs w:val="24"/>
        </w:rPr>
        <w:t>、不可抗力；</w:t>
      </w:r>
    </w:p>
    <w:p w14:paraId="34CA972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2</w:t>
      </w:r>
      <w:r>
        <w:rPr>
          <w:rFonts w:ascii="Times New Roman" w:hAnsi="Times New Roman"/>
          <w:spacing w:val="-4"/>
          <w:sz w:val="24"/>
          <w:szCs w:val="24"/>
        </w:rPr>
        <w:t>、基金管理人</w:t>
      </w:r>
      <w:r>
        <w:rPr>
          <w:rFonts w:ascii="Times New Roman" w:hAnsi="Times New Roman" w:hint="eastAsia"/>
          <w:spacing w:val="-4"/>
          <w:sz w:val="24"/>
          <w:szCs w:val="24"/>
        </w:rPr>
        <w:t>和</w:t>
      </w:r>
      <w:r>
        <w:rPr>
          <w:rFonts w:ascii="Times New Roman" w:hAnsi="Times New Roman" w:hint="eastAsia"/>
          <w:spacing w:val="-4"/>
          <w:sz w:val="24"/>
          <w:szCs w:val="24"/>
        </w:rPr>
        <w:t>/</w:t>
      </w:r>
      <w:r>
        <w:rPr>
          <w:rFonts w:ascii="Times New Roman" w:hAnsi="Times New Roman" w:hint="eastAsia"/>
          <w:spacing w:val="-4"/>
          <w:sz w:val="24"/>
          <w:szCs w:val="24"/>
        </w:rPr>
        <w:t>或</w:t>
      </w:r>
      <w:r>
        <w:rPr>
          <w:rFonts w:ascii="Times New Roman" w:hAnsi="Times New Roman"/>
          <w:spacing w:val="-4"/>
          <w:sz w:val="24"/>
          <w:szCs w:val="24"/>
        </w:rPr>
        <w:t>基金托管人按照当时有效的法律法规或中国证监会的规定作为或不作为而造成的损失等；</w:t>
      </w:r>
    </w:p>
    <w:p w14:paraId="5B161C1E" w14:textId="5888AF7B"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lastRenderedPageBreak/>
        <w:t>3</w:t>
      </w:r>
      <w:r>
        <w:rPr>
          <w:rFonts w:ascii="Times New Roman" w:hAnsi="Times New Roman"/>
          <w:spacing w:val="-4"/>
          <w:sz w:val="24"/>
          <w:szCs w:val="24"/>
        </w:rPr>
        <w:t>、</w:t>
      </w:r>
      <w:r w:rsidR="00D309D5">
        <w:rPr>
          <w:rFonts w:ascii="Times New Roman" w:hAnsi="Times New Roman" w:hint="eastAsia"/>
          <w:spacing w:val="-4"/>
          <w:sz w:val="24"/>
          <w:szCs w:val="24"/>
        </w:rPr>
        <w:t>在没有过错的情况下，</w:t>
      </w:r>
      <w:r>
        <w:rPr>
          <w:rFonts w:ascii="Times New Roman" w:hAnsi="Times New Roman"/>
          <w:spacing w:val="-4"/>
          <w:sz w:val="24"/>
          <w:szCs w:val="24"/>
        </w:rPr>
        <w:t>基金管理人由于按照《基金合同》规定的投资原则</w:t>
      </w:r>
      <w:r>
        <w:rPr>
          <w:rFonts w:ascii="Times New Roman" w:hAnsi="Times New Roman" w:hint="eastAsia"/>
          <w:spacing w:val="-4"/>
          <w:sz w:val="24"/>
          <w:szCs w:val="24"/>
        </w:rPr>
        <w:t>行使或不行使其投资权而</w:t>
      </w:r>
      <w:r>
        <w:rPr>
          <w:rFonts w:ascii="Times New Roman" w:hAnsi="Times New Roman"/>
          <w:spacing w:val="-4"/>
          <w:sz w:val="24"/>
          <w:szCs w:val="24"/>
        </w:rPr>
        <w:t>造成的损失等；</w:t>
      </w:r>
    </w:p>
    <w:p w14:paraId="7A41A06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4</w:t>
      </w:r>
      <w:r>
        <w:rPr>
          <w:rFonts w:ascii="Times New Roman" w:hAnsi="Times New Roman"/>
          <w:spacing w:val="-4"/>
          <w:sz w:val="24"/>
          <w:szCs w:val="24"/>
        </w:rPr>
        <w:t>、基金托管人对存放或存管在基金托管人以外机构的基金资产，或交由证券公司、期货公司等其他机构负责清算交收的基金资产（包括但不限于证券资金账户、期货保证金账户内的资金等）及其收益，由于该机构欺诈、故意、疏忽、过失或破产等原因给本基金资产造成的损失等。</w:t>
      </w:r>
    </w:p>
    <w:p w14:paraId="42B2C89C"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（四）当事人违约，</w:t>
      </w:r>
      <w:r>
        <w:rPr>
          <w:rFonts w:ascii="Times New Roman" w:hAnsi="Times New Roman" w:hint="eastAsia"/>
          <w:spacing w:val="-4"/>
          <w:sz w:val="24"/>
          <w:szCs w:val="24"/>
        </w:rPr>
        <w:t>非违约方</w:t>
      </w:r>
      <w:r>
        <w:rPr>
          <w:rFonts w:ascii="Times New Roman" w:hAnsi="Times New Roman"/>
          <w:spacing w:val="-4"/>
          <w:sz w:val="24"/>
          <w:szCs w:val="24"/>
        </w:rPr>
        <w:t>当事人在职责范围内有义务及时采取必要的措施，尽力防止损失的扩大。没有采取适当措施致使损失进一步扩大的，不得就扩大的损失要求赔偿。非违约方因防止损失扩大而支出的合理费用由违约方承担。</w:t>
      </w:r>
    </w:p>
    <w:p w14:paraId="5FC6EFFF"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（五）违约行为虽已发生，但本托管协议能够继续履行的，在最大限度地保护基金份额持有人利益的前提下，基金管理人和基金托管人应当继续履行本协议。</w:t>
      </w:r>
      <w:proofErr w:type="gramStart"/>
      <w:r>
        <w:rPr>
          <w:rFonts w:ascii="Times New Roman" w:hAnsi="Times New Roman"/>
          <w:spacing w:val="-4"/>
          <w:sz w:val="24"/>
          <w:szCs w:val="24"/>
        </w:rPr>
        <w:t>若基金</w:t>
      </w:r>
      <w:proofErr w:type="gramEnd"/>
      <w:r>
        <w:rPr>
          <w:rFonts w:ascii="Times New Roman" w:hAnsi="Times New Roman"/>
          <w:spacing w:val="-4"/>
          <w:sz w:val="24"/>
          <w:szCs w:val="24"/>
        </w:rPr>
        <w:t>管理人或基金托管人因履行本协议而被起诉，另一方应提供合理的必要支持。</w:t>
      </w:r>
    </w:p>
    <w:p w14:paraId="6DF1F5F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（六）由于基金管理人</w:t>
      </w:r>
      <w:r>
        <w:rPr>
          <w:rFonts w:ascii="Times New Roman" w:hAnsi="Times New Roman" w:hint="eastAsia"/>
          <w:spacing w:val="-4"/>
          <w:sz w:val="24"/>
          <w:szCs w:val="24"/>
        </w:rPr>
        <w:t>、</w:t>
      </w:r>
      <w:r>
        <w:rPr>
          <w:rFonts w:ascii="Times New Roman" w:hAnsi="Times New Roman"/>
          <w:spacing w:val="-4"/>
          <w:sz w:val="24"/>
          <w:szCs w:val="24"/>
        </w:rPr>
        <w:t>基金托管人</w:t>
      </w:r>
      <w:r>
        <w:rPr>
          <w:rFonts w:ascii="Times New Roman" w:hAnsi="Times New Roman" w:hint="eastAsia"/>
          <w:spacing w:val="-4"/>
          <w:sz w:val="24"/>
          <w:szCs w:val="24"/>
        </w:rPr>
        <w:t>不可控制的因素导致业务出现差错，基金管理人和基金托管人</w:t>
      </w:r>
      <w:r>
        <w:rPr>
          <w:rFonts w:ascii="Times New Roman" w:hAnsi="Times New Roman"/>
          <w:spacing w:val="-4"/>
          <w:sz w:val="24"/>
          <w:szCs w:val="24"/>
        </w:rPr>
        <w:t>虽然已经采取必要、适当、合理的措施进行检查，但是未能发现错误的，由此造成基金财产或投资</w:t>
      </w:r>
      <w:r>
        <w:rPr>
          <w:rFonts w:ascii="Times New Roman" w:hAnsi="Times New Roman" w:hint="eastAsia"/>
          <w:spacing w:val="-4"/>
          <w:sz w:val="24"/>
          <w:szCs w:val="24"/>
        </w:rPr>
        <w:t>者</w:t>
      </w:r>
      <w:r>
        <w:rPr>
          <w:rFonts w:ascii="Times New Roman" w:hAnsi="Times New Roman"/>
          <w:spacing w:val="-4"/>
          <w:sz w:val="24"/>
          <w:szCs w:val="24"/>
        </w:rPr>
        <w:t>损失，基金管理人和基金托管人免除赔偿责任。但</w:t>
      </w:r>
      <w:r>
        <w:rPr>
          <w:rFonts w:ascii="Times New Roman" w:hAnsi="Times New Roman" w:hint="eastAsia"/>
          <w:spacing w:val="-4"/>
          <w:sz w:val="24"/>
          <w:szCs w:val="24"/>
        </w:rPr>
        <w:t>是</w:t>
      </w:r>
      <w:r>
        <w:rPr>
          <w:rFonts w:ascii="Times New Roman" w:hAnsi="Times New Roman"/>
          <w:spacing w:val="-4"/>
          <w:sz w:val="24"/>
          <w:szCs w:val="24"/>
        </w:rPr>
        <w:t>基金管理人和基金托管人应积极采取必要的措施消除或减轻由此造成的影响。</w:t>
      </w:r>
      <w:bookmarkEnd w:id="37"/>
    </w:p>
    <w:p w14:paraId="7676910C"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38" w:name="_Toc516502503"/>
      <w:r>
        <w:rPr>
          <w:rFonts w:ascii="Times New Roman" w:eastAsia="宋体" w:hAnsi="Times New Roman" w:cs="Times New Roman"/>
          <w:bCs w:val="0"/>
          <w:color w:val="000000" w:themeColor="text1"/>
          <w:kern w:val="2"/>
          <w:lang w:val="en-US" w:bidi="ar-SA"/>
        </w:rPr>
        <w:t>十八、争议解决方式</w:t>
      </w:r>
      <w:bookmarkEnd w:id="38"/>
    </w:p>
    <w:p w14:paraId="3DA764BB" w14:textId="77777777" w:rsidR="000A56DF" w:rsidRPr="00612B9E" w:rsidRDefault="000A56DF" w:rsidP="000A56DF">
      <w:pPr>
        <w:spacing w:line="360" w:lineRule="auto"/>
        <w:ind w:firstLineChars="225" w:firstLine="540"/>
        <w:rPr>
          <w:sz w:val="24"/>
        </w:rPr>
      </w:pPr>
      <w:bookmarkStart w:id="39" w:name="_Toc516502504"/>
      <w:r>
        <w:rPr>
          <w:rFonts w:hint="eastAsia"/>
          <w:bCs/>
          <w:sz w:val="24"/>
        </w:rPr>
        <w:t>双方当事人同意，</w:t>
      </w:r>
      <w:r w:rsidRPr="00612B9E">
        <w:rPr>
          <w:rFonts w:hint="eastAsia"/>
          <w:sz w:val="24"/>
        </w:rPr>
        <w:t>因本协议产生或与之相关的争议</w:t>
      </w:r>
      <w:r>
        <w:rPr>
          <w:rFonts w:hint="eastAsia"/>
          <w:bCs/>
          <w:sz w:val="24"/>
        </w:rPr>
        <w:t>可</w:t>
      </w:r>
      <w:r w:rsidRPr="00612B9E">
        <w:rPr>
          <w:rFonts w:hint="eastAsia"/>
          <w:sz w:val="24"/>
        </w:rPr>
        <w:t>通过</w:t>
      </w:r>
      <w:r>
        <w:rPr>
          <w:rFonts w:hint="eastAsia"/>
          <w:bCs/>
          <w:sz w:val="24"/>
        </w:rPr>
        <w:t>友好</w:t>
      </w:r>
      <w:r w:rsidRPr="00612B9E">
        <w:rPr>
          <w:rFonts w:hint="eastAsia"/>
          <w:sz w:val="24"/>
        </w:rPr>
        <w:t>协商解决，</w:t>
      </w:r>
      <w:r>
        <w:rPr>
          <w:rFonts w:hint="eastAsia"/>
          <w:bCs/>
          <w:sz w:val="24"/>
        </w:rPr>
        <w:t>但若</w:t>
      </w:r>
      <w:r>
        <w:rPr>
          <w:bCs/>
          <w:sz w:val="24"/>
        </w:rPr>
        <w:t>未能以</w:t>
      </w:r>
      <w:r w:rsidRPr="00612B9E">
        <w:rPr>
          <w:sz w:val="24"/>
        </w:rPr>
        <w:t>协商</w:t>
      </w:r>
      <w:r>
        <w:rPr>
          <w:bCs/>
          <w:sz w:val="24"/>
        </w:rPr>
        <w:t>方式</w:t>
      </w:r>
      <w:r w:rsidRPr="00612B9E">
        <w:rPr>
          <w:rFonts w:hint="eastAsia"/>
          <w:sz w:val="24"/>
        </w:rPr>
        <w:t>解决的，任何一方均有权将争议提交</w:t>
      </w:r>
      <w:bookmarkStart w:id="40" w:name="_Hlk188286204"/>
      <w:r w:rsidRPr="00612B9E">
        <w:rPr>
          <w:rFonts w:hint="eastAsia"/>
          <w:sz w:val="24"/>
        </w:rPr>
        <w:t>中国国际经济贸易仲裁委员会</w:t>
      </w:r>
      <w:bookmarkEnd w:id="40"/>
      <w:r w:rsidRPr="00612B9E">
        <w:rPr>
          <w:rFonts w:hint="eastAsia"/>
          <w:sz w:val="24"/>
        </w:rPr>
        <w:t>，仲裁地点为</w:t>
      </w:r>
      <w:bookmarkStart w:id="41" w:name="_Hlk188286213"/>
      <w:r w:rsidRPr="00612B9E">
        <w:rPr>
          <w:rFonts w:hint="eastAsia"/>
          <w:sz w:val="24"/>
        </w:rPr>
        <w:t>北京市</w:t>
      </w:r>
      <w:bookmarkEnd w:id="41"/>
      <w:r w:rsidRPr="00612B9E">
        <w:rPr>
          <w:rFonts w:hint="eastAsia"/>
          <w:sz w:val="24"/>
        </w:rPr>
        <w:t>，按照中国国际经济贸易仲裁委员会届时有效的仲裁规则进行仲裁。仲裁裁决是终局的，对当事人均有约束力，</w:t>
      </w:r>
      <w:r w:rsidRPr="009A16A3">
        <w:rPr>
          <w:rFonts w:hint="eastAsia"/>
          <w:sz w:val="24"/>
        </w:rPr>
        <w:t>除非仲裁裁决另有规定，</w:t>
      </w:r>
      <w:r w:rsidRPr="00612B9E">
        <w:rPr>
          <w:rFonts w:hint="eastAsia"/>
          <w:sz w:val="24"/>
        </w:rPr>
        <w:t>仲裁费用由败诉方承担。</w:t>
      </w:r>
    </w:p>
    <w:p w14:paraId="59D03F03" w14:textId="77777777" w:rsidR="000A56DF" w:rsidRPr="00612B9E" w:rsidRDefault="000A56DF" w:rsidP="000A56DF">
      <w:pPr>
        <w:spacing w:line="360" w:lineRule="auto"/>
        <w:ind w:firstLineChars="225" w:firstLine="540"/>
        <w:rPr>
          <w:sz w:val="24"/>
        </w:rPr>
      </w:pPr>
      <w:r w:rsidRPr="00612B9E">
        <w:rPr>
          <w:rFonts w:hint="eastAsia"/>
          <w:sz w:val="24"/>
        </w:rPr>
        <w:t>争议处理期间，双方当事人应恪守基金管理人和基金托管人职责，各自继续忠实、勤勉、尽责地履行《基金合同》和本托管协议规定的义务，维护基金份额持有人的合法权益。</w:t>
      </w:r>
    </w:p>
    <w:p w14:paraId="250E3134" w14:textId="77777777" w:rsidR="000A56DF" w:rsidRPr="00612B9E" w:rsidRDefault="000A56DF" w:rsidP="000A56DF">
      <w:pPr>
        <w:spacing w:line="360" w:lineRule="auto"/>
        <w:ind w:firstLineChars="225" w:firstLine="540"/>
        <w:rPr>
          <w:sz w:val="24"/>
        </w:rPr>
      </w:pPr>
      <w:r w:rsidRPr="00612B9E">
        <w:rPr>
          <w:rFonts w:hint="eastAsia"/>
          <w:sz w:val="24"/>
        </w:rPr>
        <w:t>本协议受中国法律</w:t>
      </w:r>
      <w:r>
        <w:rPr>
          <w:rFonts w:hint="eastAsia"/>
          <w:bCs/>
          <w:sz w:val="24"/>
        </w:rPr>
        <w:t>（为本协议之目的，在此不包括香港、澳门特别行政区和台湾地区法律）</w:t>
      </w:r>
      <w:r>
        <w:rPr>
          <w:rFonts w:hint="eastAsia"/>
          <w:sz w:val="24"/>
        </w:rPr>
        <w:t>管辖</w:t>
      </w:r>
      <w:r>
        <w:rPr>
          <w:rFonts w:hint="eastAsia"/>
          <w:bCs/>
          <w:sz w:val="24"/>
        </w:rPr>
        <w:t>并从其解释</w:t>
      </w:r>
      <w:r w:rsidRPr="00612B9E">
        <w:rPr>
          <w:rFonts w:hint="eastAsia"/>
          <w:sz w:val="24"/>
        </w:rPr>
        <w:t>。</w:t>
      </w:r>
    </w:p>
    <w:p w14:paraId="2C826CF0"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r>
        <w:rPr>
          <w:rFonts w:ascii="Times New Roman" w:eastAsia="宋体" w:hAnsi="Times New Roman" w:cs="Times New Roman"/>
          <w:bCs w:val="0"/>
          <w:color w:val="000000" w:themeColor="text1"/>
          <w:kern w:val="2"/>
          <w:lang w:val="en-US" w:bidi="ar-SA"/>
        </w:rPr>
        <w:lastRenderedPageBreak/>
        <w:t>十九、托管协议的效力</w:t>
      </w:r>
      <w:bookmarkEnd w:id="39"/>
    </w:p>
    <w:p w14:paraId="2299ECE2"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双方对托管协议的效力约定如下：</w:t>
      </w:r>
    </w:p>
    <w:p w14:paraId="06216EB3"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一）基金管理人在向中国证监会申请发售基金份额时提交的托管协议草案，应经托管协议当事人双方盖章以及双方法定代表人或授权代表签字或盖章，协议当事人双方根据中国证监会的意见修改托管协议草案。托管协议以中国证监会注册的文本为正式文本。</w:t>
      </w:r>
    </w:p>
    <w:p w14:paraId="4BA07F46"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（二）托管协议自《基金合同》成立之日起成立，自《基金合同》生效之日起生效。托管协议的有效期自其生效之日起至该基金财产清算报告报中国证监会备案并公告之日止。</w:t>
      </w:r>
    </w:p>
    <w:p w14:paraId="673F8DBF"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（三）托管协议自生效之日对托管协议当事人具有同等的法律约束力。</w:t>
      </w:r>
    </w:p>
    <w:p w14:paraId="0C2DD91E" w14:textId="77777777" w:rsidR="002123B7" w:rsidRDefault="00D8519F">
      <w:pPr>
        <w:spacing w:line="360" w:lineRule="auto"/>
        <w:ind w:firstLineChars="200" w:firstLine="472"/>
        <w:jc w:val="both"/>
        <w:rPr>
          <w:rFonts w:ascii="Times New Roman" w:hAnsi="Times New Roman"/>
          <w:spacing w:val="-4"/>
          <w:sz w:val="24"/>
          <w:szCs w:val="24"/>
        </w:rPr>
      </w:pPr>
      <w:bookmarkStart w:id="42" w:name="_Toc516502505"/>
      <w:r>
        <w:rPr>
          <w:rFonts w:ascii="Times New Roman" w:hAnsi="Times New Roman"/>
          <w:spacing w:val="-4"/>
          <w:sz w:val="24"/>
          <w:szCs w:val="24"/>
        </w:rPr>
        <w:t>（四）本协议一式</w:t>
      </w:r>
      <w:r>
        <w:rPr>
          <w:rFonts w:ascii="Times New Roman" w:hAnsi="Times New Roman" w:hint="eastAsia"/>
          <w:spacing w:val="-4"/>
          <w:sz w:val="24"/>
          <w:szCs w:val="24"/>
        </w:rPr>
        <w:t>六</w:t>
      </w:r>
      <w:r>
        <w:rPr>
          <w:rFonts w:ascii="Times New Roman" w:hAnsi="Times New Roman"/>
          <w:spacing w:val="-4"/>
          <w:sz w:val="24"/>
          <w:szCs w:val="24"/>
        </w:rPr>
        <w:t>份，协议双方各持</w:t>
      </w:r>
      <w:r>
        <w:rPr>
          <w:rFonts w:ascii="Times New Roman" w:hAnsi="Times New Roman" w:hint="eastAsia"/>
          <w:spacing w:val="-4"/>
          <w:sz w:val="24"/>
          <w:szCs w:val="24"/>
        </w:rPr>
        <w:t>二</w:t>
      </w:r>
      <w:r>
        <w:rPr>
          <w:rFonts w:ascii="Times New Roman" w:hAnsi="Times New Roman"/>
          <w:spacing w:val="-4"/>
          <w:sz w:val="24"/>
          <w:szCs w:val="24"/>
        </w:rPr>
        <w:t>份，上报有关监管部门</w:t>
      </w:r>
      <w:r>
        <w:rPr>
          <w:rFonts w:ascii="Times New Roman" w:hAnsi="Times New Roman" w:hint="eastAsia"/>
          <w:spacing w:val="-4"/>
          <w:sz w:val="24"/>
          <w:szCs w:val="24"/>
        </w:rPr>
        <w:t>二</w:t>
      </w:r>
      <w:r>
        <w:rPr>
          <w:rFonts w:ascii="Times New Roman" w:hAnsi="Times New Roman"/>
          <w:spacing w:val="-4"/>
          <w:sz w:val="24"/>
          <w:szCs w:val="24"/>
        </w:rPr>
        <w:t>份，每份具有同等法律效力。</w:t>
      </w:r>
    </w:p>
    <w:p w14:paraId="55EF099F"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r>
        <w:rPr>
          <w:rFonts w:ascii="Times New Roman" w:eastAsia="宋体" w:hAnsi="Times New Roman" w:cs="Times New Roman"/>
          <w:bCs w:val="0"/>
          <w:color w:val="000000" w:themeColor="text1"/>
          <w:kern w:val="2"/>
          <w:lang w:val="en-US" w:bidi="ar-SA"/>
        </w:rPr>
        <w:t>二十、其他事项</w:t>
      </w:r>
      <w:bookmarkEnd w:id="42"/>
    </w:p>
    <w:p w14:paraId="4E50FBAB"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如发生有权司法机关依法冻结基金份额持有人的基金份额时，基金管理人应予以配合，承担司法协助义务。</w:t>
      </w:r>
    </w:p>
    <w:p w14:paraId="13D39FF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除本协议有明确定义外，本协议的用语定义适用《基金合同》的约定。本协议未尽事宜，当事人依据《基金合同》、有关法律法规等规定协商办理。</w:t>
      </w:r>
    </w:p>
    <w:p w14:paraId="38ACC68F" w14:textId="77777777" w:rsidR="002123B7" w:rsidRDefault="00D8519F">
      <w:pPr>
        <w:pStyle w:val="1"/>
        <w:spacing w:before="100" w:beforeAutospacing="1" w:after="100" w:afterAutospacing="1"/>
        <w:ind w:left="0"/>
        <w:jc w:val="center"/>
        <w:rPr>
          <w:rFonts w:ascii="Times New Roman" w:eastAsia="宋体" w:hAnsi="Times New Roman" w:cs="Times New Roman"/>
          <w:bCs w:val="0"/>
          <w:color w:val="000000" w:themeColor="text1"/>
          <w:kern w:val="2"/>
          <w:lang w:val="en-US" w:bidi="ar-SA"/>
        </w:rPr>
      </w:pPr>
      <w:bookmarkStart w:id="43" w:name="_Toc516502506"/>
      <w:r>
        <w:rPr>
          <w:rFonts w:ascii="Times New Roman" w:eastAsia="宋体" w:hAnsi="Times New Roman" w:cs="Times New Roman"/>
          <w:bCs w:val="0"/>
          <w:color w:val="000000" w:themeColor="text1"/>
          <w:kern w:val="2"/>
          <w:lang w:val="en-US" w:bidi="ar-SA"/>
        </w:rPr>
        <w:t>二十一、托管协议的签订</w:t>
      </w:r>
      <w:bookmarkEnd w:id="43"/>
    </w:p>
    <w:p w14:paraId="574A3124"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hint="eastAsia"/>
          <w:spacing w:val="-4"/>
          <w:sz w:val="24"/>
          <w:szCs w:val="24"/>
        </w:rPr>
        <w:t>以下无</w:t>
      </w:r>
      <w:r>
        <w:rPr>
          <w:rFonts w:ascii="Times New Roman" w:hAnsi="Times New Roman"/>
          <w:spacing w:val="-4"/>
          <w:sz w:val="24"/>
          <w:szCs w:val="24"/>
        </w:rPr>
        <w:t>正文，为本协议双方法定代表人或授权代表签章、签订地、签订日</w:t>
      </w:r>
      <w:r>
        <w:rPr>
          <w:rFonts w:ascii="Times New Roman" w:hAnsi="Times New Roman" w:hint="eastAsia"/>
          <w:spacing w:val="-4"/>
          <w:sz w:val="24"/>
          <w:szCs w:val="24"/>
        </w:rPr>
        <w:t>。</w:t>
      </w:r>
    </w:p>
    <w:p w14:paraId="544C2012" w14:textId="77777777" w:rsidR="002123B7" w:rsidRDefault="00D8519F">
      <w:pPr>
        <w:spacing w:line="360" w:lineRule="auto"/>
        <w:ind w:firstLineChars="200" w:firstLine="480"/>
        <w:jc w:val="both"/>
        <w:rPr>
          <w:rFonts w:ascii="Times New Roman" w:hAnsi="Times New Roman"/>
          <w:color w:val="000000" w:themeColor="text1"/>
          <w:sz w:val="24"/>
        </w:rPr>
      </w:pPr>
      <w:r>
        <w:rPr>
          <w:rFonts w:ascii="Times New Roman" w:hAnsi="Times New Roman"/>
          <w:color w:val="000000" w:themeColor="text1"/>
          <w:sz w:val="24"/>
        </w:rPr>
        <w:br w:type="page"/>
      </w:r>
    </w:p>
    <w:p w14:paraId="07774542" w14:textId="7BB82287" w:rsidR="002123B7" w:rsidRDefault="00D8519F">
      <w:pPr>
        <w:spacing w:line="276" w:lineRule="auto"/>
        <w:ind w:right="26" w:firstLineChars="200" w:firstLine="480"/>
        <w:jc w:val="both"/>
        <w:rPr>
          <w:rFonts w:ascii="Times New Roman" w:hAnsi="Times New Roman"/>
          <w:color w:val="000000" w:themeColor="text1"/>
          <w:sz w:val="24"/>
        </w:rPr>
      </w:pPr>
      <w:r>
        <w:rPr>
          <w:rFonts w:ascii="Times New Roman" w:hAnsi="Times New Roman"/>
          <w:color w:val="000000" w:themeColor="text1"/>
          <w:sz w:val="24"/>
        </w:rPr>
        <w:lastRenderedPageBreak/>
        <w:t>本页无正文，为《华</w:t>
      </w:r>
      <w:r>
        <w:rPr>
          <w:rFonts w:ascii="Times New Roman" w:hAnsi="Times New Roman" w:hint="eastAsia"/>
          <w:color w:val="000000" w:themeColor="text1"/>
          <w:sz w:val="24"/>
        </w:rPr>
        <w:t>宝创业板电池</w:t>
      </w:r>
      <w:r>
        <w:rPr>
          <w:rFonts w:ascii="Times New Roman" w:hAnsi="Times New Roman"/>
          <w:color w:val="000000" w:themeColor="text1"/>
          <w:sz w:val="24"/>
        </w:rPr>
        <w:t>交易型开放式指数证券投资基金托管协议》</w:t>
      </w:r>
      <w:r>
        <w:rPr>
          <w:rFonts w:ascii="Times New Roman" w:hAnsi="Times New Roman" w:hint="eastAsia"/>
          <w:color w:val="000000" w:themeColor="text1"/>
          <w:sz w:val="24"/>
        </w:rPr>
        <w:t>签署</w:t>
      </w:r>
      <w:r>
        <w:rPr>
          <w:rFonts w:ascii="Times New Roman" w:hAnsi="Times New Roman"/>
          <w:color w:val="000000" w:themeColor="text1"/>
          <w:sz w:val="24"/>
        </w:rPr>
        <w:t>页。</w:t>
      </w:r>
    </w:p>
    <w:p w14:paraId="05A8ABFA" w14:textId="77777777" w:rsidR="002123B7" w:rsidRDefault="002123B7">
      <w:pPr>
        <w:jc w:val="both"/>
        <w:rPr>
          <w:rFonts w:ascii="Times New Roman" w:hAnsi="Times New Roman"/>
          <w:spacing w:val="-4"/>
          <w:sz w:val="24"/>
          <w:szCs w:val="24"/>
        </w:rPr>
      </w:pPr>
    </w:p>
    <w:p w14:paraId="32DA55BC" w14:textId="77777777" w:rsidR="002123B7" w:rsidRDefault="002123B7">
      <w:pPr>
        <w:jc w:val="both"/>
        <w:rPr>
          <w:rFonts w:ascii="Times New Roman" w:hAnsi="Times New Roman"/>
          <w:spacing w:val="-4"/>
          <w:sz w:val="24"/>
          <w:szCs w:val="24"/>
        </w:rPr>
      </w:pPr>
    </w:p>
    <w:p w14:paraId="7D17E4CF" w14:textId="77777777" w:rsidR="002123B7" w:rsidRDefault="002123B7">
      <w:pPr>
        <w:jc w:val="both"/>
        <w:rPr>
          <w:rFonts w:ascii="Times New Roman" w:hAnsi="Times New Roman"/>
          <w:spacing w:val="-4"/>
          <w:sz w:val="24"/>
          <w:szCs w:val="24"/>
        </w:rPr>
      </w:pPr>
    </w:p>
    <w:p w14:paraId="18B1DF66" w14:textId="77777777" w:rsidR="002123B7" w:rsidRDefault="002123B7">
      <w:pPr>
        <w:jc w:val="both"/>
        <w:rPr>
          <w:rFonts w:ascii="Times New Roman" w:hAnsi="Times New Roman"/>
          <w:spacing w:val="-4"/>
          <w:sz w:val="24"/>
          <w:szCs w:val="24"/>
        </w:rPr>
      </w:pPr>
    </w:p>
    <w:p w14:paraId="7AD40BD1"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基金管理人：华宝基金管理有限公司</w:t>
      </w:r>
      <w:r>
        <w:rPr>
          <w:rFonts w:ascii="Times New Roman" w:hAnsi="Times New Roman" w:hint="eastAsia"/>
          <w:spacing w:val="-4"/>
          <w:sz w:val="24"/>
          <w:szCs w:val="24"/>
        </w:rPr>
        <w:t>（盖章）</w:t>
      </w:r>
    </w:p>
    <w:p w14:paraId="33D640DF" w14:textId="77777777" w:rsidR="002123B7" w:rsidRDefault="002123B7">
      <w:pPr>
        <w:spacing w:line="360" w:lineRule="auto"/>
        <w:ind w:firstLineChars="200" w:firstLine="472"/>
        <w:jc w:val="both"/>
        <w:rPr>
          <w:rFonts w:ascii="Times New Roman" w:hAnsi="Times New Roman"/>
          <w:spacing w:val="-4"/>
          <w:sz w:val="24"/>
          <w:szCs w:val="24"/>
        </w:rPr>
      </w:pPr>
    </w:p>
    <w:p w14:paraId="3D836CE0" w14:textId="77777777" w:rsidR="002123B7" w:rsidRDefault="002123B7">
      <w:pPr>
        <w:spacing w:line="360" w:lineRule="auto"/>
        <w:ind w:firstLineChars="200" w:firstLine="472"/>
        <w:jc w:val="both"/>
        <w:rPr>
          <w:rFonts w:ascii="Times New Roman" w:hAnsi="Times New Roman"/>
          <w:spacing w:val="-4"/>
          <w:sz w:val="24"/>
          <w:szCs w:val="24"/>
        </w:rPr>
      </w:pPr>
    </w:p>
    <w:p w14:paraId="75F49A40"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法定代表人或授权代表</w:t>
      </w:r>
      <w:r>
        <w:rPr>
          <w:bCs/>
          <w:sz w:val="24"/>
        </w:rPr>
        <w:t>（签字</w:t>
      </w:r>
      <w:r>
        <w:rPr>
          <w:rFonts w:hint="eastAsia"/>
          <w:bCs/>
          <w:sz w:val="24"/>
        </w:rPr>
        <w:t>或盖章</w:t>
      </w:r>
      <w:r>
        <w:rPr>
          <w:bCs/>
          <w:sz w:val="24"/>
        </w:rPr>
        <w:t>）</w:t>
      </w:r>
      <w:r>
        <w:rPr>
          <w:rFonts w:ascii="Times New Roman" w:hAnsi="Times New Roman"/>
          <w:spacing w:val="-4"/>
          <w:sz w:val="24"/>
          <w:szCs w:val="24"/>
        </w:rPr>
        <w:t>：</w:t>
      </w:r>
    </w:p>
    <w:p w14:paraId="43CE7107" w14:textId="77777777" w:rsidR="002123B7" w:rsidRDefault="002123B7">
      <w:pPr>
        <w:spacing w:line="360" w:lineRule="auto"/>
        <w:ind w:firstLineChars="200" w:firstLine="472"/>
        <w:jc w:val="both"/>
        <w:rPr>
          <w:rFonts w:ascii="Times New Roman" w:hAnsi="Times New Roman"/>
          <w:spacing w:val="-4"/>
          <w:sz w:val="24"/>
          <w:szCs w:val="24"/>
        </w:rPr>
      </w:pPr>
    </w:p>
    <w:p w14:paraId="61D2E30C" w14:textId="77777777" w:rsidR="002123B7" w:rsidRDefault="002123B7">
      <w:pPr>
        <w:spacing w:line="360" w:lineRule="auto"/>
        <w:ind w:firstLineChars="200" w:firstLine="472"/>
        <w:jc w:val="both"/>
        <w:rPr>
          <w:rFonts w:ascii="Times New Roman" w:hAnsi="Times New Roman"/>
          <w:spacing w:val="-4"/>
          <w:sz w:val="24"/>
          <w:szCs w:val="24"/>
        </w:rPr>
      </w:pPr>
    </w:p>
    <w:p w14:paraId="725D2477"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签订日期：</w:t>
      </w:r>
      <w:r>
        <w:rPr>
          <w:rFonts w:ascii="Times New Roman" w:hAnsi="Times New Roman" w:hint="eastAsia"/>
          <w:spacing w:val="-4"/>
          <w:sz w:val="24"/>
          <w:szCs w:val="24"/>
        </w:rPr>
        <w:t xml:space="preserve">  </w:t>
      </w:r>
      <w:r>
        <w:rPr>
          <w:rFonts w:ascii="Times New Roman" w:hAnsi="Times New Roman"/>
          <w:spacing w:val="-4"/>
          <w:sz w:val="24"/>
          <w:szCs w:val="24"/>
        </w:rPr>
        <w:tab/>
      </w:r>
      <w:r>
        <w:rPr>
          <w:rFonts w:ascii="Times New Roman" w:hAnsi="Times New Roman"/>
          <w:spacing w:val="-4"/>
          <w:sz w:val="24"/>
          <w:szCs w:val="24"/>
        </w:rPr>
        <w:t>年</w:t>
      </w:r>
      <w:r>
        <w:rPr>
          <w:rFonts w:ascii="Times New Roman" w:hAnsi="Times New Roman"/>
          <w:spacing w:val="-4"/>
          <w:sz w:val="24"/>
          <w:szCs w:val="24"/>
        </w:rPr>
        <w:tab/>
      </w:r>
      <w:r>
        <w:rPr>
          <w:rFonts w:ascii="Times New Roman" w:hAnsi="Times New Roman"/>
          <w:spacing w:val="-4"/>
          <w:sz w:val="24"/>
          <w:szCs w:val="24"/>
        </w:rPr>
        <w:t>月</w:t>
      </w:r>
      <w:r>
        <w:rPr>
          <w:rFonts w:ascii="Times New Roman" w:hAnsi="Times New Roman"/>
          <w:spacing w:val="-4"/>
          <w:sz w:val="24"/>
          <w:szCs w:val="24"/>
        </w:rPr>
        <w:tab/>
      </w:r>
      <w:r>
        <w:rPr>
          <w:rFonts w:ascii="Times New Roman" w:hAnsi="Times New Roman"/>
          <w:spacing w:val="-4"/>
          <w:sz w:val="24"/>
          <w:szCs w:val="24"/>
        </w:rPr>
        <w:t>日</w:t>
      </w:r>
    </w:p>
    <w:p w14:paraId="7A4CD2A7" w14:textId="77777777" w:rsidR="002123B7" w:rsidRDefault="002123B7">
      <w:pPr>
        <w:spacing w:line="360" w:lineRule="auto"/>
        <w:ind w:firstLineChars="200" w:firstLine="472"/>
        <w:jc w:val="both"/>
        <w:rPr>
          <w:rFonts w:ascii="Times New Roman" w:hAnsi="Times New Roman"/>
          <w:spacing w:val="-4"/>
          <w:sz w:val="24"/>
          <w:szCs w:val="24"/>
        </w:rPr>
      </w:pPr>
    </w:p>
    <w:p w14:paraId="703A4062" w14:textId="77777777" w:rsidR="002123B7" w:rsidRDefault="002123B7">
      <w:pPr>
        <w:spacing w:line="360" w:lineRule="auto"/>
        <w:ind w:firstLineChars="200" w:firstLine="472"/>
        <w:jc w:val="both"/>
        <w:rPr>
          <w:rFonts w:ascii="Times New Roman" w:hAnsi="Times New Roman"/>
          <w:spacing w:val="-4"/>
          <w:sz w:val="24"/>
          <w:szCs w:val="24"/>
        </w:rPr>
      </w:pPr>
    </w:p>
    <w:p w14:paraId="05C4E937" w14:textId="77777777" w:rsidR="002123B7" w:rsidRDefault="002123B7">
      <w:pPr>
        <w:spacing w:line="360" w:lineRule="auto"/>
        <w:ind w:firstLineChars="200" w:firstLine="472"/>
        <w:jc w:val="both"/>
        <w:rPr>
          <w:rFonts w:ascii="Times New Roman" w:hAnsi="Times New Roman"/>
          <w:spacing w:val="-4"/>
          <w:sz w:val="24"/>
          <w:szCs w:val="24"/>
        </w:rPr>
      </w:pPr>
    </w:p>
    <w:p w14:paraId="6E338EF6"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基金托管人</w:t>
      </w:r>
      <w:r>
        <w:rPr>
          <w:rFonts w:ascii="Times New Roman" w:hAnsi="Times New Roman" w:hint="eastAsia"/>
          <w:spacing w:val="-4"/>
          <w:sz w:val="24"/>
          <w:szCs w:val="24"/>
        </w:rPr>
        <w:t>：</w:t>
      </w:r>
      <w:r w:rsidR="00010F00">
        <w:rPr>
          <w:rFonts w:ascii="Times New Roman" w:hAnsi="Times New Roman"/>
          <w:spacing w:val="-4"/>
          <w:sz w:val="24"/>
          <w:szCs w:val="24"/>
        </w:rPr>
        <w:t>中国建设银行股份有限公司</w:t>
      </w:r>
      <w:r>
        <w:rPr>
          <w:rFonts w:ascii="Times New Roman" w:hAnsi="Times New Roman" w:hint="eastAsia"/>
          <w:spacing w:val="-4"/>
          <w:sz w:val="24"/>
          <w:szCs w:val="24"/>
        </w:rPr>
        <w:t>（盖章）</w:t>
      </w:r>
    </w:p>
    <w:p w14:paraId="4B00651C" w14:textId="77777777" w:rsidR="002123B7" w:rsidRDefault="002123B7">
      <w:pPr>
        <w:spacing w:line="360" w:lineRule="auto"/>
        <w:ind w:firstLineChars="200" w:firstLine="472"/>
        <w:jc w:val="both"/>
        <w:rPr>
          <w:rFonts w:ascii="Times New Roman" w:hAnsi="Times New Roman"/>
          <w:spacing w:val="-4"/>
          <w:sz w:val="24"/>
          <w:szCs w:val="24"/>
        </w:rPr>
      </w:pPr>
    </w:p>
    <w:p w14:paraId="6933B2D2" w14:textId="77777777" w:rsidR="002123B7" w:rsidRDefault="002123B7">
      <w:pPr>
        <w:spacing w:line="360" w:lineRule="auto"/>
        <w:ind w:firstLineChars="200" w:firstLine="472"/>
        <w:jc w:val="both"/>
        <w:rPr>
          <w:rFonts w:ascii="Times New Roman" w:hAnsi="Times New Roman"/>
          <w:spacing w:val="-4"/>
          <w:sz w:val="24"/>
          <w:szCs w:val="24"/>
        </w:rPr>
      </w:pPr>
    </w:p>
    <w:p w14:paraId="7F5FFF59" w14:textId="77777777" w:rsidR="002123B7" w:rsidRDefault="00D8519F">
      <w:pPr>
        <w:spacing w:line="360" w:lineRule="auto"/>
        <w:ind w:firstLineChars="200" w:firstLine="472"/>
        <w:jc w:val="both"/>
        <w:rPr>
          <w:rFonts w:ascii="Times New Roman" w:hAnsi="Times New Roman"/>
          <w:spacing w:val="-4"/>
          <w:sz w:val="24"/>
          <w:szCs w:val="24"/>
        </w:rPr>
      </w:pPr>
      <w:r>
        <w:rPr>
          <w:rFonts w:ascii="Times New Roman" w:hAnsi="Times New Roman"/>
          <w:spacing w:val="-4"/>
          <w:sz w:val="24"/>
          <w:szCs w:val="24"/>
        </w:rPr>
        <w:t>法定代表人或授权代表</w:t>
      </w:r>
      <w:r>
        <w:rPr>
          <w:bCs/>
          <w:sz w:val="24"/>
        </w:rPr>
        <w:t>（签字</w:t>
      </w:r>
      <w:r>
        <w:rPr>
          <w:rFonts w:hint="eastAsia"/>
          <w:bCs/>
          <w:sz w:val="24"/>
        </w:rPr>
        <w:t>或盖章</w:t>
      </w:r>
      <w:r>
        <w:rPr>
          <w:bCs/>
          <w:sz w:val="24"/>
        </w:rPr>
        <w:t>）</w:t>
      </w:r>
      <w:r>
        <w:rPr>
          <w:rFonts w:ascii="Times New Roman" w:hAnsi="Times New Roman"/>
          <w:spacing w:val="-4"/>
          <w:sz w:val="24"/>
          <w:szCs w:val="24"/>
        </w:rPr>
        <w:t>：</w:t>
      </w:r>
    </w:p>
    <w:p w14:paraId="20D3EA1A" w14:textId="77777777" w:rsidR="002123B7" w:rsidRDefault="002123B7">
      <w:pPr>
        <w:spacing w:line="360" w:lineRule="auto"/>
        <w:ind w:firstLineChars="200" w:firstLine="472"/>
        <w:jc w:val="both"/>
        <w:rPr>
          <w:rFonts w:ascii="Times New Roman" w:hAnsi="Times New Roman"/>
          <w:spacing w:val="-4"/>
          <w:sz w:val="24"/>
          <w:szCs w:val="24"/>
        </w:rPr>
      </w:pPr>
    </w:p>
    <w:p w14:paraId="7CC8A927" w14:textId="77777777" w:rsidR="002123B7" w:rsidRDefault="002123B7">
      <w:pPr>
        <w:spacing w:line="360" w:lineRule="auto"/>
        <w:ind w:firstLineChars="200" w:firstLine="472"/>
        <w:jc w:val="both"/>
        <w:rPr>
          <w:rFonts w:ascii="Times New Roman" w:hAnsi="Times New Roman"/>
          <w:spacing w:val="-4"/>
          <w:sz w:val="24"/>
          <w:szCs w:val="24"/>
        </w:rPr>
      </w:pPr>
    </w:p>
    <w:p w14:paraId="390E48D6" w14:textId="77777777" w:rsidR="002123B7" w:rsidRDefault="00D8519F">
      <w:pPr>
        <w:spacing w:line="360" w:lineRule="auto"/>
        <w:ind w:firstLineChars="200" w:firstLine="472"/>
        <w:jc w:val="both"/>
        <w:rPr>
          <w:rFonts w:ascii="Times New Roman" w:hAnsi="Times New Roman"/>
          <w:spacing w:val="-4"/>
          <w:sz w:val="24"/>
          <w:szCs w:val="24"/>
          <w:lang w:val="en-US"/>
        </w:rPr>
      </w:pPr>
      <w:r>
        <w:rPr>
          <w:rFonts w:ascii="Times New Roman" w:hAnsi="Times New Roman"/>
          <w:spacing w:val="-4"/>
          <w:sz w:val="24"/>
          <w:szCs w:val="24"/>
        </w:rPr>
        <w:t>签订日期：</w:t>
      </w:r>
      <w:r>
        <w:rPr>
          <w:rFonts w:ascii="Times New Roman" w:hAnsi="Times New Roman"/>
          <w:spacing w:val="-4"/>
          <w:sz w:val="24"/>
          <w:szCs w:val="24"/>
        </w:rPr>
        <w:tab/>
      </w:r>
      <w:r>
        <w:rPr>
          <w:rFonts w:ascii="Times New Roman" w:hAnsi="Times New Roman" w:hint="eastAsia"/>
          <w:spacing w:val="-4"/>
          <w:sz w:val="24"/>
          <w:szCs w:val="24"/>
        </w:rPr>
        <w:t xml:space="preserve">  </w:t>
      </w:r>
      <w:r>
        <w:rPr>
          <w:rFonts w:ascii="Times New Roman" w:hAnsi="Times New Roman"/>
          <w:spacing w:val="-4"/>
          <w:sz w:val="24"/>
          <w:szCs w:val="24"/>
        </w:rPr>
        <w:tab/>
      </w:r>
      <w:r>
        <w:rPr>
          <w:rFonts w:ascii="Times New Roman" w:hAnsi="Times New Roman"/>
          <w:spacing w:val="-4"/>
          <w:sz w:val="24"/>
          <w:szCs w:val="24"/>
        </w:rPr>
        <w:t>年</w:t>
      </w:r>
      <w:r>
        <w:rPr>
          <w:rFonts w:ascii="Times New Roman" w:hAnsi="Times New Roman"/>
          <w:spacing w:val="-4"/>
          <w:sz w:val="24"/>
          <w:szCs w:val="24"/>
        </w:rPr>
        <w:tab/>
      </w:r>
      <w:r>
        <w:rPr>
          <w:rFonts w:ascii="Times New Roman" w:hAnsi="Times New Roman"/>
          <w:spacing w:val="-4"/>
          <w:sz w:val="24"/>
          <w:szCs w:val="24"/>
        </w:rPr>
        <w:t>月</w:t>
      </w:r>
      <w:r>
        <w:rPr>
          <w:rFonts w:ascii="Times New Roman" w:hAnsi="Times New Roman"/>
          <w:spacing w:val="-4"/>
          <w:sz w:val="24"/>
          <w:szCs w:val="24"/>
        </w:rPr>
        <w:tab/>
      </w:r>
      <w:r>
        <w:rPr>
          <w:rFonts w:ascii="Times New Roman" w:hAnsi="Times New Roman"/>
          <w:spacing w:val="-4"/>
          <w:sz w:val="24"/>
          <w:szCs w:val="24"/>
        </w:rPr>
        <w:t>日</w:t>
      </w:r>
    </w:p>
    <w:sectPr w:rsidR="002123B7">
      <w:pgSz w:w="11910" w:h="16840"/>
      <w:pgMar w:top="1380" w:right="1560" w:bottom="1400" w:left="1680" w:header="737" w:footer="992"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E8B18" w14:textId="77777777" w:rsidR="00E45E17" w:rsidRDefault="00E45E17">
      <w:r>
        <w:separator/>
      </w:r>
    </w:p>
  </w:endnote>
  <w:endnote w:type="continuationSeparator" w:id="0">
    <w:p w14:paraId="1F2C0CE2" w14:textId="77777777" w:rsidR="00E45E17" w:rsidRDefault="00E45E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DACD29" w14:textId="77777777" w:rsidR="00B043E7" w:rsidRDefault="00B043E7">
    <w:pPr>
      <w:pStyle w:val="a6"/>
      <w:spacing w:line="14" w:lineRule="auto"/>
      <w:ind w:left="0"/>
      <w:rPr>
        <w:sz w:val="20"/>
      </w:rPr>
    </w:pPr>
    <w:r>
      <w:rPr>
        <w:noProof/>
        <w:lang w:val="en-US" w:bidi="ar-SA"/>
      </w:rPr>
      <mc:AlternateContent>
        <mc:Choice Requires="wps">
          <w:drawing>
            <wp:anchor distT="0" distB="0" distL="114300" distR="114300" simplePos="0" relativeHeight="251658240" behindDoc="1" locked="0" layoutInCell="1" allowOverlap="1" wp14:anchorId="6740DFBA" wp14:editId="3ED3DD87">
              <wp:simplePos x="0" y="0"/>
              <wp:positionH relativeFrom="page">
                <wp:posOffset>3698875</wp:posOffset>
              </wp:positionH>
              <wp:positionV relativeFrom="page">
                <wp:posOffset>9789795</wp:posOffset>
              </wp:positionV>
              <wp:extent cx="167005" cy="15240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05" cy="152400"/>
                      </a:xfrm>
                      <a:prstGeom prst="rect">
                        <a:avLst/>
                      </a:prstGeom>
                      <a:noFill/>
                      <a:ln>
                        <a:noFill/>
                      </a:ln>
                    </wps:spPr>
                    <wps:txbx>
                      <w:txbxContent>
                        <w:p w14:paraId="60E660A7" w14:textId="77777777" w:rsidR="00B043E7" w:rsidRDefault="00B043E7">
                          <w:pPr>
                            <w:spacing w:before="12"/>
                            <w:ind w:left="40"/>
                            <w:rPr>
                              <w:rFonts w:ascii="Times New Roman"/>
                              <w:sz w:val="18"/>
                            </w:rPr>
                          </w:pPr>
                          <w:r>
                            <w:fldChar w:fldCharType="begin"/>
                          </w:r>
                          <w:r>
                            <w:rPr>
                              <w:rFonts w:ascii="Times New Roman"/>
                              <w:sz w:val="18"/>
                            </w:rPr>
                            <w:instrText xml:space="preserve"> PAGE </w:instrText>
                          </w:r>
                          <w:r>
                            <w:fldChar w:fldCharType="separate"/>
                          </w:r>
                          <w:r w:rsidR="00361868">
                            <w:rPr>
                              <w:rFonts w:ascii="Times New Roman"/>
                              <w:noProof/>
                              <w:sz w:val="18"/>
                            </w:rPr>
                            <w:t>20</w:t>
                          </w:r>
                          <w:r>
                            <w:fldChar w:fldCharType="end"/>
                          </w:r>
                        </w:p>
                      </w:txbxContent>
                    </wps:txbx>
                    <wps:bodyPr rot="0" vert="horz" wrap="square" lIns="0" tIns="0" rIns="0" bIns="0" anchor="t" anchorCtr="0" upright="1">
                      <a:noAutofit/>
                    </wps:bodyPr>
                  </wps:wsp>
                </a:graphicData>
              </a:graphic>
            </wp:anchor>
          </w:drawing>
        </mc:Choice>
        <mc:Fallback>
          <w:pict>
            <v:shapetype w14:anchorId="6740DFBA" id="_x0000_t202" coordsize="21600,21600" o:spt="202" path="m,l,21600r21600,l21600,xe">
              <v:stroke joinstyle="miter"/>
              <v:path gradientshapeok="t" o:connecttype="rect"/>
            </v:shapetype>
            <v:shape id="Text Box 1" o:spid="_x0000_s1026" type="#_x0000_t202" style="position:absolute;margin-left:291.25pt;margin-top:770.85pt;width:13.15pt;height:12pt;z-index:-25165824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" filled="f" stroked="f">
              <v:textbox inset="0,0,0,0">
                <w:txbxContent>
                  <w:p w14:paraId="60E660A7" w14:textId="77777777" w:rsidR="00B043E7" w:rsidRDefault="00B043E7">
                    <w:pPr>
                      <w:spacing w:before="12"/>
                      <w:ind w:left="40"/>
                      <w:rPr>
                        <w:rFonts w:ascii="Times New Roman"/>
                        <w:sz w:val="18"/>
                      </w:rPr>
                    </w:pPr>
                    <w:r>
                      <w:fldChar w:fldCharType="begin"/>
                    </w:r>
                    <w:r>
                      <w:rPr>
                        <w:rFonts w:ascii="Times New Roman"/>
                        <w:sz w:val="18"/>
                      </w:rPr>
                      <w:instrText xml:space="preserve"> PAGE </w:instrText>
                    </w:r>
                    <w:r>
                      <w:fldChar w:fldCharType="separate"/>
                    </w:r>
                    <w:r w:rsidR="00361868">
                      <w:rPr>
                        <w:rFonts w:ascii="Times New Roman"/>
                        <w:noProof/>
                        <w:sz w:val="18"/>
                      </w:rPr>
                      <w:t>20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5BC459" w14:textId="77777777" w:rsidR="00E45E17" w:rsidRDefault="00E45E17">
      <w:r>
        <w:separator/>
      </w:r>
    </w:p>
  </w:footnote>
  <w:footnote w:type="continuationSeparator" w:id="0">
    <w:p w14:paraId="44C8658C" w14:textId="77777777" w:rsidR="00E45E17" w:rsidRDefault="00E45E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B0A69B" w14:textId="77777777" w:rsidR="00B043E7" w:rsidRDefault="00B043E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E7A32B" w14:textId="77777777" w:rsidR="00B043E7" w:rsidRDefault="00B043E7">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87DAC8" w14:textId="77777777" w:rsidR="00B043E7" w:rsidRDefault="00B043E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B70"/>
    <w:rsid w:val="000064CF"/>
    <w:rsid w:val="00010D38"/>
    <w:rsid w:val="00010F00"/>
    <w:rsid w:val="00011879"/>
    <w:rsid w:val="00013902"/>
    <w:rsid w:val="0002296B"/>
    <w:rsid w:val="00022E70"/>
    <w:rsid w:val="00023492"/>
    <w:rsid w:val="000434F1"/>
    <w:rsid w:val="0006512F"/>
    <w:rsid w:val="0007613A"/>
    <w:rsid w:val="0009041E"/>
    <w:rsid w:val="000921AC"/>
    <w:rsid w:val="000A56DF"/>
    <w:rsid w:val="000C6A99"/>
    <w:rsid w:val="000F61E2"/>
    <w:rsid w:val="00111C17"/>
    <w:rsid w:val="001252BE"/>
    <w:rsid w:val="00125D70"/>
    <w:rsid w:val="00136904"/>
    <w:rsid w:val="001551AF"/>
    <w:rsid w:val="001620D1"/>
    <w:rsid w:val="001641A2"/>
    <w:rsid w:val="001730D2"/>
    <w:rsid w:val="00181E1A"/>
    <w:rsid w:val="00197728"/>
    <w:rsid w:val="001B0540"/>
    <w:rsid w:val="001B6635"/>
    <w:rsid w:val="001C2C7B"/>
    <w:rsid w:val="001C33F8"/>
    <w:rsid w:val="001D2853"/>
    <w:rsid w:val="001E38A9"/>
    <w:rsid w:val="001E6CAB"/>
    <w:rsid w:val="00205BD3"/>
    <w:rsid w:val="002123B7"/>
    <w:rsid w:val="0021361C"/>
    <w:rsid w:val="00220AE3"/>
    <w:rsid w:val="00227457"/>
    <w:rsid w:val="00230466"/>
    <w:rsid w:val="00232ED9"/>
    <w:rsid w:val="002340F8"/>
    <w:rsid w:val="00234D7F"/>
    <w:rsid w:val="00247A73"/>
    <w:rsid w:val="00252AD4"/>
    <w:rsid w:val="00286C0A"/>
    <w:rsid w:val="002961D5"/>
    <w:rsid w:val="00296407"/>
    <w:rsid w:val="002965F1"/>
    <w:rsid w:val="002967BF"/>
    <w:rsid w:val="002972A6"/>
    <w:rsid w:val="002B1715"/>
    <w:rsid w:val="002C07BD"/>
    <w:rsid w:val="002C0DB2"/>
    <w:rsid w:val="002C2294"/>
    <w:rsid w:val="002C5797"/>
    <w:rsid w:val="002C6971"/>
    <w:rsid w:val="002C6CBA"/>
    <w:rsid w:val="002D659C"/>
    <w:rsid w:val="002D7468"/>
    <w:rsid w:val="002E311D"/>
    <w:rsid w:val="002E74B5"/>
    <w:rsid w:val="002F6D8C"/>
    <w:rsid w:val="00310292"/>
    <w:rsid w:val="00314479"/>
    <w:rsid w:val="003277D6"/>
    <w:rsid w:val="00331EE6"/>
    <w:rsid w:val="00335137"/>
    <w:rsid w:val="00335AD6"/>
    <w:rsid w:val="00335D1F"/>
    <w:rsid w:val="0033731E"/>
    <w:rsid w:val="00340DF5"/>
    <w:rsid w:val="00361868"/>
    <w:rsid w:val="00362C25"/>
    <w:rsid w:val="00363C8A"/>
    <w:rsid w:val="00365A6F"/>
    <w:rsid w:val="00366AF3"/>
    <w:rsid w:val="00366B7E"/>
    <w:rsid w:val="00370478"/>
    <w:rsid w:val="0037524A"/>
    <w:rsid w:val="00375E3E"/>
    <w:rsid w:val="0037692A"/>
    <w:rsid w:val="003801D9"/>
    <w:rsid w:val="00383F41"/>
    <w:rsid w:val="00385A9A"/>
    <w:rsid w:val="0039425D"/>
    <w:rsid w:val="00395F0A"/>
    <w:rsid w:val="00396033"/>
    <w:rsid w:val="003968CC"/>
    <w:rsid w:val="003A2037"/>
    <w:rsid w:val="003A32D7"/>
    <w:rsid w:val="003A5F00"/>
    <w:rsid w:val="003B0DF0"/>
    <w:rsid w:val="003B2B61"/>
    <w:rsid w:val="003B4313"/>
    <w:rsid w:val="003B4D05"/>
    <w:rsid w:val="003B5B1C"/>
    <w:rsid w:val="003C2357"/>
    <w:rsid w:val="003C433C"/>
    <w:rsid w:val="003C6BB0"/>
    <w:rsid w:val="003D6321"/>
    <w:rsid w:val="003D7253"/>
    <w:rsid w:val="003E5602"/>
    <w:rsid w:val="003F0E17"/>
    <w:rsid w:val="003F28AD"/>
    <w:rsid w:val="003F3FF9"/>
    <w:rsid w:val="004007A5"/>
    <w:rsid w:val="00407C9D"/>
    <w:rsid w:val="00410EEE"/>
    <w:rsid w:val="00414824"/>
    <w:rsid w:val="00427EB0"/>
    <w:rsid w:val="00430FD7"/>
    <w:rsid w:val="00441CF6"/>
    <w:rsid w:val="0045130D"/>
    <w:rsid w:val="004541AF"/>
    <w:rsid w:val="004658BD"/>
    <w:rsid w:val="0047770C"/>
    <w:rsid w:val="004800E1"/>
    <w:rsid w:val="00483551"/>
    <w:rsid w:val="00490857"/>
    <w:rsid w:val="0049193D"/>
    <w:rsid w:val="004A3AC5"/>
    <w:rsid w:val="004A6135"/>
    <w:rsid w:val="004A6E37"/>
    <w:rsid w:val="004B3B9E"/>
    <w:rsid w:val="004C0A85"/>
    <w:rsid w:val="004C0BEE"/>
    <w:rsid w:val="004C67AC"/>
    <w:rsid w:val="004D0B2F"/>
    <w:rsid w:val="004E2083"/>
    <w:rsid w:val="004E5418"/>
    <w:rsid w:val="004F08CD"/>
    <w:rsid w:val="004F2E5F"/>
    <w:rsid w:val="004F4705"/>
    <w:rsid w:val="00500DB2"/>
    <w:rsid w:val="0050195A"/>
    <w:rsid w:val="00505D4E"/>
    <w:rsid w:val="005106C8"/>
    <w:rsid w:val="005112A7"/>
    <w:rsid w:val="0051225D"/>
    <w:rsid w:val="00515629"/>
    <w:rsid w:val="00521B74"/>
    <w:rsid w:val="00522463"/>
    <w:rsid w:val="00524548"/>
    <w:rsid w:val="005333F2"/>
    <w:rsid w:val="005352F1"/>
    <w:rsid w:val="00536B09"/>
    <w:rsid w:val="0054143C"/>
    <w:rsid w:val="00543433"/>
    <w:rsid w:val="00550438"/>
    <w:rsid w:val="005504AA"/>
    <w:rsid w:val="005620D6"/>
    <w:rsid w:val="00563C45"/>
    <w:rsid w:val="00564205"/>
    <w:rsid w:val="00576B09"/>
    <w:rsid w:val="00583F11"/>
    <w:rsid w:val="00590786"/>
    <w:rsid w:val="005A2F52"/>
    <w:rsid w:val="005A3908"/>
    <w:rsid w:val="005C3860"/>
    <w:rsid w:val="005C3EDB"/>
    <w:rsid w:val="005D795F"/>
    <w:rsid w:val="005E4FF1"/>
    <w:rsid w:val="005E6CD1"/>
    <w:rsid w:val="005F66A7"/>
    <w:rsid w:val="005F78FD"/>
    <w:rsid w:val="00610324"/>
    <w:rsid w:val="00621481"/>
    <w:rsid w:val="006278DE"/>
    <w:rsid w:val="0063298A"/>
    <w:rsid w:val="006426E3"/>
    <w:rsid w:val="00645C91"/>
    <w:rsid w:val="00647A67"/>
    <w:rsid w:val="00663A64"/>
    <w:rsid w:val="006669F9"/>
    <w:rsid w:val="0066701B"/>
    <w:rsid w:val="006764AB"/>
    <w:rsid w:val="00683473"/>
    <w:rsid w:val="006857F9"/>
    <w:rsid w:val="0069626C"/>
    <w:rsid w:val="006975AD"/>
    <w:rsid w:val="006A0BF1"/>
    <w:rsid w:val="006A4F06"/>
    <w:rsid w:val="006B3B42"/>
    <w:rsid w:val="006B4491"/>
    <w:rsid w:val="006D131A"/>
    <w:rsid w:val="006F54FF"/>
    <w:rsid w:val="006F6C23"/>
    <w:rsid w:val="0070105E"/>
    <w:rsid w:val="00710F76"/>
    <w:rsid w:val="00717BB4"/>
    <w:rsid w:val="00717D74"/>
    <w:rsid w:val="00724A89"/>
    <w:rsid w:val="00724F97"/>
    <w:rsid w:val="007302B0"/>
    <w:rsid w:val="00733BE0"/>
    <w:rsid w:val="00735EB8"/>
    <w:rsid w:val="00745A9A"/>
    <w:rsid w:val="00754403"/>
    <w:rsid w:val="007622B3"/>
    <w:rsid w:val="00766EBD"/>
    <w:rsid w:val="00785205"/>
    <w:rsid w:val="00786487"/>
    <w:rsid w:val="0079306C"/>
    <w:rsid w:val="00796C58"/>
    <w:rsid w:val="0079742F"/>
    <w:rsid w:val="007A0536"/>
    <w:rsid w:val="007A3EAD"/>
    <w:rsid w:val="007A582A"/>
    <w:rsid w:val="007B11F5"/>
    <w:rsid w:val="007B386C"/>
    <w:rsid w:val="007B6F62"/>
    <w:rsid w:val="007C6FD2"/>
    <w:rsid w:val="007C72F3"/>
    <w:rsid w:val="007D4B83"/>
    <w:rsid w:val="007D6D43"/>
    <w:rsid w:val="007E3FA5"/>
    <w:rsid w:val="007E69F6"/>
    <w:rsid w:val="007F111D"/>
    <w:rsid w:val="007F237C"/>
    <w:rsid w:val="007F60EB"/>
    <w:rsid w:val="00800BD9"/>
    <w:rsid w:val="00800CC5"/>
    <w:rsid w:val="00802544"/>
    <w:rsid w:val="00802B62"/>
    <w:rsid w:val="0081197F"/>
    <w:rsid w:val="00817153"/>
    <w:rsid w:val="00831033"/>
    <w:rsid w:val="00836770"/>
    <w:rsid w:val="00845102"/>
    <w:rsid w:val="00850048"/>
    <w:rsid w:val="00851DA4"/>
    <w:rsid w:val="00854FC0"/>
    <w:rsid w:val="00856B70"/>
    <w:rsid w:val="00856B72"/>
    <w:rsid w:val="00870B9E"/>
    <w:rsid w:val="00871339"/>
    <w:rsid w:val="00871E1B"/>
    <w:rsid w:val="00881D67"/>
    <w:rsid w:val="00882672"/>
    <w:rsid w:val="00886E78"/>
    <w:rsid w:val="00890E9F"/>
    <w:rsid w:val="00893F30"/>
    <w:rsid w:val="00895DEC"/>
    <w:rsid w:val="00897C72"/>
    <w:rsid w:val="008A430B"/>
    <w:rsid w:val="008B2E7E"/>
    <w:rsid w:val="008B554C"/>
    <w:rsid w:val="008D0BAB"/>
    <w:rsid w:val="008D0E59"/>
    <w:rsid w:val="008E2868"/>
    <w:rsid w:val="008E52EE"/>
    <w:rsid w:val="008E5F96"/>
    <w:rsid w:val="008E7C99"/>
    <w:rsid w:val="008F16D6"/>
    <w:rsid w:val="008F2613"/>
    <w:rsid w:val="008F3353"/>
    <w:rsid w:val="009030F4"/>
    <w:rsid w:val="00906389"/>
    <w:rsid w:val="009123B2"/>
    <w:rsid w:val="0091501A"/>
    <w:rsid w:val="00920852"/>
    <w:rsid w:val="009276AB"/>
    <w:rsid w:val="00930249"/>
    <w:rsid w:val="00943C41"/>
    <w:rsid w:val="00946BC6"/>
    <w:rsid w:val="009505CF"/>
    <w:rsid w:val="00955274"/>
    <w:rsid w:val="00955A8C"/>
    <w:rsid w:val="00971B4F"/>
    <w:rsid w:val="009741F6"/>
    <w:rsid w:val="00977BC6"/>
    <w:rsid w:val="00980BF4"/>
    <w:rsid w:val="009868C1"/>
    <w:rsid w:val="009916EB"/>
    <w:rsid w:val="0099602C"/>
    <w:rsid w:val="009A3C40"/>
    <w:rsid w:val="009B378C"/>
    <w:rsid w:val="009C12D2"/>
    <w:rsid w:val="009C16AE"/>
    <w:rsid w:val="009D0DF6"/>
    <w:rsid w:val="009D76BB"/>
    <w:rsid w:val="009F2470"/>
    <w:rsid w:val="00A11958"/>
    <w:rsid w:val="00A2068A"/>
    <w:rsid w:val="00A259FB"/>
    <w:rsid w:val="00A32920"/>
    <w:rsid w:val="00A36F54"/>
    <w:rsid w:val="00A4063A"/>
    <w:rsid w:val="00A44279"/>
    <w:rsid w:val="00A44D3D"/>
    <w:rsid w:val="00A567CF"/>
    <w:rsid w:val="00A6500D"/>
    <w:rsid w:val="00A70A30"/>
    <w:rsid w:val="00A80E83"/>
    <w:rsid w:val="00A85B73"/>
    <w:rsid w:val="00A92E70"/>
    <w:rsid w:val="00AA373B"/>
    <w:rsid w:val="00AA4364"/>
    <w:rsid w:val="00AA768B"/>
    <w:rsid w:val="00AB1283"/>
    <w:rsid w:val="00AC3729"/>
    <w:rsid w:val="00AC775B"/>
    <w:rsid w:val="00AD1D12"/>
    <w:rsid w:val="00AD31E8"/>
    <w:rsid w:val="00AE775C"/>
    <w:rsid w:val="00AF6D6B"/>
    <w:rsid w:val="00AF7B86"/>
    <w:rsid w:val="00B008AE"/>
    <w:rsid w:val="00B0302E"/>
    <w:rsid w:val="00B043E7"/>
    <w:rsid w:val="00B07C71"/>
    <w:rsid w:val="00B22E51"/>
    <w:rsid w:val="00B30F71"/>
    <w:rsid w:val="00B31A9C"/>
    <w:rsid w:val="00B31C6A"/>
    <w:rsid w:val="00B325BA"/>
    <w:rsid w:val="00B523E9"/>
    <w:rsid w:val="00B526C6"/>
    <w:rsid w:val="00B55804"/>
    <w:rsid w:val="00B653AF"/>
    <w:rsid w:val="00B739B5"/>
    <w:rsid w:val="00B73AAC"/>
    <w:rsid w:val="00B86D56"/>
    <w:rsid w:val="00B92872"/>
    <w:rsid w:val="00B94217"/>
    <w:rsid w:val="00B95058"/>
    <w:rsid w:val="00B96603"/>
    <w:rsid w:val="00B96FFE"/>
    <w:rsid w:val="00BB21B0"/>
    <w:rsid w:val="00BB6D1C"/>
    <w:rsid w:val="00BC55B9"/>
    <w:rsid w:val="00BD2862"/>
    <w:rsid w:val="00BE421B"/>
    <w:rsid w:val="00BE63AA"/>
    <w:rsid w:val="00BF0555"/>
    <w:rsid w:val="00BF2308"/>
    <w:rsid w:val="00BF392D"/>
    <w:rsid w:val="00C02237"/>
    <w:rsid w:val="00C0251A"/>
    <w:rsid w:val="00C05491"/>
    <w:rsid w:val="00C07C27"/>
    <w:rsid w:val="00C11045"/>
    <w:rsid w:val="00C1476C"/>
    <w:rsid w:val="00C16A70"/>
    <w:rsid w:val="00C248F3"/>
    <w:rsid w:val="00C30B05"/>
    <w:rsid w:val="00C34B30"/>
    <w:rsid w:val="00C45702"/>
    <w:rsid w:val="00C5567A"/>
    <w:rsid w:val="00C574B3"/>
    <w:rsid w:val="00C66132"/>
    <w:rsid w:val="00C70476"/>
    <w:rsid w:val="00C719B8"/>
    <w:rsid w:val="00C8130B"/>
    <w:rsid w:val="00C93ADD"/>
    <w:rsid w:val="00C964A6"/>
    <w:rsid w:val="00C96F9F"/>
    <w:rsid w:val="00C9768F"/>
    <w:rsid w:val="00CA0E64"/>
    <w:rsid w:val="00CB37EE"/>
    <w:rsid w:val="00CC498F"/>
    <w:rsid w:val="00CD142D"/>
    <w:rsid w:val="00CD4DF9"/>
    <w:rsid w:val="00CD5C80"/>
    <w:rsid w:val="00CD6E26"/>
    <w:rsid w:val="00CD7897"/>
    <w:rsid w:val="00CE170F"/>
    <w:rsid w:val="00CE44CB"/>
    <w:rsid w:val="00CE62F6"/>
    <w:rsid w:val="00CE6DFA"/>
    <w:rsid w:val="00CE72D5"/>
    <w:rsid w:val="00CE7C83"/>
    <w:rsid w:val="00CF4161"/>
    <w:rsid w:val="00CF6F1E"/>
    <w:rsid w:val="00D03A10"/>
    <w:rsid w:val="00D0561B"/>
    <w:rsid w:val="00D16396"/>
    <w:rsid w:val="00D17B1D"/>
    <w:rsid w:val="00D30574"/>
    <w:rsid w:val="00D309D5"/>
    <w:rsid w:val="00D339C2"/>
    <w:rsid w:val="00D359DB"/>
    <w:rsid w:val="00D444F7"/>
    <w:rsid w:val="00D4610C"/>
    <w:rsid w:val="00D51A5A"/>
    <w:rsid w:val="00D51C12"/>
    <w:rsid w:val="00D624BB"/>
    <w:rsid w:val="00D669DA"/>
    <w:rsid w:val="00D74443"/>
    <w:rsid w:val="00D74488"/>
    <w:rsid w:val="00D77704"/>
    <w:rsid w:val="00D8519F"/>
    <w:rsid w:val="00D86126"/>
    <w:rsid w:val="00D863C3"/>
    <w:rsid w:val="00D90FFC"/>
    <w:rsid w:val="00D9164B"/>
    <w:rsid w:val="00D9330B"/>
    <w:rsid w:val="00D93A45"/>
    <w:rsid w:val="00D94D78"/>
    <w:rsid w:val="00DA43C4"/>
    <w:rsid w:val="00DA4FD2"/>
    <w:rsid w:val="00DA7472"/>
    <w:rsid w:val="00DB2D4C"/>
    <w:rsid w:val="00DB3A8E"/>
    <w:rsid w:val="00DC0496"/>
    <w:rsid w:val="00DC3288"/>
    <w:rsid w:val="00DD57CE"/>
    <w:rsid w:val="00DE292F"/>
    <w:rsid w:val="00DE3483"/>
    <w:rsid w:val="00DE3622"/>
    <w:rsid w:val="00DE4174"/>
    <w:rsid w:val="00DF1A56"/>
    <w:rsid w:val="00DF58C2"/>
    <w:rsid w:val="00E07617"/>
    <w:rsid w:val="00E10D21"/>
    <w:rsid w:val="00E20B7B"/>
    <w:rsid w:val="00E21CED"/>
    <w:rsid w:val="00E32E7A"/>
    <w:rsid w:val="00E33234"/>
    <w:rsid w:val="00E341B7"/>
    <w:rsid w:val="00E35C20"/>
    <w:rsid w:val="00E367A2"/>
    <w:rsid w:val="00E45B6E"/>
    <w:rsid w:val="00E45E17"/>
    <w:rsid w:val="00E50452"/>
    <w:rsid w:val="00E50487"/>
    <w:rsid w:val="00E52301"/>
    <w:rsid w:val="00E666F7"/>
    <w:rsid w:val="00E66CDD"/>
    <w:rsid w:val="00E76761"/>
    <w:rsid w:val="00E772B5"/>
    <w:rsid w:val="00E77A1C"/>
    <w:rsid w:val="00E801CC"/>
    <w:rsid w:val="00E85285"/>
    <w:rsid w:val="00E94245"/>
    <w:rsid w:val="00E94861"/>
    <w:rsid w:val="00EA4D8D"/>
    <w:rsid w:val="00EA65BA"/>
    <w:rsid w:val="00EB0DBF"/>
    <w:rsid w:val="00EB1989"/>
    <w:rsid w:val="00EB3C12"/>
    <w:rsid w:val="00EB537C"/>
    <w:rsid w:val="00EC56EA"/>
    <w:rsid w:val="00EC7F1B"/>
    <w:rsid w:val="00ED6B7F"/>
    <w:rsid w:val="00EE2BA5"/>
    <w:rsid w:val="00EE61D3"/>
    <w:rsid w:val="00EF5F1C"/>
    <w:rsid w:val="00F017AA"/>
    <w:rsid w:val="00F27A98"/>
    <w:rsid w:val="00F359E5"/>
    <w:rsid w:val="00F35FE4"/>
    <w:rsid w:val="00F41039"/>
    <w:rsid w:val="00F57786"/>
    <w:rsid w:val="00F6350D"/>
    <w:rsid w:val="00F65937"/>
    <w:rsid w:val="00F67F6A"/>
    <w:rsid w:val="00F71AF1"/>
    <w:rsid w:val="00F71C3D"/>
    <w:rsid w:val="00F7751A"/>
    <w:rsid w:val="00F85D87"/>
    <w:rsid w:val="00F901EF"/>
    <w:rsid w:val="00FA2F3B"/>
    <w:rsid w:val="00FB456D"/>
    <w:rsid w:val="00FB6AD6"/>
    <w:rsid w:val="00FC062D"/>
    <w:rsid w:val="00FC0D4A"/>
    <w:rsid w:val="00FC2B8E"/>
    <w:rsid w:val="00FC3025"/>
    <w:rsid w:val="00FC43EA"/>
    <w:rsid w:val="00FC73E9"/>
    <w:rsid w:val="00FD33F7"/>
    <w:rsid w:val="00FE47DA"/>
    <w:rsid w:val="02F63A24"/>
    <w:rsid w:val="1D707F4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400764"/>
  <w15:docId w15:val="{3D642A50-6440-498C-BD72-5DF215446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pPr>
      <w:widowControl w:val="0"/>
      <w:autoSpaceDE w:val="0"/>
      <w:autoSpaceDN w:val="0"/>
    </w:pPr>
    <w:rPr>
      <w:rFonts w:ascii="宋体" w:eastAsia="宋体" w:hAnsi="宋体" w:cs="宋体"/>
      <w:sz w:val="22"/>
      <w:szCs w:val="22"/>
      <w:lang w:val="zh-CN" w:bidi="zh-CN"/>
    </w:rPr>
  </w:style>
  <w:style w:type="paragraph" w:styleId="1">
    <w:name w:val="heading 1"/>
    <w:basedOn w:val="a"/>
    <w:next w:val="a"/>
    <w:uiPriority w:val="1"/>
    <w:qFormat/>
    <w:pPr>
      <w:ind w:left="518"/>
      <w:outlineLvl w:val="0"/>
    </w:pPr>
    <w:rPr>
      <w:rFonts w:ascii="微软雅黑" w:eastAsia="微软雅黑" w:hAnsi="微软雅黑" w:cs="微软雅黑"/>
      <w:b/>
      <w:bCs/>
      <w:sz w:val="30"/>
      <w:szCs w:val="30"/>
    </w:rPr>
  </w:style>
  <w:style w:type="paragraph" w:styleId="2">
    <w:name w:val="heading 2"/>
    <w:basedOn w:val="a"/>
    <w:next w:val="a"/>
    <w:link w:val="2Char"/>
    <w:uiPriority w:val="1"/>
    <w:qFormat/>
    <w:pPr>
      <w:jc w:val="center"/>
      <w:outlineLvl w:val="1"/>
    </w:pPr>
    <w:rPr>
      <w:rFonts w:ascii="微软雅黑" w:eastAsia="微软雅黑" w:hAnsi="微软雅黑" w:cs="微软雅黑"/>
      <w:b/>
      <w:bCs/>
      <w:sz w:val="28"/>
      <w:szCs w:val="28"/>
    </w:rPr>
  </w:style>
  <w:style w:type="paragraph" w:styleId="3">
    <w:name w:val="heading 3"/>
    <w:basedOn w:val="a"/>
    <w:next w:val="a"/>
    <w:link w:val="3Char"/>
    <w:uiPriority w:val="9"/>
    <w:semiHidden/>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uiPriority w:val="99"/>
    <w:semiHidden/>
    <w:unhideWhenUsed/>
    <w:qFormat/>
    <w:rPr>
      <w:b/>
      <w:bCs/>
    </w:rPr>
  </w:style>
  <w:style w:type="paragraph" w:styleId="a4">
    <w:name w:val="annotation text"/>
    <w:basedOn w:val="a"/>
    <w:link w:val="Char0"/>
    <w:unhideWhenUsed/>
    <w:qFormat/>
  </w:style>
  <w:style w:type="paragraph" w:styleId="a5">
    <w:name w:val="Document Map"/>
    <w:basedOn w:val="a"/>
    <w:link w:val="Char1"/>
    <w:uiPriority w:val="99"/>
    <w:semiHidden/>
    <w:unhideWhenUsed/>
    <w:qFormat/>
    <w:rPr>
      <w:sz w:val="18"/>
      <w:szCs w:val="18"/>
    </w:rPr>
  </w:style>
  <w:style w:type="paragraph" w:styleId="a6">
    <w:name w:val="Body Text"/>
    <w:basedOn w:val="a"/>
    <w:uiPriority w:val="1"/>
    <w:qFormat/>
    <w:pPr>
      <w:ind w:left="118"/>
    </w:pPr>
    <w:rPr>
      <w:sz w:val="24"/>
      <w:szCs w:val="24"/>
    </w:rPr>
  </w:style>
  <w:style w:type="paragraph" w:styleId="a7">
    <w:name w:val="Balloon Text"/>
    <w:basedOn w:val="a"/>
    <w:link w:val="Char2"/>
    <w:uiPriority w:val="99"/>
    <w:semiHidden/>
    <w:unhideWhenUsed/>
    <w:qFormat/>
    <w:rPr>
      <w:sz w:val="18"/>
      <w:szCs w:val="18"/>
    </w:rPr>
  </w:style>
  <w:style w:type="paragraph" w:styleId="a8">
    <w:name w:val="footer"/>
    <w:basedOn w:val="a"/>
    <w:link w:val="Char3"/>
    <w:uiPriority w:val="99"/>
    <w:unhideWhenUsed/>
    <w:qFormat/>
    <w:pPr>
      <w:tabs>
        <w:tab w:val="center" w:pos="4153"/>
        <w:tab w:val="right" w:pos="8306"/>
      </w:tabs>
      <w:snapToGrid w:val="0"/>
    </w:pPr>
    <w:rPr>
      <w:sz w:val="18"/>
      <w:szCs w:val="18"/>
    </w:rPr>
  </w:style>
  <w:style w:type="paragraph" w:styleId="a9">
    <w:name w:val="header"/>
    <w:basedOn w:val="a"/>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pPr>
      <w:spacing w:before="199"/>
      <w:ind w:left="538"/>
    </w:pPr>
    <w:rPr>
      <w:sz w:val="21"/>
      <w:szCs w:val="21"/>
    </w:rPr>
  </w:style>
  <w:style w:type="character" w:styleId="aa">
    <w:name w:val="Hyperlink"/>
    <w:basedOn w:val="a0"/>
    <w:uiPriority w:val="99"/>
    <w:unhideWhenUsed/>
    <w:qFormat/>
    <w:rPr>
      <w:color w:val="0000FF" w:themeColor="hyperlink"/>
      <w:u w:val="single"/>
    </w:rPr>
  </w:style>
  <w:style w:type="character" w:styleId="ab">
    <w:name w:val="annotation reference"/>
    <w:basedOn w:val="a0"/>
    <w:unhideWhenUsed/>
    <w:qFormat/>
    <w:rPr>
      <w:sz w:val="21"/>
      <w:szCs w:val="21"/>
    </w:r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c">
    <w:name w:val="List Paragraph"/>
    <w:basedOn w:val="a"/>
    <w:uiPriority w:val="1"/>
    <w:qFormat/>
    <w:pPr>
      <w:ind w:left="118" w:firstLine="480"/>
    </w:pPr>
  </w:style>
  <w:style w:type="paragraph" w:customStyle="1" w:styleId="TableParagraph">
    <w:name w:val="Table Paragraph"/>
    <w:basedOn w:val="a"/>
    <w:uiPriority w:val="1"/>
    <w:qFormat/>
  </w:style>
  <w:style w:type="character" w:customStyle="1" w:styleId="nameboxcolor">
    <w:name w:val="nameboxcolor"/>
    <w:basedOn w:val="a0"/>
    <w:qFormat/>
  </w:style>
  <w:style w:type="character" w:customStyle="1" w:styleId="Char0">
    <w:name w:val="批注文字 Char"/>
    <w:basedOn w:val="a0"/>
    <w:link w:val="a4"/>
    <w:qFormat/>
    <w:rPr>
      <w:rFonts w:ascii="宋体" w:eastAsia="宋体" w:hAnsi="宋体" w:cs="宋体"/>
      <w:lang w:val="zh-CN" w:eastAsia="zh-CN" w:bidi="zh-CN"/>
    </w:rPr>
  </w:style>
  <w:style w:type="character" w:customStyle="1" w:styleId="Char">
    <w:name w:val="批注主题 Char"/>
    <w:basedOn w:val="Char0"/>
    <w:link w:val="a3"/>
    <w:uiPriority w:val="99"/>
    <w:semiHidden/>
    <w:qFormat/>
    <w:rPr>
      <w:rFonts w:ascii="宋体" w:eastAsia="宋体" w:hAnsi="宋体" w:cs="宋体"/>
      <w:b/>
      <w:bCs/>
      <w:lang w:val="zh-CN" w:eastAsia="zh-CN" w:bidi="zh-CN"/>
    </w:rPr>
  </w:style>
  <w:style w:type="character" w:customStyle="1" w:styleId="Char2">
    <w:name w:val="批注框文本 Char"/>
    <w:basedOn w:val="a0"/>
    <w:link w:val="a7"/>
    <w:uiPriority w:val="99"/>
    <w:semiHidden/>
    <w:qFormat/>
    <w:rPr>
      <w:rFonts w:ascii="宋体" w:eastAsia="宋体" w:hAnsi="宋体" w:cs="宋体"/>
      <w:sz w:val="18"/>
      <w:szCs w:val="18"/>
      <w:lang w:val="zh-CN" w:eastAsia="zh-CN" w:bidi="zh-CN"/>
    </w:rPr>
  </w:style>
  <w:style w:type="character" w:customStyle="1" w:styleId="Char4">
    <w:name w:val="页眉 Char"/>
    <w:basedOn w:val="a0"/>
    <w:link w:val="a9"/>
    <w:uiPriority w:val="99"/>
    <w:qFormat/>
    <w:rPr>
      <w:rFonts w:ascii="宋体" w:eastAsia="宋体" w:hAnsi="宋体" w:cs="宋体"/>
      <w:sz w:val="18"/>
      <w:szCs w:val="18"/>
      <w:lang w:val="zh-CN" w:eastAsia="zh-CN" w:bidi="zh-CN"/>
    </w:rPr>
  </w:style>
  <w:style w:type="character" w:customStyle="1" w:styleId="Char3">
    <w:name w:val="页脚 Char"/>
    <w:basedOn w:val="a0"/>
    <w:link w:val="a8"/>
    <w:uiPriority w:val="99"/>
    <w:qFormat/>
    <w:rPr>
      <w:rFonts w:ascii="宋体" w:eastAsia="宋体" w:hAnsi="宋体" w:cs="宋体"/>
      <w:sz w:val="18"/>
      <w:szCs w:val="18"/>
      <w:lang w:val="zh-CN" w:eastAsia="zh-CN" w:bidi="zh-CN"/>
    </w:rPr>
  </w:style>
  <w:style w:type="character" w:customStyle="1" w:styleId="2Char">
    <w:name w:val="标题 2 Char"/>
    <w:basedOn w:val="a0"/>
    <w:link w:val="2"/>
    <w:qFormat/>
    <w:rPr>
      <w:rFonts w:ascii="微软雅黑" w:eastAsia="微软雅黑" w:hAnsi="微软雅黑" w:cs="微软雅黑"/>
      <w:b/>
      <w:bCs/>
      <w:sz w:val="28"/>
      <w:szCs w:val="28"/>
      <w:lang w:val="zh-CN" w:eastAsia="zh-CN" w:bidi="zh-CN"/>
    </w:rPr>
  </w:style>
  <w:style w:type="paragraph" w:customStyle="1" w:styleId="TOC1">
    <w:name w:val="TOC 标题1"/>
    <w:basedOn w:val="1"/>
    <w:next w:val="a"/>
    <w:uiPriority w:val="39"/>
    <w:unhideWhenUsed/>
    <w:qFormat/>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val="en-US" w:bidi="ar-SA"/>
    </w:rPr>
  </w:style>
  <w:style w:type="character" w:customStyle="1" w:styleId="Char1">
    <w:name w:val="文档结构图 Char"/>
    <w:basedOn w:val="a0"/>
    <w:link w:val="a5"/>
    <w:uiPriority w:val="99"/>
    <w:semiHidden/>
    <w:qFormat/>
    <w:rPr>
      <w:rFonts w:ascii="宋体" w:eastAsia="宋体" w:hAnsi="宋体" w:cs="宋体"/>
      <w:sz w:val="18"/>
      <w:szCs w:val="18"/>
      <w:lang w:val="zh-CN" w:eastAsia="zh-CN" w:bidi="zh-CN"/>
    </w:rPr>
  </w:style>
  <w:style w:type="character" w:customStyle="1" w:styleId="read">
    <w:name w:val="read"/>
    <w:basedOn w:val="a0"/>
    <w:qFormat/>
  </w:style>
  <w:style w:type="paragraph" w:customStyle="1" w:styleId="11">
    <w:name w:val="修订1"/>
    <w:hidden/>
    <w:uiPriority w:val="99"/>
    <w:semiHidden/>
    <w:qFormat/>
    <w:rPr>
      <w:rFonts w:ascii="宋体" w:eastAsia="宋体" w:hAnsi="宋体" w:cs="宋体"/>
      <w:sz w:val="22"/>
      <w:szCs w:val="22"/>
      <w:lang w:val="zh-CN" w:bidi="zh-CN"/>
    </w:rPr>
  </w:style>
  <w:style w:type="character" w:customStyle="1" w:styleId="3Char">
    <w:name w:val="标题 3 Char"/>
    <w:basedOn w:val="a0"/>
    <w:link w:val="3"/>
    <w:uiPriority w:val="9"/>
    <w:semiHidden/>
    <w:qFormat/>
    <w:rPr>
      <w:rFonts w:ascii="宋体" w:eastAsia="宋体" w:hAnsi="宋体" w:cs="宋体"/>
      <w:b/>
      <w:bCs/>
      <w:sz w:val="32"/>
      <w:szCs w:val="32"/>
      <w:lang w:val="zh-CN" w:eastAsia="zh-CN" w:bidi="zh-CN"/>
    </w:rPr>
  </w:style>
  <w:style w:type="paragraph" w:styleId="ad">
    <w:name w:val="Revision"/>
    <w:hidden/>
    <w:uiPriority w:val="99"/>
    <w:semiHidden/>
    <w:rsid w:val="008B2E7E"/>
    <w:rPr>
      <w:rFonts w:ascii="宋体" w:eastAsia="宋体" w:hAnsi="宋体" w:cs="宋体"/>
      <w:sz w:val="22"/>
      <w:szCs w:val="22"/>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C6B15C-B18C-48B3-83AF-BFC443CF4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40</Pages>
  <Words>4804</Words>
  <Characters>27388</Characters>
  <Application>Microsoft Office Word</Application>
  <DocSecurity>0</DocSecurity>
  <Lines>228</Lines>
  <Paragraphs>64</Paragraphs>
  <ScaleCrop>false</ScaleCrop>
  <Company>ccb</Company>
  <LinksUpToDate>false</LinksUpToDate>
  <CharactersWithSpaces>32128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LIUJIAPENG</dc:creator>
  <cp:lastModifiedBy>唐棠</cp:lastModifiedBy>
  <cp:revision>8</cp:revision>
  <cp:lastPrinted>2026-08-21T03:21:00Z</cp:lastPrinted>
  <dcterms:created xsi:type="dcterms:W3CDTF">2026-08-21T03:20:00Z</dcterms:created>
  <dcterms:modified xsi:type="dcterms:W3CDTF">2026-09-11T08:58:00Z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2018-05-23T00:00:00Z</vt:filetime>
  </property>
  <property fmtid="{D5CDD505-2E9C-101B-9397-08002B2CF9AE}" pid="3" name="Creator">
    <vt:lpwstr>Microsoft® Word 2013</vt:lpwstr>
  </property>
  <property fmtid="{D5CDD505-2E9C-101B-9397-08002B2CF9AE}" pid="4" name="LastSaved">
    <vt:filetime>2018-06-08T00:00:00Z</vt:filetime>
  </property>
  <property fmtid="{D5CDD505-2E9C-101B-9397-08002B2CF9AE}" pid="5" name="KSOProductBuildVer">
    <vt:lpwstr>2052-10.8.2.7119</vt:lpwstr>
  </property>
</Properties>
</file>